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811A8">
      <w:pPr>
        <w:pStyle w:val="4"/>
        <w:numPr>
          <w:ilvl w:val="0"/>
          <w:numId w:val="1"/>
        </w:numPr>
        <w:spacing w:line="380" w:lineRule="exact"/>
        <w:jc w:val="center"/>
        <w:rPr>
          <w:rFonts w:ascii="宋体" w:hAnsi="宋体" w:eastAsia="宋体"/>
          <w:color w:val="000000"/>
          <w:sz w:val="28"/>
          <w:szCs w:val="28"/>
        </w:rPr>
      </w:pPr>
      <w:bookmarkStart w:id="0" w:name="_Toc32023"/>
      <w:bookmarkStart w:id="1" w:name="_Toc529"/>
      <w:bookmarkStart w:id="2" w:name="_Toc424829828"/>
      <w:bookmarkStart w:id="3" w:name="_Toc30975"/>
      <w:bookmarkStart w:id="4" w:name="_Toc508262108"/>
      <w:bookmarkStart w:id="5" w:name="_Toc21261"/>
      <w:r>
        <w:rPr>
          <w:rFonts w:hint="eastAsia" w:ascii="宋体" w:hAnsi="宋体" w:eastAsia="宋体"/>
          <w:color w:val="000000"/>
          <w:sz w:val="28"/>
          <w:szCs w:val="28"/>
        </w:rPr>
        <w:t>评选办法前附表</w:t>
      </w:r>
      <w:bookmarkEnd w:id="0"/>
      <w:bookmarkEnd w:id="1"/>
      <w:bookmarkEnd w:id="2"/>
      <w:bookmarkEnd w:id="3"/>
      <w:bookmarkEnd w:id="4"/>
      <w:bookmarkEnd w:id="5"/>
    </w:p>
    <w:tbl>
      <w:tblPr>
        <w:tblStyle w:val="6"/>
        <w:tblW w:w="10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39"/>
        <w:gridCol w:w="2460"/>
        <w:gridCol w:w="1786"/>
        <w:gridCol w:w="4676"/>
      </w:tblGrid>
      <w:tr w14:paraId="64FA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65" w:type="dxa"/>
            <w:gridSpan w:val="2"/>
            <w:noWrap w:val="0"/>
            <w:vAlign w:val="center"/>
          </w:tcPr>
          <w:p w14:paraId="37C21C3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款  号</w:t>
            </w:r>
          </w:p>
        </w:tc>
        <w:tc>
          <w:tcPr>
            <w:tcW w:w="2460" w:type="dxa"/>
            <w:noWrap w:val="0"/>
            <w:vAlign w:val="center"/>
          </w:tcPr>
          <w:p w14:paraId="1C1B8CD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评 审 因 素</w:t>
            </w:r>
          </w:p>
        </w:tc>
        <w:tc>
          <w:tcPr>
            <w:tcW w:w="6462" w:type="dxa"/>
            <w:gridSpan w:val="2"/>
            <w:noWrap w:val="0"/>
            <w:vAlign w:val="center"/>
          </w:tcPr>
          <w:p w14:paraId="2384020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评 审 标 准</w:t>
            </w:r>
          </w:p>
        </w:tc>
      </w:tr>
      <w:tr w14:paraId="1C42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4A3B1470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一</w:t>
            </w:r>
          </w:p>
        </w:tc>
        <w:tc>
          <w:tcPr>
            <w:tcW w:w="739" w:type="dxa"/>
            <w:vMerge w:val="restart"/>
            <w:noWrap w:val="0"/>
            <w:vAlign w:val="center"/>
          </w:tcPr>
          <w:p w14:paraId="45354A37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资格评审标准</w:t>
            </w:r>
          </w:p>
        </w:tc>
        <w:tc>
          <w:tcPr>
            <w:tcW w:w="2460" w:type="dxa"/>
            <w:noWrap w:val="0"/>
            <w:vAlign w:val="center"/>
          </w:tcPr>
          <w:p w14:paraId="6DBD0E1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《中华人民共和国政府采购法》第二十二条规定</w:t>
            </w:r>
          </w:p>
        </w:tc>
        <w:tc>
          <w:tcPr>
            <w:tcW w:w="6462" w:type="dxa"/>
            <w:gridSpan w:val="2"/>
            <w:noWrap w:val="0"/>
            <w:vAlign w:val="center"/>
          </w:tcPr>
          <w:p w14:paraId="417E5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具备《中华人民共和国政府采购法》第二十二条规定的条件。</w:t>
            </w:r>
          </w:p>
        </w:tc>
      </w:tr>
      <w:tr w14:paraId="0C3B6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03A80335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 w14:paraId="46C7F290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583B4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营业执照</w:t>
            </w:r>
          </w:p>
        </w:tc>
        <w:tc>
          <w:tcPr>
            <w:tcW w:w="6462" w:type="dxa"/>
            <w:gridSpan w:val="2"/>
            <w:noWrap w:val="0"/>
            <w:vAlign w:val="center"/>
          </w:tcPr>
          <w:p w14:paraId="510B1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符合第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章“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谈判采购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公告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”第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二条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相关规定。</w:t>
            </w:r>
          </w:p>
        </w:tc>
      </w:tr>
      <w:tr w14:paraId="67EDA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66F2933F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 w14:paraId="2D4F054E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1607B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财务要求</w:t>
            </w:r>
          </w:p>
        </w:tc>
        <w:tc>
          <w:tcPr>
            <w:tcW w:w="6462" w:type="dxa"/>
            <w:gridSpan w:val="2"/>
            <w:noWrap w:val="0"/>
            <w:vAlign w:val="center"/>
          </w:tcPr>
          <w:p w14:paraId="73A4D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符合第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章“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谈判采购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公告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”第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二条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相关规定。</w:t>
            </w:r>
          </w:p>
        </w:tc>
      </w:tr>
      <w:tr w14:paraId="5B73C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3163592F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 w14:paraId="73D430F9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29033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具有履行合同所必需的设备、专业服务能力和专业技术能力</w:t>
            </w:r>
          </w:p>
        </w:tc>
        <w:tc>
          <w:tcPr>
            <w:tcW w:w="6462" w:type="dxa"/>
            <w:gridSpan w:val="2"/>
            <w:noWrap w:val="0"/>
            <w:vAlign w:val="center"/>
          </w:tcPr>
          <w:p w14:paraId="5F041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符合第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章“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谈判采购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公告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”第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二条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相关规定。</w:t>
            </w:r>
          </w:p>
        </w:tc>
      </w:tr>
      <w:tr w14:paraId="4028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0577E7B5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 w14:paraId="13A68C42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4544C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供应商有依法缴纳税收和社会保障资金的良好记录</w:t>
            </w:r>
          </w:p>
        </w:tc>
        <w:tc>
          <w:tcPr>
            <w:tcW w:w="6462" w:type="dxa"/>
            <w:gridSpan w:val="2"/>
            <w:noWrap w:val="0"/>
            <w:vAlign w:val="center"/>
          </w:tcPr>
          <w:p w14:paraId="213F5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符合第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章“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谈判采购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公告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”第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二条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相关规定。</w:t>
            </w:r>
          </w:p>
        </w:tc>
      </w:tr>
      <w:tr w14:paraId="0E2C3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4E577123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 w14:paraId="4E9A2450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77CF7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参加政府采购活动前三年内，在经营活动中没有重大违法记录</w:t>
            </w:r>
          </w:p>
        </w:tc>
        <w:tc>
          <w:tcPr>
            <w:tcW w:w="6462" w:type="dxa"/>
            <w:gridSpan w:val="2"/>
            <w:noWrap w:val="0"/>
            <w:vAlign w:val="center"/>
          </w:tcPr>
          <w:p w14:paraId="72F83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符合第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章“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谈判采购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公告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”第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二条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相关规定。</w:t>
            </w:r>
          </w:p>
        </w:tc>
      </w:tr>
      <w:tr w14:paraId="0785B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48CC4EC4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 w14:paraId="7469C490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13029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其他要求</w:t>
            </w:r>
          </w:p>
        </w:tc>
        <w:tc>
          <w:tcPr>
            <w:tcW w:w="6462" w:type="dxa"/>
            <w:gridSpan w:val="2"/>
            <w:noWrap w:val="0"/>
            <w:vAlign w:val="center"/>
          </w:tcPr>
          <w:p w14:paraId="573DA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符合第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章“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谈判采购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公告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”第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二条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相关规定。</w:t>
            </w:r>
          </w:p>
        </w:tc>
      </w:tr>
      <w:tr w14:paraId="227AE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5E9DA39C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 w14:paraId="12959798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5EA41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真实有效</w:t>
            </w:r>
          </w:p>
        </w:tc>
        <w:tc>
          <w:tcPr>
            <w:tcW w:w="6462" w:type="dxa"/>
            <w:gridSpan w:val="2"/>
            <w:noWrap w:val="0"/>
            <w:vAlign w:val="top"/>
          </w:tcPr>
          <w:p w14:paraId="15547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未发现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人以他人名义投标、串通投标、以行贿手段谋取中标或者以其他弄虚作假方式投标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 w14:paraId="5B832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87" w:type="dxa"/>
            <w:gridSpan w:val="5"/>
            <w:noWrap w:val="0"/>
            <w:vAlign w:val="center"/>
          </w:tcPr>
          <w:p w14:paraId="2886EF96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上述评审标准，申请人须全部满足，否则视为不合格的申请人，不得进入符合性评审、详细评审。</w:t>
            </w:r>
          </w:p>
        </w:tc>
      </w:tr>
      <w:tr w14:paraId="23D3A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65" w:type="dxa"/>
            <w:gridSpan w:val="2"/>
            <w:noWrap w:val="0"/>
            <w:vAlign w:val="center"/>
          </w:tcPr>
          <w:p w14:paraId="43E30865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条款号</w:t>
            </w:r>
          </w:p>
        </w:tc>
        <w:tc>
          <w:tcPr>
            <w:tcW w:w="2460" w:type="dxa"/>
            <w:noWrap w:val="0"/>
            <w:vAlign w:val="center"/>
          </w:tcPr>
          <w:p w14:paraId="7E73CA9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评 审 因 素</w:t>
            </w:r>
          </w:p>
        </w:tc>
        <w:tc>
          <w:tcPr>
            <w:tcW w:w="6462" w:type="dxa"/>
            <w:gridSpan w:val="2"/>
            <w:noWrap w:val="0"/>
            <w:vAlign w:val="center"/>
          </w:tcPr>
          <w:p w14:paraId="01FE879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评 审 标 准</w:t>
            </w:r>
          </w:p>
        </w:tc>
      </w:tr>
      <w:tr w14:paraId="7755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0B21C3C8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二</w:t>
            </w:r>
          </w:p>
        </w:tc>
        <w:tc>
          <w:tcPr>
            <w:tcW w:w="739" w:type="dxa"/>
            <w:vMerge w:val="restart"/>
            <w:noWrap w:val="0"/>
            <w:vAlign w:val="center"/>
          </w:tcPr>
          <w:p w14:paraId="0E8F1751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符合性评审标准</w:t>
            </w:r>
          </w:p>
        </w:tc>
        <w:tc>
          <w:tcPr>
            <w:tcW w:w="2460" w:type="dxa"/>
            <w:noWrap w:val="0"/>
            <w:vAlign w:val="center"/>
          </w:tcPr>
          <w:p w14:paraId="38D5D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采购需求</w:t>
            </w:r>
          </w:p>
        </w:tc>
        <w:tc>
          <w:tcPr>
            <w:tcW w:w="6462" w:type="dxa"/>
            <w:gridSpan w:val="2"/>
            <w:noWrap w:val="0"/>
            <w:vAlign w:val="center"/>
          </w:tcPr>
          <w:p w14:paraId="61969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符合第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章“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谈判采购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公告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”第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一条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相关规定。</w:t>
            </w:r>
          </w:p>
        </w:tc>
      </w:tr>
      <w:tr w14:paraId="1A329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283B16F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 w14:paraId="30F4C81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27431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项目实施地点</w:t>
            </w:r>
          </w:p>
        </w:tc>
        <w:tc>
          <w:tcPr>
            <w:tcW w:w="6462" w:type="dxa"/>
            <w:gridSpan w:val="2"/>
            <w:noWrap w:val="0"/>
            <w:vAlign w:val="center"/>
          </w:tcPr>
          <w:p w14:paraId="621D7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符合第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章“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谈判采购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公告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”第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一条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相关规定。</w:t>
            </w:r>
          </w:p>
        </w:tc>
      </w:tr>
      <w:tr w14:paraId="69E33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6BAFE43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 w14:paraId="1F83915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622BD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合同履行期限</w:t>
            </w:r>
          </w:p>
        </w:tc>
        <w:tc>
          <w:tcPr>
            <w:tcW w:w="6462" w:type="dxa"/>
            <w:gridSpan w:val="2"/>
            <w:noWrap w:val="0"/>
            <w:vAlign w:val="center"/>
          </w:tcPr>
          <w:p w14:paraId="240A4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符合第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章“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谈判采购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公告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”第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一条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相关规定。</w:t>
            </w:r>
          </w:p>
        </w:tc>
      </w:tr>
      <w:tr w14:paraId="399CE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5C3F019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 w14:paraId="7D79207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6EC25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质量要求</w:t>
            </w:r>
          </w:p>
        </w:tc>
        <w:tc>
          <w:tcPr>
            <w:tcW w:w="6462" w:type="dxa"/>
            <w:gridSpan w:val="2"/>
            <w:noWrap w:val="0"/>
            <w:vAlign w:val="center"/>
          </w:tcPr>
          <w:p w14:paraId="33984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符合第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章“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谈判采购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公告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”第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一条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相关规定。</w:t>
            </w:r>
          </w:p>
        </w:tc>
      </w:tr>
      <w:tr w14:paraId="3D663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55A60BF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 w14:paraId="72D0003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572DF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权利义务</w:t>
            </w:r>
          </w:p>
        </w:tc>
        <w:tc>
          <w:tcPr>
            <w:tcW w:w="6462" w:type="dxa"/>
            <w:gridSpan w:val="2"/>
            <w:noWrap w:val="0"/>
            <w:vAlign w:val="center"/>
          </w:tcPr>
          <w:p w14:paraId="71CA3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符合第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章“合同条款及格式”规定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0DBD2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26EB780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 w14:paraId="670B5FD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21F22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评标澄清、说明或补正</w:t>
            </w:r>
          </w:p>
        </w:tc>
        <w:tc>
          <w:tcPr>
            <w:tcW w:w="6462" w:type="dxa"/>
            <w:gridSpan w:val="2"/>
            <w:noWrap w:val="0"/>
            <w:vAlign w:val="center"/>
          </w:tcPr>
          <w:p w14:paraId="34BFE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不按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谈判小组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要求进行澄清、说明或补正的作否决投标处理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44111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1C6AD68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 w14:paraId="017F684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083E1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报价</w:t>
            </w:r>
          </w:p>
        </w:tc>
        <w:tc>
          <w:tcPr>
            <w:tcW w:w="6462" w:type="dxa"/>
            <w:gridSpan w:val="2"/>
            <w:noWrap w:val="0"/>
            <w:vAlign w:val="center"/>
          </w:tcPr>
          <w:p w14:paraId="5612F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的最终报价符合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符合第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章“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谈判须知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”第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相关规定。</w:t>
            </w:r>
          </w:p>
        </w:tc>
      </w:tr>
      <w:tr w14:paraId="6BF6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3A7546F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 w14:paraId="21C0FC1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5E59344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响应文件格式</w:t>
            </w:r>
          </w:p>
        </w:tc>
        <w:tc>
          <w:tcPr>
            <w:tcW w:w="6462" w:type="dxa"/>
            <w:gridSpan w:val="2"/>
            <w:noWrap w:val="0"/>
            <w:vAlign w:val="center"/>
          </w:tcPr>
          <w:p w14:paraId="1EC75F19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按第五章“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响应文件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格式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”填写，内容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全或关键字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清晰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可辨认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的。</w:t>
            </w:r>
          </w:p>
        </w:tc>
      </w:tr>
      <w:tr w14:paraId="564B3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6B77898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 w14:paraId="6D87035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10ECE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响应文件签署</w:t>
            </w:r>
          </w:p>
        </w:tc>
        <w:tc>
          <w:tcPr>
            <w:tcW w:w="6462" w:type="dxa"/>
            <w:gridSpan w:val="2"/>
            <w:noWrap w:val="0"/>
            <w:vAlign w:val="center"/>
          </w:tcPr>
          <w:p w14:paraId="3C4FC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符合第五章“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响应文件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格式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”部分要求签字盖章的。</w:t>
            </w:r>
          </w:p>
        </w:tc>
      </w:tr>
      <w:tr w14:paraId="2501A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377C2FD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 w14:paraId="47C0976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6DE02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采购人不能接受的条件</w:t>
            </w:r>
          </w:p>
        </w:tc>
        <w:tc>
          <w:tcPr>
            <w:tcW w:w="6462" w:type="dxa"/>
            <w:gridSpan w:val="2"/>
            <w:noWrap w:val="0"/>
            <w:vAlign w:val="center"/>
          </w:tcPr>
          <w:p w14:paraId="332F2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响应文件中附有采购人不能接受的条件的。</w:t>
            </w:r>
          </w:p>
        </w:tc>
      </w:tr>
      <w:tr w14:paraId="36EE5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3DD9C92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 w14:paraId="1C602ED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2127F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其他实质性要求</w:t>
            </w:r>
          </w:p>
        </w:tc>
        <w:tc>
          <w:tcPr>
            <w:tcW w:w="6462" w:type="dxa"/>
            <w:gridSpan w:val="2"/>
            <w:noWrap w:val="0"/>
            <w:vAlign w:val="center"/>
          </w:tcPr>
          <w:p w14:paraId="2C210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符合本次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谈判谈判采购文件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的其他实质性要求的。</w:t>
            </w:r>
          </w:p>
        </w:tc>
      </w:tr>
      <w:tr w14:paraId="26717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0087" w:type="dxa"/>
            <w:gridSpan w:val="5"/>
            <w:noWrap w:val="0"/>
            <w:vAlign w:val="center"/>
          </w:tcPr>
          <w:p w14:paraId="1C7B46BA">
            <w:pPr>
              <w:pStyle w:val="8"/>
              <w:widowControl w:val="0"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符合性评审通过者，才能进入详细评审，详细评审包括技术部分评审和商务部分评审，满分为100分。各申请人最终得分=技术部分得分+商务部分得分。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小组将按照申请人最后得分由高至低第一至第三中标候选人。</w:t>
            </w:r>
          </w:p>
        </w:tc>
      </w:tr>
      <w:tr w14:paraId="4C621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65" w:type="dxa"/>
            <w:gridSpan w:val="2"/>
            <w:noWrap w:val="0"/>
            <w:vAlign w:val="center"/>
          </w:tcPr>
          <w:p w14:paraId="2F2749C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条款号</w:t>
            </w:r>
          </w:p>
        </w:tc>
        <w:tc>
          <w:tcPr>
            <w:tcW w:w="4246" w:type="dxa"/>
            <w:gridSpan w:val="2"/>
            <w:noWrap w:val="0"/>
            <w:vAlign w:val="center"/>
          </w:tcPr>
          <w:p w14:paraId="30CEA012">
            <w:pPr>
              <w:spacing w:line="360" w:lineRule="auto"/>
              <w:ind w:firstLine="422" w:firstLineChars="20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评审因素</w:t>
            </w:r>
          </w:p>
        </w:tc>
        <w:tc>
          <w:tcPr>
            <w:tcW w:w="4676" w:type="dxa"/>
            <w:noWrap w:val="0"/>
            <w:vAlign w:val="center"/>
          </w:tcPr>
          <w:p w14:paraId="5AED5B42">
            <w:pPr>
              <w:spacing w:line="360" w:lineRule="auto"/>
              <w:ind w:firstLine="422" w:firstLineChars="200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评审标准</w:t>
            </w:r>
          </w:p>
        </w:tc>
      </w:tr>
      <w:tr w14:paraId="23086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1D4C23D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三</w:t>
            </w:r>
          </w:p>
        </w:tc>
        <w:tc>
          <w:tcPr>
            <w:tcW w:w="739" w:type="dxa"/>
            <w:vMerge w:val="restart"/>
            <w:noWrap w:val="0"/>
            <w:vAlign w:val="center"/>
          </w:tcPr>
          <w:p w14:paraId="089C996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详细评审标准</w:t>
            </w:r>
          </w:p>
        </w:tc>
        <w:tc>
          <w:tcPr>
            <w:tcW w:w="2460" w:type="dxa"/>
            <w:vMerge w:val="restart"/>
            <w:noWrap w:val="0"/>
            <w:vAlign w:val="center"/>
          </w:tcPr>
          <w:p w14:paraId="58A5935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技术部分评审</w:t>
            </w:r>
          </w:p>
          <w:p w14:paraId="071B442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（满分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786" w:type="dxa"/>
            <w:noWrap w:val="0"/>
            <w:vAlign w:val="center"/>
          </w:tcPr>
          <w:p w14:paraId="1662BC0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项目整体实施方案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评审</w:t>
            </w:r>
          </w:p>
          <w:p w14:paraId="02008E0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（满分20分）</w:t>
            </w:r>
          </w:p>
        </w:tc>
        <w:tc>
          <w:tcPr>
            <w:tcW w:w="4676" w:type="dxa"/>
            <w:noWrap w:val="0"/>
            <w:vAlign w:val="center"/>
          </w:tcPr>
          <w:p w14:paraId="68DA3112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根据供应商提供的（1）供货能力；(2)供货方案进行综合评审：</w:t>
            </w:r>
          </w:p>
          <w:p w14:paraId="0915369F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①供货能力阐述内容详细完整、合理、具体，供货方案符合实际项目实际情况，内容详细完整，针对性强、可操作性强，配送及时，完全满足采购人需求的得满分20分；</w:t>
            </w:r>
          </w:p>
          <w:p w14:paraId="739EA750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②以上两项内容每缺少一项内容扣10分；</w:t>
            </w:r>
          </w:p>
          <w:p w14:paraId="3DCD631D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③以上任意一项内容每有一处描述缺陷的扣1分；</w:t>
            </w:r>
          </w:p>
          <w:p w14:paraId="25AB68A1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上内容涉及到的描述缺陷是指：内容无针对性，不全面、不清晰、无可行性，内容与实际情况不匹配、不符合项目特点或无法达到预期效果、不适用于本项目、内容不符合相关规范要求、内容与本项目无关等任意一种情形。</w:t>
            </w:r>
          </w:p>
          <w:p w14:paraId="584B87F5">
            <w:pPr>
              <w:pStyle w:val="3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注：②③条款不重复扣分，扣完为止。</w:t>
            </w:r>
          </w:p>
        </w:tc>
      </w:tr>
      <w:tr w14:paraId="45037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08D182C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 w14:paraId="0969B4A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 w14:paraId="3DFB302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424C0EC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技术要求评审</w:t>
            </w:r>
          </w:p>
          <w:p w14:paraId="6F26E81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满分9分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676" w:type="dxa"/>
            <w:noWrap w:val="0"/>
            <w:vAlign w:val="center"/>
          </w:tcPr>
          <w:p w14:paraId="7745961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根据响应产品的技术参数及配置满足采购文件要求的程度，以及产品性能、主要技术参数存在偏离情况等方面进行综合评分；</w:t>
            </w:r>
          </w:p>
          <w:p w14:paraId="63A0602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①响应</w:t>
            </w:r>
            <w:r>
              <w:rPr>
                <w:rFonts w:hint="eastAsia"/>
              </w:rPr>
              <w:t>产品充分并优于</w:t>
            </w:r>
            <w:r>
              <w:rPr>
                <w:rFonts w:hint="eastAsia"/>
                <w:lang w:val="en-US" w:eastAsia="zh-CN"/>
              </w:rPr>
              <w:t>采购</w:t>
            </w:r>
            <w:r>
              <w:rPr>
                <w:rFonts w:hint="eastAsia"/>
              </w:rPr>
              <w:t>文件的要求，产品性能、质量等方面性能、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符合实际项目实际情况，内容详细完整，针对性强、可操作性强完全满足采购人需求的得满分9分；</w:t>
            </w:r>
          </w:p>
          <w:p w14:paraId="39174F1B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②内容无针对性，不全面、不清晰、无可行性，内容与实际情况不匹配、不符合项目特点或无法达到预期效果、不适用于本项目、内容不符合相关规范要求、内容与本项目无关等任意一种情形扣1分，扣完为止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0E4B5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67CDF5A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 w14:paraId="43FD7C3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 w14:paraId="2F6A7D9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7419484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 w14:paraId="111349D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 w14:paraId="1908DEC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 w14:paraId="1EF5D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量保证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措施及保障承诺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评审</w:t>
            </w:r>
          </w:p>
          <w:p w14:paraId="7B6B7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（满分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4676" w:type="dxa"/>
            <w:noWrap w:val="0"/>
            <w:vAlign w:val="center"/>
          </w:tcPr>
          <w:p w14:paraId="7E0D7833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根据供应商提供的（1）产品质量保证措施及保障承诺；(2)相对应的惩处措施进行综合评审：</w:t>
            </w:r>
          </w:p>
          <w:p w14:paraId="4D932A2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①产品质量保证措施及保障承诺全面、合理、针对性强，有具体的违约责任承诺的得满分10分；</w:t>
            </w:r>
          </w:p>
          <w:p w14:paraId="29FED7E7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②以上两项内容每缺少一项内容扣5分；</w:t>
            </w:r>
          </w:p>
          <w:p w14:paraId="315A5F8B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③以上任意一项内容每有一处描述缺陷的扣1分；</w:t>
            </w:r>
          </w:p>
          <w:p w14:paraId="2A1AECA3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上内容涉及到的描述缺陷是指：质量保证措施及保障承诺不符合采购人实际情况，内容无针对性，不全面、不清晰、不符合项目特点或无法达到预期效果、内容不符合相关规范要求、内容与本项目无关等任意一种情形。</w:t>
            </w:r>
          </w:p>
          <w:p w14:paraId="7D6796CE"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注：②③条款不重复扣分，扣完为止。</w:t>
            </w:r>
          </w:p>
        </w:tc>
      </w:tr>
      <w:tr w14:paraId="47383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3B5C861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 w14:paraId="56C5187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 w14:paraId="1323697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7A9B4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服务及违约承诺、保障措施评审</w:t>
            </w:r>
          </w:p>
          <w:p w14:paraId="01D9E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(满分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 xml:space="preserve"> 分 )</w:t>
            </w:r>
          </w:p>
        </w:tc>
        <w:tc>
          <w:tcPr>
            <w:tcW w:w="4676" w:type="dxa"/>
            <w:noWrap w:val="0"/>
            <w:vAlign w:val="center"/>
          </w:tcPr>
          <w:p w14:paraId="357CB109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根据供应商提供的服务及违约承诺、保障措施进行评审：</w:t>
            </w:r>
          </w:p>
          <w:p w14:paraId="5FA9FDB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①有完善、具体且充分的服务及违约承诺、可行性强；保障措施可操作性强，有具体的处罚措施的得满分10分；</w:t>
            </w:r>
          </w:p>
          <w:p w14:paraId="5DF2248C"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②内容无针对性，不全面、不清晰、无可行性，内容与实际情况不匹配、不符合项目特点或无法达到预期效果、不适用于本项目、内容不符合相关规范要求、内容与本项目无关等任意一种情形扣2分，扣完为止。</w:t>
            </w:r>
          </w:p>
        </w:tc>
      </w:tr>
      <w:tr w14:paraId="1914D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7EB7B8FC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 w14:paraId="11A2AEA7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 w14:paraId="6A932B6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112A92E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 w14:paraId="1D99777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 w14:paraId="76F0BEF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 w14:paraId="2ADE22A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  <w:p w14:paraId="08A99117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售后服务方案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评审</w:t>
            </w:r>
          </w:p>
          <w:p w14:paraId="6EE48C7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（满分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4676" w:type="dxa"/>
            <w:noWrap w:val="0"/>
            <w:vAlign w:val="center"/>
          </w:tcPr>
          <w:p w14:paraId="0E126319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根据供应商提供的售后服务方案进行评审，包括但不限于：</w:t>
            </w:r>
          </w:p>
          <w:p w14:paraId="02FFEF04"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（1）质保期内和质保期外售后服务方案；（2）服务响应时限；（3）售后服务人员的配备情况；（4）售后服务承诺及相对应的惩处措施；</w:t>
            </w:r>
          </w:p>
          <w:p w14:paraId="6AA45A3A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①售后服务方案及承诺完整、表达清晰、有针对性、完全贴合项目需求，相对应的惩处措施详细、具体，服务响应时限具体、合理，售后服务人员的配备合理，能较好的满足采购需求的得满分16分；</w:t>
            </w:r>
          </w:p>
          <w:p w14:paraId="5949AC4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②以上四项内容每缺少一项内容扣4分；</w:t>
            </w:r>
          </w:p>
          <w:p w14:paraId="4257386F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③以上任意一项内容每有一处描述缺陷的扣1分；</w:t>
            </w:r>
          </w:p>
          <w:p w14:paraId="31B63CE6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上内容涉及到的描述缺陷是指：内容无针对性，不全面、不清晰、无可行性，内容与实际情况不匹配、不符合项目特点或无法达到预期效果、不适用于本项目、内容不符合相关规范要求、内容与本项目无关等任意一种情形。</w:t>
            </w:r>
          </w:p>
          <w:p w14:paraId="436A93C4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注：②③条款不重复扣分，扣完为止。</w:t>
            </w:r>
          </w:p>
        </w:tc>
      </w:tr>
      <w:tr w14:paraId="0222E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1A35FD3E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 w14:paraId="1B5FD929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vMerge w:val="continue"/>
            <w:noWrap w:val="0"/>
            <w:vAlign w:val="center"/>
          </w:tcPr>
          <w:p w14:paraId="7EEAF75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69752D9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类似业绩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评审</w:t>
            </w:r>
          </w:p>
          <w:p w14:paraId="07B1CB0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（满分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4676" w:type="dxa"/>
            <w:noWrap w:val="0"/>
            <w:vAlign w:val="center"/>
          </w:tcPr>
          <w:p w14:paraId="44F8A3D8"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根据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同品目产品的类似业绩进行评审，评审规则如下:</w:t>
            </w:r>
          </w:p>
          <w:p w14:paraId="132DC647"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1.每提供一个(2021年至今)产品业绩的证明材料(中标通知书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合同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复印件或扫描件等有效证明文件)得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分，此部分最多得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分。</w:t>
            </w:r>
          </w:p>
          <w:p w14:paraId="04256CA0"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2.未提供类似产品业绩的证明材料，或提供的材料无效的不得分。</w:t>
            </w:r>
          </w:p>
        </w:tc>
      </w:tr>
      <w:tr w14:paraId="6A385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22FF1EC4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center"/>
          </w:tcPr>
          <w:p w14:paraId="57262096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4B45DD7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商务部分评审</w:t>
            </w:r>
          </w:p>
          <w:p w14:paraId="743AA18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（满分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1786" w:type="dxa"/>
            <w:noWrap w:val="0"/>
            <w:vAlign w:val="center"/>
          </w:tcPr>
          <w:p w14:paraId="616B093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1、2包报价评审</w:t>
            </w:r>
          </w:p>
          <w:p w14:paraId="6F049DE2"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（满分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4676" w:type="dxa"/>
            <w:noWrap w:val="0"/>
            <w:vAlign w:val="center"/>
          </w:tcPr>
          <w:p w14:paraId="0CE32273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</w:rPr>
              <w:t>满足</w:t>
            </w:r>
            <w:r>
              <w:rPr>
                <w:rFonts w:hint="eastAsia" w:ascii="宋体" w:hAnsi="宋体" w:eastAsia="宋体" w:cs="宋体"/>
                <w:sz w:val="21"/>
                <w:szCs w:val="20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文件要求且最后</w:t>
            </w:r>
            <w:r>
              <w:rPr>
                <w:rFonts w:hint="eastAsia" w:ascii="宋体" w:hAnsi="宋体" w:eastAsia="宋体" w:cs="宋体"/>
                <w:sz w:val="21"/>
                <w:szCs w:val="20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报价价格最低的供应商的报价为评审基准价，其价格分为满分。其他供应商的价格分统一按照下列公式计算：</w:t>
            </w:r>
          </w:p>
          <w:p w14:paraId="7389E9B8"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</w:rPr>
              <w:t>最后</w:t>
            </w:r>
            <w:r>
              <w:rPr>
                <w:rFonts w:hint="eastAsia" w:ascii="宋体" w:hAnsi="宋体" w:eastAsia="宋体" w:cs="宋体"/>
                <w:sz w:val="21"/>
                <w:szCs w:val="20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报价得分=（评审基准价/最后有效</w:t>
            </w:r>
            <w:r>
              <w:rPr>
                <w:rFonts w:hint="eastAsia" w:ascii="宋体" w:hAnsi="宋体" w:eastAsia="宋体" w:cs="宋体"/>
                <w:sz w:val="21"/>
                <w:szCs w:val="20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报价）×</w:t>
            </w:r>
            <w:r>
              <w:rPr>
                <w:rFonts w:hint="eastAsia" w:ascii="宋体" w:hAnsi="宋体" w:eastAsia="宋体" w:cs="宋体"/>
                <w:sz w:val="21"/>
                <w:szCs w:val="20"/>
                <w:lang w:val="en-US" w:eastAsia="zh-CN"/>
              </w:rPr>
              <w:t>30</w:t>
            </w:r>
          </w:p>
          <w:p w14:paraId="4895AB1C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</w:rPr>
              <w:t>注：</w:t>
            </w:r>
          </w:p>
          <w:p w14:paraId="00939FB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  <w:t>1、本项目针对小型和微型企业的价格给予</w:t>
            </w:r>
            <w:r>
              <w:rPr>
                <w:rFonts w:hint="eastAsia" w:hAnsi="宋体" w:eastAsia="宋体" w:cs="宋体"/>
                <w:kern w:val="2"/>
                <w:sz w:val="21"/>
                <w:szCs w:val="20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  <w:t>%的扣除或残疾人福利性单位的价格给予</w:t>
            </w:r>
            <w:r>
              <w:rPr>
                <w:rFonts w:hint="eastAsia" w:hAnsi="宋体" w:eastAsia="宋体" w:cs="宋体"/>
                <w:kern w:val="2"/>
                <w:sz w:val="21"/>
                <w:szCs w:val="20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  <w:t>%的扣除，用扣除后的价格参与评审，残疾人福利性单位属于小型、微型企业的，不重复享受政策。（监狱企业视同小型或微型企业）。</w:t>
            </w:r>
          </w:p>
          <w:p w14:paraId="44040ED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  <w:t>2、计算结果不为整数时保留2位小数。</w:t>
            </w:r>
          </w:p>
          <w:p w14:paraId="13C362E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  <w:t>3、</w:t>
            </w:r>
            <w:r>
              <w:rPr>
                <w:rFonts w:hint="eastAsia" w:hAnsi="宋体" w:eastAsia="宋体" w:cs="宋体"/>
                <w:kern w:val="2"/>
                <w:sz w:val="21"/>
                <w:szCs w:val="20"/>
                <w:lang w:val="en-US" w:eastAsia="zh-CN" w:bidi="ar-SA"/>
              </w:rPr>
              <w:t>谈判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  <w:t>报价超出最高限价的，按无效标处理。</w:t>
            </w:r>
          </w:p>
          <w:p w14:paraId="3390579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  <w:t>4、中小企业价格评审内容详见《政府采购促进中小企业发展管理办法》的通知（财库〔2020〕46号）及《关于进一步加大政府采购支持中小企业力度的通知》（财库〔2022〕19号）的规定。</w:t>
            </w:r>
          </w:p>
        </w:tc>
      </w:tr>
    </w:tbl>
    <w:p w14:paraId="5276D081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82A6DC"/>
    <w:multiLevelType w:val="singleLevel"/>
    <w:tmpl w:val="5A82A6D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NzI2MTA1NzJkYTRkZDBmMTFiZmM2ZjA2MmI1NDMifQ=="/>
  </w:docVars>
  <w:rsids>
    <w:rsidRoot w:val="0DF5023B"/>
    <w:rsid w:val="0DF5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eastAsia="黑体"/>
      <w:b/>
      <w:kern w:val="44"/>
      <w:sz w:val="2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 Black" w:hAnsi="Arial Black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  <w:kern w:val="0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2024-07-17T07:31:00Z</dcterms:created>
  <dc:creator> 猪猪er</dc:creator>
  <cp:lastModifiedBy> 猪猪er</cp:lastModifiedBy>
  <dcterms:modified xsi:type="dcterms:W3CDTF">2024-07-17T07:32:01Z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56103B3C3F12472B946757C0083DCB37_11</vt:lpwstr>
  </property>
</Properties>
</file>