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2"/>
          <w:szCs w:val="32"/>
        </w:rPr>
      </w:pPr>
      <w:r>
        <w:rPr>
          <w:rFonts w:hint="eastAsia" w:ascii="宋体" w:hAnsi="宋体" w:cs="宋体"/>
          <w:b/>
          <w:bCs/>
          <w:sz w:val="32"/>
          <w:szCs w:val="32"/>
        </w:rPr>
        <w:t>评审标准</w:t>
      </w:r>
    </w:p>
    <w:tbl>
      <w:tblPr>
        <w:tblStyle w:val="4"/>
        <w:tblW w:w="8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421" w:type="dxa"/>
            <w:gridSpan w:val="3"/>
            <w:vAlign w:val="center"/>
          </w:tcPr>
          <w:p>
            <w:pPr>
              <w:jc w:val="center"/>
              <w:rPr>
                <w:rFonts w:hint="eastAsia"/>
                <w:sz w:val="24"/>
                <w:szCs w:val="24"/>
              </w:rPr>
            </w:pPr>
            <w:r>
              <w:rPr>
                <w:rFonts w:hint="eastAsia"/>
                <w:sz w:val="24"/>
                <w:szCs w:val="24"/>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jc w:val="center"/>
              <w:rPr>
                <w:rFonts w:hint="eastAsia"/>
                <w:b/>
                <w:sz w:val="24"/>
                <w:szCs w:val="24"/>
              </w:rPr>
            </w:pPr>
            <w:r>
              <w:rPr>
                <w:rFonts w:hint="eastAsia"/>
                <w:b/>
                <w:sz w:val="24"/>
                <w:szCs w:val="24"/>
              </w:rPr>
              <w:t>条款号</w:t>
            </w:r>
          </w:p>
        </w:tc>
        <w:tc>
          <w:tcPr>
            <w:tcW w:w="1984" w:type="dxa"/>
            <w:vAlign w:val="center"/>
          </w:tcPr>
          <w:p>
            <w:pPr>
              <w:jc w:val="center"/>
              <w:rPr>
                <w:sz w:val="24"/>
                <w:szCs w:val="24"/>
              </w:rPr>
            </w:pPr>
            <w:r>
              <w:rPr>
                <w:rFonts w:hint="eastAsia"/>
                <w:sz w:val="24"/>
                <w:szCs w:val="24"/>
              </w:rPr>
              <w:t>评分因素</w:t>
            </w:r>
          </w:p>
        </w:tc>
        <w:tc>
          <w:tcPr>
            <w:tcW w:w="5303" w:type="dxa"/>
            <w:vAlign w:val="center"/>
          </w:tcPr>
          <w:p>
            <w:pPr>
              <w:jc w:val="center"/>
              <w:rPr>
                <w:sz w:val="24"/>
                <w:szCs w:val="24"/>
              </w:rPr>
            </w:pPr>
            <w:r>
              <w:rPr>
                <w:rFonts w:hint="eastAsia"/>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134" w:type="dxa"/>
            <w:vMerge w:val="restart"/>
            <w:vAlign w:val="center"/>
          </w:tcPr>
          <w:p>
            <w:pPr>
              <w:jc w:val="center"/>
              <w:rPr>
                <w:sz w:val="24"/>
                <w:szCs w:val="24"/>
              </w:rPr>
            </w:pPr>
            <w:r>
              <w:rPr>
                <w:rFonts w:hint="eastAsia"/>
                <w:sz w:val="24"/>
                <w:szCs w:val="24"/>
              </w:rPr>
              <w:t>技术和商务评分标准（</w:t>
            </w:r>
            <w:r>
              <w:rPr>
                <w:sz w:val="24"/>
                <w:szCs w:val="24"/>
              </w:rPr>
              <w:t>100</w:t>
            </w:r>
            <w:r>
              <w:rPr>
                <w:rFonts w:hint="eastAsia"/>
                <w:sz w:val="24"/>
                <w:szCs w:val="24"/>
              </w:rPr>
              <w:t>分）</w:t>
            </w:r>
          </w:p>
        </w:tc>
        <w:tc>
          <w:tcPr>
            <w:tcW w:w="1984" w:type="dxa"/>
            <w:vAlign w:val="center"/>
          </w:tcPr>
          <w:p>
            <w:pPr>
              <w:jc w:val="center"/>
              <w:rPr>
                <w:sz w:val="24"/>
                <w:szCs w:val="24"/>
              </w:rPr>
            </w:pPr>
            <w:r>
              <w:rPr>
                <w:rFonts w:hint="eastAsia"/>
                <w:sz w:val="24"/>
                <w:szCs w:val="24"/>
              </w:rPr>
              <w:t>投标货物设备整体评价</w:t>
            </w:r>
          </w:p>
          <w:p>
            <w:pPr>
              <w:jc w:val="center"/>
              <w:rPr>
                <w:sz w:val="24"/>
                <w:szCs w:val="24"/>
              </w:rPr>
            </w:pPr>
            <w:r>
              <w:rPr>
                <w:rFonts w:hint="eastAsia"/>
                <w:sz w:val="24"/>
                <w:szCs w:val="24"/>
              </w:rPr>
              <w:t>（满分30分）</w:t>
            </w:r>
          </w:p>
        </w:tc>
        <w:tc>
          <w:tcPr>
            <w:tcW w:w="5303" w:type="dxa"/>
            <w:vAlign w:val="center"/>
          </w:tcPr>
          <w:p>
            <w:pPr>
              <w:rPr>
                <w:rFonts w:hint="eastAsia" w:ascii="宋体" w:hAnsi="宋体" w:cs="宋体"/>
                <w:bCs/>
                <w:sz w:val="24"/>
                <w:szCs w:val="24"/>
              </w:rPr>
            </w:pPr>
            <w:r>
              <w:rPr>
                <w:rFonts w:hint="eastAsia" w:ascii="宋体" w:hAnsi="宋体" w:cs="宋体"/>
                <w:bCs/>
                <w:sz w:val="24"/>
                <w:szCs w:val="24"/>
              </w:rPr>
              <w:t>依据投标产品技术性能参数、配置与磋商文件技术要求的偏离情况进行综合评分，</w:t>
            </w:r>
          </w:p>
          <w:p>
            <w:pPr>
              <w:rPr>
                <w:rFonts w:hint="eastAsia" w:ascii="宋体" w:hAnsi="宋体" w:cs="宋体"/>
                <w:bCs/>
                <w:sz w:val="24"/>
                <w:szCs w:val="24"/>
              </w:rPr>
            </w:pPr>
            <w:r>
              <w:rPr>
                <w:rFonts w:hint="eastAsia" w:ascii="宋体" w:hAnsi="宋体" w:cs="宋体"/>
                <w:bCs/>
                <w:sz w:val="24"/>
                <w:szCs w:val="24"/>
              </w:rPr>
              <w:t>（1）本项满分30分；</w:t>
            </w:r>
          </w:p>
          <w:p>
            <w:pPr>
              <w:rPr>
                <w:rFonts w:hint="eastAsia" w:ascii="宋体" w:hAnsi="宋体" w:cs="宋体"/>
                <w:bCs/>
                <w:sz w:val="24"/>
                <w:szCs w:val="24"/>
              </w:rPr>
            </w:pPr>
            <w:r>
              <w:rPr>
                <w:rFonts w:hint="eastAsia" w:ascii="宋体" w:hAnsi="宋体" w:cs="宋体"/>
                <w:bCs/>
                <w:sz w:val="24"/>
                <w:szCs w:val="24"/>
              </w:rPr>
              <w:t>（2）响应文件提供的产品完全符合或优于磋商文件要求的，且提供的证明材料真实有效，得基本分30分；</w:t>
            </w:r>
          </w:p>
          <w:p>
            <w:pPr>
              <w:rPr>
                <w:rFonts w:hint="eastAsia" w:ascii="宋体" w:hAnsi="宋体" w:cs="宋体"/>
                <w:bCs/>
                <w:sz w:val="24"/>
                <w:szCs w:val="24"/>
              </w:rPr>
            </w:pPr>
            <w:r>
              <w:rPr>
                <w:rFonts w:hint="eastAsia" w:ascii="宋体" w:hAnsi="宋体" w:cs="宋体"/>
                <w:bCs/>
                <w:sz w:val="24"/>
                <w:szCs w:val="24"/>
              </w:rPr>
              <w:t>（3）参数有负偏离的每一项扣2分，分值扣完为止。</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134" w:type="dxa"/>
            <w:vMerge w:val="continue"/>
            <w:vAlign w:val="center"/>
          </w:tcPr>
          <w:p>
            <w:pPr>
              <w:widowControl/>
              <w:jc w:val="left"/>
              <w:rPr>
                <w:sz w:val="24"/>
                <w:szCs w:val="24"/>
              </w:rPr>
            </w:pPr>
          </w:p>
        </w:tc>
        <w:tc>
          <w:tcPr>
            <w:tcW w:w="1984" w:type="dxa"/>
            <w:vAlign w:val="center"/>
          </w:tcPr>
          <w:p>
            <w:pPr>
              <w:jc w:val="center"/>
              <w:rPr>
                <w:rFonts w:hint="eastAsia" w:ascii="宋体" w:hAnsi="宋体"/>
                <w:sz w:val="24"/>
                <w:szCs w:val="24"/>
              </w:rPr>
            </w:pPr>
            <w:r>
              <w:rPr>
                <w:rFonts w:hint="eastAsia" w:ascii="宋体" w:hAnsi="宋体"/>
                <w:sz w:val="24"/>
                <w:szCs w:val="24"/>
              </w:rPr>
              <w:t>项目供货方案</w:t>
            </w:r>
          </w:p>
          <w:p>
            <w:pPr>
              <w:jc w:val="center"/>
              <w:rPr>
                <w:sz w:val="24"/>
                <w:szCs w:val="24"/>
              </w:rPr>
            </w:pPr>
            <w:r>
              <w:rPr>
                <w:rFonts w:hint="eastAsia"/>
                <w:sz w:val="24"/>
                <w:szCs w:val="24"/>
              </w:rPr>
              <w:t>（满分28分）</w:t>
            </w:r>
          </w:p>
        </w:tc>
        <w:tc>
          <w:tcPr>
            <w:tcW w:w="5303" w:type="dxa"/>
            <w:vAlign w:val="center"/>
          </w:tcPr>
          <w:p>
            <w:pPr>
              <w:rPr>
                <w:rFonts w:hint="eastAsia" w:ascii="宋体" w:hAnsi="宋体" w:cs="宋体"/>
                <w:bCs/>
                <w:sz w:val="24"/>
                <w:szCs w:val="24"/>
              </w:rPr>
            </w:pPr>
            <w:r>
              <w:rPr>
                <w:rFonts w:hint="eastAsia" w:ascii="宋体" w:hAnsi="宋体" w:cs="宋体"/>
                <w:bCs/>
                <w:sz w:val="24"/>
                <w:szCs w:val="24"/>
              </w:rPr>
              <w:t>1.项目整体实施方案、供货运输方案、安装方案、实施进度周期、技术培训、验收保障等满足磋商文件要求，方案完整有针对性，得</w:t>
            </w:r>
            <w:r>
              <w:rPr>
                <w:rFonts w:ascii="宋体" w:hAnsi="宋体" w:cs="宋体"/>
                <w:bCs/>
                <w:sz w:val="24"/>
                <w:szCs w:val="24"/>
              </w:rPr>
              <w:t>22</w:t>
            </w:r>
            <w:r>
              <w:rPr>
                <w:rFonts w:hint="eastAsia" w:ascii="宋体" w:hAnsi="宋体" w:cs="宋体"/>
                <w:bCs/>
                <w:sz w:val="24"/>
                <w:szCs w:val="24"/>
              </w:rPr>
              <w:t>～</w:t>
            </w:r>
            <w:r>
              <w:rPr>
                <w:rFonts w:ascii="宋体" w:hAnsi="宋体" w:cs="宋体"/>
                <w:bCs/>
                <w:sz w:val="24"/>
                <w:szCs w:val="24"/>
              </w:rPr>
              <w:t>28</w:t>
            </w:r>
            <w:r>
              <w:rPr>
                <w:rFonts w:hint="eastAsia" w:ascii="宋体" w:hAnsi="宋体" w:cs="宋体"/>
                <w:bCs/>
                <w:sz w:val="24"/>
                <w:szCs w:val="24"/>
              </w:rPr>
              <w:t>分；</w:t>
            </w:r>
          </w:p>
          <w:p>
            <w:pPr>
              <w:rPr>
                <w:rFonts w:hint="eastAsia" w:ascii="宋体" w:hAnsi="宋体" w:cs="宋体"/>
                <w:bCs/>
                <w:sz w:val="24"/>
                <w:szCs w:val="24"/>
              </w:rPr>
            </w:pPr>
            <w:r>
              <w:rPr>
                <w:rFonts w:hint="eastAsia" w:ascii="宋体" w:hAnsi="宋体" w:cs="宋体"/>
                <w:bCs/>
                <w:sz w:val="24"/>
                <w:szCs w:val="24"/>
              </w:rPr>
              <w:t>2. 项目整体实施方案、供货运输方案、安装方案、实施进度周期、验收保障等满足磋商文件要求，方案基本完整遗漏或错误1</w:t>
            </w:r>
            <w:r>
              <w:rPr>
                <w:rFonts w:ascii="宋体" w:hAnsi="宋体" w:cs="宋体"/>
                <w:bCs/>
                <w:sz w:val="24"/>
                <w:szCs w:val="24"/>
              </w:rPr>
              <w:t>-2</w:t>
            </w:r>
            <w:r>
              <w:rPr>
                <w:rFonts w:hint="eastAsia" w:ascii="宋体" w:hAnsi="宋体" w:cs="宋体"/>
                <w:bCs/>
                <w:sz w:val="24"/>
                <w:szCs w:val="24"/>
              </w:rPr>
              <w:t>项，针对性一般，得1</w:t>
            </w:r>
            <w:r>
              <w:rPr>
                <w:rFonts w:ascii="宋体" w:hAnsi="宋体" w:cs="宋体"/>
                <w:bCs/>
                <w:sz w:val="24"/>
                <w:szCs w:val="24"/>
              </w:rPr>
              <w:t>6</w:t>
            </w:r>
            <w:r>
              <w:rPr>
                <w:rFonts w:hint="eastAsia" w:ascii="宋体" w:hAnsi="宋体" w:cs="宋体"/>
                <w:bCs/>
                <w:sz w:val="24"/>
                <w:szCs w:val="24"/>
              </w:rPr>
              <w:t>～</w:t>
            </w:r>
            <w:r>
              <w:rPr>
                <w:rFonts w:ascii="宋体" w:hAnsi="宋体" w:cs="宋体"/>
                <w:bCs/>
                <w:sz w:val="24"/>
                <w:szCs w:val="24"/>
              </w:rPr>
              <w:t>21</w:t>
            </w:r>
            <w:r>
              <w:rPr>
                <w:rFonts w:hint="eastAsia" w:ascii="宋体" w:hAnsi="宋体" w:cs="宋体"/>
                <w:bCs/>
                <w:sz w:val="24"/>
                <w:szCs w:val="24"/>
              </w:rPr>
              <w:t>分；</w:t>
            </w:r>
          </w:p>
          <w:p>
            <w:pPr>
              <w:rPr>
                <w:rFonts w:hint="eastAsia" w:ascii="宋体" w:hAnsi="宋体" w:cs="宋体"/>
                <w:bCs/>
                <w:sz w:val="24"/>
                <w:szCs w:val="24"/>
              </w:rPr>
            </w:pPr>
            <w:r>
              <w:rPr>
                <w:rFonts w:hint="eastAsia" w:ascii="宋体" w:hAnsi="宋体" w:cs="宋体"/>
                <w:bCs/>
                <w:sz w:val="24"/>
                <w:szCs w:val="24"/>
              </w:rPr>
              <w:t>3.项目整体实施方案、供货运输方案、安装方案、实施进度周期、技术培训、验收保障等基本满足磋商文件要求，方案遗漏或错误</w:t>
            </w:r>
            <w:r>
              <w:rPr>
                <w:rFonts w:ascii="宋体" w:hAnsi="宋体" w:cs="宋体"/>
                <w:bCs/>
                <w:sz w:val="24"/>
                <w:szCs w:val="24"/>
              </w:rPr>
              <w:t>3-4</w:t>
            </w:r>
            <w:r>
              <w:rPr>
                <w:rFonts w:hint="eastAsia" w:ascii="宋体" w:hAnsi="宋体" w:cs="宋体"/>
                <w:bCs/>
                <w:sz w:val="24"/>
                <w:szCs w:val="24"/>
              </w:rPr>
              <w:t>项，没有针对性，得</w:t>
            </w:r>
            <w:r>
              <w:rPr>
                <w:rFonts w:ascii="宋体" w:hAnsi="宋体" w:cs="宋体"/>
                <w:bCs/>
                <w:sz w:val="24"/>
                <w:szCs w:val="24"/>
              </w:rPr>
              <w:t>9</w:t>
            </w:r>
            <w:r>
              <w:rPr>
                <w:rFonts w:hint="eastAsia" w:ascii="宋体" w:hAnsi="宋体" w:cs="宋体"/>
                <w:bCs/>
                <w:sz w:val="24"/>
                <w:szCs w:val="24"/>
              </w:rPr>
              <w:t>～</w:t>
            </w:r>
            <w:r>
              <w:rPr>
                <w:rFonts w:ascii="宋体" w:hAnsi="宋体" w:cs="宋体"/>
                <w:bCs/>
                <w:sz w:val="24"/>
                <w:szCs w:val="24"/>
              </w:rPr>
              <w:t>15</w:t>
            </w:r>
            <w:r>
              <w:rPr>
                <w:rFonts w:hint="eastAsia" w:ascii="宋体" w:hAnsi="宋体" w:cs="宋体"/>
                <w:bCs/>
                <w:sz w:val="24"/>
                <w:szCs w:val="24"/>
              </w:rPr>
              <w:t>分；</w:t>
            </w:r>
          </w:p>
          <w:p>
            <w:pPr>
              <w:rPr>
                <w:sz w:val="24"/>
                <w:szCs w:val="24"/>
              </w:rPr>
            </w:pPr>
            <w:r>
              <w:rPr>
                <w:rFonts w:ascii="宋体" w:hAnsi="宋体" w:cs="宋体"/>
                <w:bCs/>
                <w:sz w:val="24"/>
                <w:szCs w:val="24"/>
              </w:rPr>
              <w:t>4</w:t>
            </w:r>
            <w:r>
              <w:rPr>
                <w:rFonts w:hint="eastAsia" w:ascii="宋体" w:hAnsi="宋体" w:cs="宋体"/>
                <w:bCs/>
                <w:sz w:val="24"/>
                <w:szCs w:val="24"/>
              </w:rPr>
              <w:t>.项目整体实施方案、供货运输方案、安装方案、实施进度周期、技术培训、验收保障等，方案遗漏或错误</w:t>
            </w:r>
            <w:r>
              <w:rPr>
                <w:rFonts w:ascii="宋体" w:hAnsi="宋体" w:cs="宋体"/>
                <w:bCs/>
                <w:sz w:val="24"/>
                <w:szCs w:val="24"/>
              </w:rPr>
              <w:t>4</w:t>
            </w:r>
            <w:r>
              <w:rPr>
                <w:rFonts w:hint="eastAsia" w:ascii="宋体" w:hAnsi="宋体" w:cs="宋体"/>
                <w:bCs/>
                <w:sz w:val="24"/>
                <w:szCs w:val="24"/>
              </w:rPr>
              <w:t>项以上，没有针对性，不符合项目实际情况，得1～</w:t>
            </w:r>
            <w:r>
              <w:rPr>
                <w:rFonts w:ascii="宋体" w:hAnsi="宋体" w:cs="宋体"/>
                <w:bCs/>
                <w:sz w:val="24"/>
                <w:szCs w:val="24"/>
              </w:rPr>
              <w:t>8</w:t>
            </w:r>
            <w:r>
              <w:rPr>
                <w:rFonts w:hint="eastAsia" w:ascii="宋体" w:hAnsi="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9" w:hRule="atLeast"/>
          <w:jc w:val="center"/>
        </w:trPr>
        <w:tc>
          <w:tcPr>
            <w:tcW w:w="1134" w:type="dxa"/>
            <w:vMerge w:val="continue"/>
            <w:vAlign w:val="center"/>
          </w:tcPr>
          <w:p>
            <w:pPr>
              <w:widowControl/>
              <w:jc w:val="left"/>
              <w:rPr>
                <w:sz w:val="24"/>
                <w:szCs w:val="24"/>
              </w:rPr>
            </w:pPr>
          </w:p>
        </w:tc>
        <w:tc>
          <w:tcPr>
            <w:tcW w:w="1984" w:type="dxa"/>
            <w:vAlign w:val="center"/>
          </w:tcPr>
          <w:p>
            <w:pPr>
              <w:autoSpaceDE w:val="0"/>
              <w:autoSpaceDN w:val="0"/>
              <w:snapToGrid w:val="0"/>
              <w:jc w:val="center"/>
              <w:rPr>
                <w:rFonts w:hint="eastAsia" w:ascii="宋体" w:hAnsi="宋体" w:cs="宋体"/>
                <w:sz w:val="24"/>
                <w:szCs w:val="24"/>
              </w:rPr>
            </w:pPr>
            <w:r>
              <w:rPr>
                <w:rFonts w:hint="eastAsia" w:ascii="宋体" w:hAnsi="宋体" w:cs="宋体"/>
                <w:sz w:val="24"/>
                <w:szCs w:val="24"/>
              </w:rPr>
              <w:t>交货期、质量保证及承诺</w:t>
            </w:r>
          </w:p>
          <w:p>
            <w:pPr>
              <w:jc w:val="center"/>
              <w:rPr>
                <w:sz w:val="24"/>
                <w:szCs w:val="24"/>
              </w:rPr>
            </w:pPr>
            <w:r>
              <w:rPr>
                <w:rFonts w:hint="eastAsia"/>
                <w:sz w:val="24"/>
                <w:szCs w:val="24"/>
              </w:rPr>
              <w:t>（10分）</w:t>
            </w:r>
          </w:p>
        </w:tc>
        <w:tc>
          <w:tcPr>
            <w:tcW w:w="5303" w:type="dxa"/>
            <w:vAlign w:val="center"/>
          </w:tcPr>
          <w:p>
            <w:pPr>
              <w:rPr>
                <w:rFonts w:hint="eastAsia" w:ascii="宋体" w:hAnsi="宋体" w:cs="宋体"/>
                <w:bCs/>
                <w:sz w:val="24"/>
                <w:szCs w:val="24"/>
              </w:rPr>
            </w:pPr>
            <w:r>
              <w:rPr>
                <w:rFonts w:hint="eastAsia" w:ascii="宋体" w:hAnsi="宋体" w:cs="宋体"/>
                <w:bCs/>
                <w:sz w:val="24"/>
                <w:szCs w:val="24"/>
              </w:rPr>
              <w:t>1、交货期、服务质量承诺详细具体，针对性强，可操作性强，违约承诺明确，能很好的满足采购要求，得7～10分；</w:t>
            </w:r>
          </w:p>
          <w:p>
            <w:pPr>
              <w:rPr>
                <w:rFonts w:hint="eastAsia" w:ascii="宋体" w:hAnsi="宋体" w:cs="宋体"/>
                <w:bCs/>
                <w:sz w:val="24"/>
                <w:szCs w:val="24"/>
              </w:rPr>
            </w:pPr>
            <w:r>
              <w:rPr>
                <w:rFonts w:hint="eastAsia" w:ascii="宋体" w:hAnsi="宋体" w:cs="宋体"/>
                <w:bCs/>
                <w:sz w:val="24"/>
                <w:szCs w:val="24"/>
              </w:rPr>
              <w:t>2、交货期、服务质量承诺一般，针对性及可操作性一般，违约承诺不明确，只能基本满足采购要求，得3～6分；</w:t>
            </w:r>
          </w:p>
          <w:p>
            <w:pPr>
              <w:rPr>
                <w:sz w:val="24"/>
                <w:szCs w:val="24"/>
              </w:rPr>
            </w:pPr>
            <w:r>
              <w:rPr>
                <w:rFonts w:hint="eastAsia" w:ascii="宋体" w:hAnsi="宋体" w:cs="宋体"/>
                <w:bCs/>
                <w:sz w:val="24"/>
                <w:szCs w:val="24"/>
              </w:rPr>
              <w:t>3、</w:t>
            </w:r>
            <w:r>
              <w:rPr>
                <w:rFonts w:hint="eastAsia" w:ascii="宋体" w:hAnsi="宋体" w:cs="宋体"/>
                <w:color w:val="000000"/>
                <w:sz w:val="24"/>
                <w:szCs w:val="24"/>
              </w:rPr>
              <w:t>交货期、</w:t>
            </w:r>
            <w:r>
              <w:rPr>
                <w:rFonts w:hint="eastAsia" w:ascii="宋体" w:hAnsi="宋体" w:cs="宋体"/>
                <w:bCs/>
                <w:sz w:val="24"/>
                <w:szCs w:val="24"/>
              </w:rPr>
              <w:t>服务质量承诺较差，无针对性可可操作性，无违约承诺，得0～2分。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134" w:type="dxa"/>
            <w:vMerge w:val="continue"/>
            <w:vAlign w:val="center"/>
          </w:tcPr>
          <w:p>
            <w:pPr>
              <w:widowControl/>
              <w:jc w:val="left"/>
              <w:rPr>
                <w:sz w:val="24"/>
                <w:szCs w:val="24"/>
              </w:rPr>
            </w:pPr>
          </w:p>
        </w:tc>
        <w:tc>
          <w:tcPr>
            <w:tcW w:w="1984" w:type="dxa"/>
            <w:vAlign w:val="center"/>
          </w:tcPr>
          <w:p>
            <w:pPr>
              <w:jc w:val="center"/>
              <w:rPr>
                <w:sz w:val="24"/>
                <w:szCs w:val="24"/>
              </w:rPr>
            </w:pPr>
            <w:r>
              <w:rPr>
                <w:rFonts w:hint="eastAsia" w:ascii="宋体" w:hAnsi="宋体" w:cs="宋体"/>
                <w:sz w:val="24"/>
                <w:szCs w:val="24"/>
              </w:rPr>
              <w:t>廉政建设、服务纪律及保密措施  （满分10分）</w:t>
            </w:r>
          </w:p>
        </w:tc>
        <w:tc>
          <w:tcPr>
            <w:tcW w:w="5303" w:type="dxa"/>
            <w:vAlign w:val="center"/>
          </w:tcPr>
          <w:p>
            <w:pPr>
              <w:rPr>
                <w:rFonts w:hint="eastAsia" w:ascii="宋体" w:hAnsi="宋体" w:cs="宋体"/>
                <w:bCs/>
                <w:sz w:val="24"/>
                <w:szCs w:val="24"/>
              </w:rPr>
            </w:pPr>
            <w:r>
              <w:rPr>
                <w:rFonts w:hint="eastAsia" w:ascii="宋体" w:hAnsi="宋体" w:cs="宋体"/>
                <w:bCs/>
                <w:sz w:val="24"/>
                <w:szCs w:val="24"/>
              </w:rPr>
              <w:t>1、供应商结合采购内容就廉政建设、服务纪律及保密有具体全面的制度和保证措施，有具体违约责任承诺的得7～10分；</w:t>
            </w:r>
          </w:p>
          <w:p>
            <w:pPr>
              <w:rPr>
                <w:rFonts w:hint="eastAsia" w:ascii="宋体" w:hAnsi="宋体" w:cs="宋体"/>
                <w:bCs/>
                <w:sz w:val="24"/>
                <w:szCs w:val="24"/>
              </w:rPr>
            </w:pPr>
            <w:r>
              <w:rPr>
                <w:rFonts w:hint="eastAsia" w:ascii="宋体" w:hAnsi="宋体" w:cs="宋体"/>
                <w:bCs/>
                <w:sz w:val="24"/>
                <w:szCs w:val="24"/>
              </w:rPr>
              <w:t>2、供应商结合采购内容就廉政建设、服务纪律及保密有相应的制度和保证措施，有违约责任承诺得3～6分；</w:t>
            </w:r>
          </w:p>
          <w:p>
            <w:pPr>
              <w:rPr>
                <w:sz w:val="24"/>
                <w:szCs w:val="24"/>
              </w:rPr>
            </w:pPr>
            <w:r>
              <w:rPr>
                <w:rFonts w:hint="eastAsia" w:ascii="宋体" w:hAnsi="宋体" w:cs="宋体"/>
                <w:bCs/>
                <w:sz w:val="24"/>
                <w:szCs w:val="24"/>
              </w:rPr>
              <w:t>3、供应商结合采购内容就廉政建设、服务纪律及保密有制度或保证措施，无违约责任承诺得0～2分。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134" w:type="dxa"/>
            <w:vMerge w:val="continue"/>
            <w:vAlign w:val="center"/>
          </w:tcPr>
          <w:p>
            <w:pPr>
              <w:widowControl/>
              <w:jc w:val="left"/>
              <w:rPr>
                <w:sz w:val="24"/>
                <w:szCs w:val="24"/>
              </w:rPr>
            </w:pPr>
          </w:p>
        </w:tc>
        <w:tc>
          <w:tcPr>
            <w:tcW w:w="1984" w:type="dxa"/>
            <w:vAlign w:val="center"/>
          </w:tcPr>
          <w:p>
            <w:pPr>
              <w:jc w:val="center"/>
              <w:rPr>
                <w:rFonts w:hint="eastAsia" w:ascii="宋体" w:hAnsi="宋体" w:cs="宋体"/>
                <w:sz w:val="24"/>
                <w:szCs w:val="24"/>
              </w:rPr>
            </w:pPr>
            <w:r>
              <w:rPr>
                <w:rFonts w:hint="eastAsia" w:ascii="宋体" w:hAnsi="宋体" w:cs="宋体"/>
                <w:sz w:val="24"/>
                <w:szCs w:val="24"/>
              </w:rPr>
              <w:t>售后服务</w:t>
            </w:r>
          </w:p>
          <w:p>
            <w:pPr>
              <w:jc w:val="center"/>
              <w:rPr>
                <w:sz w:val="24"/>
                <w:szCs w:val="24"/>
              </w:rPr>
            </w:pPr>
            <w:r>
              <w:rPr>
                <w:rFonts w:hint="eastAsia" w:ascii="宋体" w:hAnsi="宋体" w:cs="宋体"/>
                <w:sz w:val="24"/>
                <w:szCs w:val="24"/>
              </w:rPr>
              <w:t>（满分10分）</w:t>
            </w:r>
          </w:p>
        </w:tc>
        <w:tc>
          <w:tcPr>
            <w:tcW w:w="5303" w:type="dxa"/>
            <w:vAlign w:val="center"/>
          </w:tcPr>
          <w:p>
            <w:pPr>
              <w:rPr>
                <w:sz w:val="24"/>
                <w:szCs w:val="24"/>
              </w:rPr>
            </w:pPr>
            <w:r>
              <w:rPr>
                <w:rFonts w:hint="eastAsia" w:ascii="宋体" w:hAnsi="宋体" w:cs="宋体"/>
                <w:sz w:val="24"/>
                <w:szCs w:val="24"/>
                <w:lang w:val="zh-CN"/>
              </w:rPr>
              <w:t>1、提供售后服务方案全面，针对性强，具有很强的可操作性，所承诺的售后服务计划内容全面，售后巡检承诺齐全，保证措施、违约承诺详细，计划完善、组织合理；售后服务能力强，服务团队稳定，能提供优质快速的售后服务，响应时间在</w:t>
            </w:r>
            <w:r>
              <w:rPr>
                <w:rFonts w:ascii="宋体" w:hAnsi="宋体" w:cs="宋体"/>
                <w:sz w:val="24"/>
                <w:szCs w:val="24"/>
                <w:lang w:val="zh-CN"/>
              </w:rPr>
              <w:t>2</w:t>
            </w:r>
            <w:r>
              <w:rPr>
                <w:rFonts w:hint="eastAsia" w:ascii="宋体" w:hAnsi="宋体" w:cs="宋体"/>
                <w:sz w:val="24"/>
                <w:szCs w:val="24"/>
                <w:lang w:val="zh-CN"/>
              </w:rPr>
              <w:t>小时及以内，能较好的满足采购人需求，得7</w:t>
            </w:r>
            <w:r>
              <w:rPr>
                <w:rFonts w:hint="eastAsia" w:ascii="宋体" w:hAnsi="宋体" w:cs="宋体"/>
                <w:bCs/>
                <w:sz w:val="24"/>
                <w:szCs w:val="24"/>
              </w:rPr>
              <w:t>～</w:t>
            </w:r>
            <w:r>
              <w:rPr>
                <w:rFonts w:hint="eastAsia" w:ascii="宋体" w:hAnsi="宋体" w:cs="宋体"/>
                <w:sz w:val="24"/>
                <w:szCs w:val="24"/>
                <w:lang w:val="zh-CN"/>
              </w:rPr>
              <w:t>10分；</w:t>
            </w:r>
            <w:r>
              <w:rPr>
                <w:rFonts w:hint="eastAsia" w:ascii="宋体" w:hAnsi="宋体" w:cs="宋体"/>
                <w:sz w:val="24"/>
                <w:szCs w:val="24"/>
                <w:lang w:val="zh-CN"/>
              </w:rPr>
              <w:br w:type="textWrapping"/>
            </w:r>
            <w:r>
              <w:rPr>
                <w:rFonts w:hint="eastAsia" w:ascii="宋体" w:hAnsi="宋体" w:cs="宋体"/>
                <w:sz w:val="24"/>
                <w:szCs w:val="24"/>
                <w:lang w:val="zh-CN"/>
              </w:rPr>
              <w:t>2、提供售后服务方案相对全面，具有一定的针对性及可操作性，所承诺的售后服务计划内容相对全面，有售后巡检承诺，保证措施、违约承诺不详细，但不够划完善、，售后服务尚可，服务团队稳定，能提供优质的服务，响应时间在</w:t>
            </w:r>
            <w:r>
              <w:rPr>
                <w:rFonts w:ascii="宋体" w:hAnsi="宋体" w:cs="宋体"/>
                <w:sz w:val="24"/>
                <w:szCs w:val="24"/>
                <w:lang w:val="zh-CN"/>
              </w:rPr>
              <w:t>2-4</w:t>
            </w:r>
            <w:r>
              <w:rPr>
                <w:rFonts w:hint="eastAsia" w:ascii="宋体" w:hAnsi="宋体" w:cs="宋体"/>
                <w:sz w:val="24"/>
                <w:szCs w:val="24"/>
                <w:lang w:val="zh-CN"/>
              </w:rPr>
              <w:t>小时，能较好的满足采购人需求，得4</w:t>
            </w:r>
            <w:r>
              <w:rPr>
                <w:rFonts w:hint="eastAsia" w:ascii="宋体" w:hAnsi="宋体" w:cs="宋体"/>
                <w:bCs/>
                <w:sz w:val="24"/>
                <w:szCs w:val="24"/>
              </w:rPr>
              <w:t>～</w:t>
            </w:r>
            <w:r>
              <w:rPr>
                <w:rFonts w:hint="eastAsia" w:ascii="宋体" w:hAnsi="宋体" w:cs="宋体"/>
                <w:sz w:val="24"/>
                <w:szCs w:val="24"/>
                <w:lang w:val="zh-CN"/>
              </w:rPr>
              <w:t>6分；</w:t>
            </w:r>
            <w:r>
              <w:rPr>
                <w:rFonts w:hint="eastAsia" w:ascii="宋体" w:hAnsi="宋体" w:cs="宋体"/>
                <w:sz w:val="24"/>
                <w:szCs w:val="24"/>
                <w:lang w:val="zh-CN"/>
              </w:rPr>
              <w:br w:type="textWrapping"/>
            </w:r>
            <w:r>
              <w:rPr>
                <w:rFonts w:hint="eastAsia" w:ascii="宋体" w:hAnsi="宋体" w:cs="宋体"/>
                <w:sz w:val="24"/>
                <w:szCs w:val="24"/>
                <w:lang w:val="zh-CN"/>
              </w:rPr>
              <w:t>3、提供的售后服务方案没有针对性及可操作性，违约措施不明确具体，售后人员专业性一般，响应时间在</w:t>
            </w:r>
            <w:r>
              <w:rPr>
                <w:rFonts w:ascii="宋体" w:hAnsi="宋体" w:cs="宋体"/>
                <w:sz w:val="24"/>
                <w:szCs w:val="24"/>
                <w:lang w:val="zh-CN"/>
              </w:rPr>
              <w:t>4</w:t>
            </w:r>
            <w:r>
              <w:rPr>
                <w:rFonts w:hint="eastAsia" w:ascii="宋体" w:hAnsi="宋体" w:cs="宋体"/>
                <w:sz w:val="24"/>
                <w:szCs w:val="24"/>
                <w:lang w:val="zh-CN"/>
              </w:rPr>
              <w:t>小时及以上或未明确，得0</w:t>
            </w:r>
            <w:r>
              <w:rPr>
                <w:rFonts w:hint="eastAsia" w:ascii="宋体" w:hAnsi="宋体" w:cs="宋体"/>
                <w:bCs/>
                <w:sz w:val="24"/>
                <w:szCs w:val="24"/>
              </w:rPr>
              <w:t>～</w:t>
            </w:r>
            <w:r>
              <w:rPr>
                <w:rFonts w:hint="eastAsia" w:ascii="宋体" w:hAnsi="宋体" w:cs="宋体"/>
                <w:sz w:val="24"/>
                <w:szCs w:val="24"/>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1134" w:type="dxa"/>
            <w:vMerge w:val="continue"/>
            <w:vAlign w:val="center"/>
          </w:tcPr>
          <w:p>
            <w:pPr>
              <w:widowControl/>
              <w:jc w:val="left"/>
              <w:rPr>
                <w:sz w:val="24"/>
                <w:szCs w:val="24"/>
              </w:rPr>
            </w:pPr>
          </w:p>
        </w:tc>
        <w:tc>
          <w:tcPr>
            <w:tcW w:w="1984" w:type="dxa"/>
            <w:vAlign w:val="center"/>
          </w:tcPr>
          <w:p>
            <w:pPr>
              <w:jc w:val="center"/>
              <w:rPr>
                <w:rFonts w:hint="eastAsia" w:ascii="宋体" w:hAnsi="宋体" w:cs="宋体"/>
                <w:sz w:val="24"/>
                <w:szCs w:val="24"/>
              </w:rPr>
            </w:pPr>
            <w:r>
              <w:rPr>
                <w:rFonts w:hint="eastAsia" w:ascii="宋体" w:hAnsi="宋体" w:cs="宋体"/>
                <w:sz w:val="24"/>
                <w:szCs w:val="24"/>
              </w:rPr>
              <w:t>节能产品、环境标志产品</w:t>
            </w:r>
          </w:p>
          <w:p>
            <w:pPr>
              <w:jc w:val="center"/>
              <w:rPr>
                <w:sz w:val="24"/>
                <w:szCs w:val="24"/>
              </w:rPr>
            </w:pPr>
            <w:r>
              <w:rPr>
                <w:rFonts w:hint="eastAsia" w:ascii="宋体" w:hAnsi="宋体" w:cs="宋体"/>
                <w:sz w:val="24"/>
                <w:szCs w:val="24"/>
              </w:rPr>
              <w:t>（满分2分）</w:t>
            </w:r>
          </w:p>
        </w:tc>
        <w:tc>
          <w:tcPr>
            <w:tcW w:w="5303" w:type="dxa"/>
            <w:vAlign w:val="center"/>
          </w:tcPr>
          <w:p>
            <w:pPr>
              <w:rPr>
                <w:sz w:val="24"/>
                <w:szCs w:val="24"/>
              </w:rPr>
            </w:pPr>
            <w:r>
              <w:rPr>
                <w:rFonts w:hint="eastAsia" w:ascii="宋体" w:hAnsi="宋体" w:cs="宋体"/>
                <w:bCs/>
                <w:sz w:val="24"/>
                <w:szCs w:val="24"/>
              </w:rPr>
              <w:t>所投货物有一项及以上在环境标志产品政府采购清单中或的节能产品政府采购清单中的，得2分。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134" w:type="dxa"/>
            <w:vMerge w:val="continue"/>
            <w:vAlign w:val="center"/>
          </w:tcPr>
          <w:p>
            <w:pPr>
              <w:widowControl/>
              <w:jc w:val="left"/>
              <w:rPr>
                <w:sz w:val="24"/>
                <w:szCs w:val="24"/>
              </w:rPr>
            </w:pPr>
          </w:p>
        </w:tc>
        <w:tc>
          <w:tcPr>
            <w:tcW w:w="1984" w:type="dxa"/>
            <w:vAlign w:val="center"/>
          </w:tcPr>
          <w:p>
            <w:pPr>
              <w:jc w:val="center"/>
              <w:rPr>
                <w:rFonts w:hint="eastAsia" w:ascii="宋体" w:hAnsi="宋体" w:cs="宋体"/>
                <w:sz w:val="24"/>
                <w:szCs w:val="24"/>
              </w:rPr>
            </w:pPr>
            <w:r>
              <w:rPr>
                <w:rFonts w:hint="eastAsia"/>
                <w:sz w:val="24"/>
                <w:szCs w:val="24"/>
              </w:rPr>
              <w:t>项目业绩      （满分10分）</w:t>
            </w:r>
          </w:p>
        </w:tc>
        <w:tc>
          <w:tcPr>
            <w:tcW w:w="5303" w:type="dxa"/>
            <w:vAlign w:val="center"/>
          </w:tcPr>
          <w:p>
            <w:pPr>
              <w:rPr>
                <w:sz w:val="24"/>
                <w:szCs w:val="24"/>
              </w:rPr>
            </w:pPr>
            <w:r>
              <w:rPr>
                <w:rFonts w:hint="eastAsia"/>
                <w:sz w:val="24"/>
                <w:szCs w:val="24"/>
              </w:rPr>
              <w:t>供应商2019年以来承接过类似项目的。每个项目得2分，最高得10分。</w:t>
            </w:r>
          </w:p>
          <w:p>
            <w:pPr>
              <w:rPr>
                <w:rFonts w:hint="eastAsia" w:ascii="宋体" w:hAnsi="宋体" w:cs="宋体"/>
                <w:bCs/>
                <w:sz w:val="24"/>
                <w:szCs w:val="24"/>
              </w:rPr>
            </w:pPr>
            <w:r>
              <w:rPr>
                <w:rFonts w:hint="eastAsia"/>
                <w:sz w:val="24"/>
                <w:szCs w:val="24"/>
              </w:rPr>
              <w:t>注：提供相关业绩中标通知书及合同扫描件，原件中标后备查。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C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总务科</dc:creator>
  <cp:lastModifiedBy>总务科</cp:lastModifiedBy>
  <dcterms:modified xsi:type="dcterms:W3CDTF">2024-07-16T07:14:24Z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