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89188F">
      <w:pPr>
        <w:pStyle w:val="3"/>
        <w:adjustRightInd w:val="0"/>
        <w:snapToGrid w:val="0"/>
        <w:spacing w:before="0" w:after="0" w:line="415" w:lineRule="auto"/>
        <w:jc w:val="center"/>
        <w:rPr>
          <w:rFonts w:hint="eastAsia" w:ascii="宋体" w:hAnsi="宋体" w:eastAsia="宋体"/>
          <w:b w:val="0"/>
          <w:color w:val="auto"/>
          <w:highlight w:val="none"/>
          <w:lang w:eastAsia="zh-CN"/>
          <w14:shadow w14:blurRad="0" w14:dist="0" w14:dir="0" w14:sx="0" w14:sy="0" w14:kx="0" w14:ky="0" w14:algn="none">
            <w14:srgbClr w14:val="000000"/>
          </w14:shadow>
        </w:rPr>
      </w:pPr>
      <w:r>
        <w:rPr>
          <w:rFonts w:hint="eastAsia" w:ascii="宋体" w:hAnsi="宋体" w:eastAsia="宋体"/>
          <w:b w:val="0"/>
          <w:color w:val="auto"/>
          <w:highlight w:val="none"/>
          <w14:shadow w14:blurRad="0" w14:dist="0" w14:dir="0" w14:sx="0" w14:sy="0" w14:kx="0" w14:ky="0" w14:algn="none">
            <w14:srgbClr w14:val="000000"/>
          </w14:shadow>
        </w:rPr>
        <w:t xml:space="preserve"> </w:t>
      </w:r>
      <w:r>
        <w:rPr>
          <w:rFonts w:hint="eastAsia" w:ascii="宋体" w:hAnsi="宋体" w:eastAsia="宋体"/>
          <w:b w:val="0"/>
          <w:color w:val="auto"/>
          <w:highlight w:val="none"/>
          <w:lang w:eastAsia="zh-CN"/>
          <w14:shadow w14:blurRad="0" w14:dist="0" w14:dir="0" w14:sx="0" w14:sy="0" w14:kx="0" w14:ky="0" w14:algn="none">
            <w14:srgbClr w14:val="000000"/>
          </w14:shadow>
        </w:rPr>
        <w:t>云南省玉溪工业财贸学校消防隐患整改工程</w:t>
      </w:r>
    </w:p>
    <w:p w14:paraId="29F5DE09">
      <w:pPr>
        <w:pStyle w:val="3"/>
        <w:adjustRightInd w:val="0"/>
        <w:snapToGrid w:val="0"/>
        <w:spacing w:before="0" w:after="0" w:line="415" w:lineRule="auto"/>
        <w:jc w:val="center"/>
        <w:rPr>
          <w:rFonts w:ascii="宋体" w:hAnsi="宋体" w:eastAsia="宋体"/>
          <w:b w:val="0"/>
          <w:color w:val="auto"/>
          <w:highlight w:val="none"/>
          <w14:shadow w14:blurRad="0" w14:dist="0" w14:dir="0" w14:sx="0" w14:sy="0" w14:kx="0" w14:ky="0" w14:algn="none">
            <w14:srgbClr w14:val="000000"/>
          </w14:shadow>
        </w:rPr>
      </w:pPr>
      <w:bookmarkStart w:id="0" w:name="_GoBack"/>
      <w:bookmarkEnd w:id="0"/>
      <w:r>
        <w:rPr>
          <w:rFonts w:hint="eastAsia" w:ascii="宋体" w:hAnsi="宋体" w:eastAsia="宋体"/>
          <w:b w:val="0"/>
          <w:color w:val="auto"/>
          <w:highlight w:val="none"/>
          <w14:shadow w14:blurRad="0" w14:dist="0" w14:dir="0" w14:sx="0" w14:sy="0" w14:kx="0" w14:ky="0" w14:algn="none">
            <w14:srgbClr w14:val="000000"/>
          </w14:shadow>
        </w:rPr>
        <w:t>评审办法</w:t>
      </w:r>
    </w:p>
    <w:p w14:paraId="024DD217">
      <w:pPr>
        <w:snapToGrid w:val="0"/>
        <w:spacing w:line="360" w:lineRule="auto"/>
        <w:ind w:firstLine="480" w:firstLineChars="200"/>
        <w:contextualSpacing/>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1. 评审方法</w:t>
      </w:r>
    </w:p>
    <w:p w14:paraId="66F9C5F7">
      <w:pPr>
        <w:pStyle w:val="5"/>
        <w:snapToGrid w:val="0"/>
        <w:spacing w:after="0" w:line="360" w:lineRule="auto"/>
        <w:ind w:left="0" w:leftChars="0" w:firstLine="480" w:firstLineChars="200"/>
        <w:contextualSpacing/>
        <w:jc w:val="left"/>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本次评审采用综合评分法。询比小组将按综合评分表中规定的各项分值进行打分并计算出各供应商的综合得分，按得分由高到低推荐成交候选供应商排序的评审方法。</w:t>
      </w:r>
    </w:p>
    <w:p w14:paraId="794AF63F">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2. 评审标准</w:t>
      </w:r>
    </w:p>
    <w:p w14:paraId="5105B545">
      <w:pPr>
        <w:snapToGrid w:val="0"/>
        <w:spacing w:line="360" w:lineRule="auto"/>
        <w:ind w:firstLine="480" w:firstLineChars="200"/>
        <w:contextualSpacing/>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2.1资格</w:t>
      </w:r>
      <w:r>
        <w:rPr>
          <w:rFonts w:hint="eastAsia" w:ascii="宋体" w:hAnsi="宋体"/>
          <w:bCs/>
          <w:color w:val="auto"/>
          <w:sz w:val="24"/>
          <w:szCs w:val="24"/>
          <w:highlight w:val="none"/>
          <w14:shadow w14:blurRad="0" w14:dist="0" w14:dir="0" w14:sx="0" w14:sy="0" w14:kx="0" w14:ky="0" w14:algn="none">
            <w14:srgbClr w14:val="000000"/>
          </w14:shadow>
        </w:rPr>
        <w:t>评审标准：详见附件一《资格性评审表》；</w:t>
      </w:r>
    </w:p>
    <w:p w14:paraId="4FF1B966">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2.2 有效性、完整性和响应程度审查标准 ：详见附件二《有效性、完整性和响应程度审查表》；</w:t>
      </w:r>
    </w:p>
    <w:p w14:paraId="1779C4F9">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2.2 详细评审标准：详见附件三《综合评分表》。</w:t>
      </w:r>
    </w:p>
    <w:p w14:paraId="13D65767">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3.评审程序</w:t>
      </w:r>
    </w:p>
    <w:p w14:paraId="1F3F2829">
      <w:pPr>
        <w:snapToGrid w:val="0"/>
        <w:spacing w:line="360" w:lineRule="auto"/>
        <w:ind w:firstLine="480" w:firstLineChars="200"/>
        <w:contextualSpacing/>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3.1</w:t>
      </w:r>
      <w:r>
        <w:rPr>
          <w:rFonts w:hint="eastAsia" w:ascii="宋体" w:hAnsi="宋体"/>
          <w:bCs/>
          <w:color w:val="auto"/>
          <w:sz w:val="24"/>
          <w:szCs w:val="24"/>
          <w:highlight w:val="none"/>
          <w14:shadow w14:blurRad="0" w14:dist="0" w14:dir="0" w14:sx="0" w14:sy="0" w14:kx="0" w14:ky="0" w14:algn="none">
            <w14:srgbClr w14:val="000000"/>
          </w14:shadow>
        </w:rPr>
        <w:t>资格性评审</w:t>
      </w:r>
    </w:p>
    <w:p w14:paraId="72D023FD">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只有通过资格性评审，才能进入</w:t>
      </w:r>
      <w:r>
        <w:rPr>
          <w:rFonts w:hint="eastAsia" w:ascii="宋体" w:hAnsi="宋体"/>
          <w:color w:val="auto"/>
          <w:sz w:val="24"/>
          <w:szCs w:val="24"/>
          <w:highlight w:val="none"/>
          <w14:shadow w14:blurRad="0" w14:dist="0" w14:dir="0" w14:sx="0" w14:sy="0" w14:kx="0" w14:ky="0" w14:algn="none">
            <w14:srgbClr w14:val="000000"/>
          </w14:shadow>
        </w:rPr>
        <w:t>下一步评审；</w:t>
      </w:r>
    </w:p>
    <w:p w14:paraId="4A6E15CC">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3.2有效性、完整性和响应程度审查</w:t>
      </w:r>
    </w:p>
    <w:p w14:paraId="590A43C7">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只有通过</w:t>
      </w:r>
      <w:r>
        <w:rPr>
          <w:rFonts w:hint="eastAsia" w:ascii="宋体" w:hAnsi="宋体"/>
          <w:color w:val="auto"/>
          <w:sz w:val="24"/>
          <w:szCs w:val="24"/>
          <w:highlight w:val="none"/>
          <w14:shadow w14:blurRad="0" w14:dist="0" w14:dir="0" w14:sx="0" w14:sy="0" w14:kx="0" w14:ky="0" w14:algn="none">
            <w14:srgbClr w14:val="000000"/>
          </w14:shadow>
        </w:rPr>
        <w:t>有效性、完整性和响应程度审查</w:t>
      </w:r>
      <w:r>
        <w:rPr>
          <w:rFonts w:hint="eastAsia" w:ascii="宋体" w:hAnsi="宋体"/>
          <w:bCs/>
          <w:color w:val="auto"/>
          <w:sz w:val="24"/>
          <w:szCs w:val="24"/>
          <w:highlight w:val="none"/>
          <w14:shadow w14:blurRad="0" w14:dist="0" w14:dir="0" w14:sx="0" w14:sy="0" w14:kx="0" w14:ky="0" w14:algn="none">
            <w14:srgbClr w14:val="000000"/>
          </w14:shadow>
        </w:rPr>
        <w:t>，才能进入</w:t>
      </w:r>
      <w:r>
        <w:rPr>
          <w:rFonts w:hint="eastAsia" w:ascii="宋体" w:hAnsi="宋体"/>
          <w:color w:val="auto"/>
          <w:sz w:val="24"/>
          <w:szCs w:val="24"/>
          <w:highlight w:val="none"/>
          <w14:shadow w14:blurRad="0" w14:dist="0" w14:dir="0" w14:sx="0" w14:sy="0" w14:kx="0" w14:ky="0" w14:algn="none">
            <w14:srgbClr w14:val="000000"/>
          </w14:shadow>
        </w:rPr>
        <w:t>下一步评审；</w:t>
      </w:r>
    </w:p>
    <w:p w14:paraId="66A8860A">
      <w:pPr>
        <w:snapToGrid w:val="0"/>
        <w:spacing w:line="360" w:lineRule="auto"/>
        <w:ind w:firstLine="480" w:firstLineChars="200"/>
        <w:contextualSpacing/>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3.3</w:t>
      </w:r>
      <w:r>
        <w:rPr>
          <w:rFonts w:hint="eastAsia" w:ascii="宋体" w:hAnsi="宋体"/>
          <w:color w:val="auto"/>
          <w:sz w:val="24"/>
          <w:szCs w:val="24"/>
          <w:highlight w:val="none"/>
          <w14:shadow w14:blurRad="0" w14:dist="0" w14:dir="0" w14:sx="0" w14:sy="0" w14:kx="0" w14:ky="0" w14:algn="none">
            <w14:srgbClr w14:val="000000"/>
          </w14:shadow>
        </w:rPr>
        <w:t>详细评审</w:t>
      </w:r>
    </w:p>
    <w:p w14:paraId="210CDFBA">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3.3.1询比小组成员按附件三《综合评分表》规定的评分因素进行综合评分。</w:t>
      </w:r>
    </w:p>
    <w:p w14:paraId="64010041">
      <w:pPr>
        <w:snapToGrid w:val="0"/>
        <w:spacing w:line="360" w:lineRule="auto"/>
        <w:ind w:firstLine="480" w:firstLineChars="200"/>
        <w:contextualSpacing/>
        <w:rPr>
          <w:rFonts w:ascii="宋体" w:hAnsi="宋体"/>
          <w:color w:val="auto"/>
          <w:sz w:val="24"/>
          <w:szCs w:val="24"/>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3.3.2询比小组发现供应商的报价明显低于其他供应商报价，使得其报价可能低于其成本的，应当要求该供应商作出书面说明并提供相应的证明材料。供应商不能合理说明或者不能提供相应证明材料的，由询比小组认定该供应商以低于成本报价恶性竞争，其询比作无效标处理。</w:t>
      </w:r>
    </w:p>
    <w:p w14:paraId="6C1E943A">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3.3.3价格分评审办法</w:t>
      </w:r>
    </w:p>
    <w:p w14:paraId="191735C4">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满足询比文件要求且最后报价最低的供应商的价格为基准价。</w:t>
      </w:r>
    </w:p>
    <w:p w14:paraId="6F37465E">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报价得分=（基准价/供应商报价）×价格权值×100 (扣减分值中间值用插入法, 小数点后保留两位)。</w:t>
      </w:r>
    </w:p>
    <w:p w14:paraId="7896B287">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3.4统分原则</w:t>
      </w:r>
    </w:p>
    <w:p w14:paraId="2121F6B1">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3.4.1询比小组应首先对各供应商响应文件进行评审，各分档评分中间采用插入法评分（小数点保留二位），由各小组成员自主评分并签字确认。</w:t>
      </w:r>
    </w:p>
    <w:p w14:paraId="06EF348A">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3.4.2报价分值按公式计算，小数点后保留两位。</w:t>
      </w:r>
    </w:p>
    <w:p w14:paraId="563E77D8">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3.4.3统计分数原则：所有询比小组成员打分的算术平均值为供应商的最后得分（保留小数点后两位）。</w:t>
      </w:r>
    </w:p>
    <w:p w14:paraId="0BBCA814">
      <w:pPr>
        <w:pStyle w:val="4"/>
        <w:snapToGrid w:val="0"/>
        <w:spacing w:line="360" w:lineRule="auto"/>
        <w:ind w:firstLine="480" w:firstLineChars="200"/>
        <w:contextualSpacing/>
        <w:jc w:val="left"/>
        <w:rPr>
          <w:rFonts w:hAnsi="宋体"/>
          <w:color w:val="auto"/>
          <w:sz w:val="24"/>
          <w:szCs w:val="24"/>
          <w:highlight w:val="none"/>
          <w14:shadow w14:blurRad="0" w14:dist="0" w14:dir="0" w14:sx="0" w14:sy="0" w14:kx="0" w14:ky="0" w14:algn="none">
            <w14:srgbClr w14:val="000000"/>
          </w14:shadow>
        </w:rPr>
      </w:pPr>
      <w:r>
        <w:rPr>
          <w:rFonts w:hint="eastAsia" w:hAnsi="宋体"/>
          <w:color w:val="auto"/>
          <w:sz w:val="24"/>
          <w:szCs w:val="24"/>
          <w:highlight w:val="none"/>
          <w14:shadow w14:blurRad="0" w14:dist="0" w14:dir="0" w14:sx="0" w14:sy="0" w14:kx="0" w14:ky="0" w14:algn="none">
            <w14:srgbClr w14:val="000000"/>
          </w14:shadow>
        </w:rPr>
        <w:t>3.4.4将综合评分从高到低排序，得分相同的，按最后报价由低到高顺序排列。得分且询比报价相同的，按技术优劣顺序排列。</w:t>
      </w:r>
    </w:p>
    <w:p w14:paraId="052309A7">
      <w:pPr>
        <w:pStyle w:val="5"/>
        <w:adjustRightInd w:val="0"/>
        <w:snapToGrid w:val="0"/>
        <w:spacing w:line="360" w:lineRule="auto"/>
        <w:ind w:left="0" w:leftChars="0" w:firstLine="480" w:firstLineChars="200"/>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附件一：资格性评审表</w:t>
      </w:r>
    </w:p>
    <w:tbl>
      <w:tblPr>
        <w:tblStyle w:val="6"/>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620"/>
        <w:gridCol w:w="6260"/>
        <w:gridCol w:w="1660"/>
      </w:tblGrid>
      <w:tr w14:paraId="4412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793" w:type="dxa"/>
            <w:noWrap w:val="0"/>
            <w:tcMar>
              <w:left w:w="57" w:type="dxa"/>
              <w:right w:w="57" w:type="dxa"/>
            </w:tcMar>
            <w:vAlign w:val="center"/>
          </w:tcPr>
          <w:p w14:paraId="3530C30B">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评审</w:t>
            </w:r>
          </w:p>
          <w:p w14:paraId="32D9EB62">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内容</w:t>
            </w:r>
          </w:p>
        </w:tc>
        <w:tc>
          <w:tcPr>
            <w:tcW w:w="1620" w:type="dxa"/>
            <w:noWrap w:val="0"/>
            <w:vAlign w:val="center"/>
          </w:tcPr>
          <w:p w14:paraId="67CBAD00">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评审项目</w:t>
            </w:r>
          </w:p>
        </w:tc>
        <w:tc>
          <w:tcPr>
            <w:tcW w:w="6260" w:type="dxa"/>
            <w:noWrap w:val="0"/>
            <w:vAlign w:val="center"/>
          </w:tcPr>
          <w:p w14:paraId="00D22677">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评审标准</w:t>
            </w:r>
          </w:p>
        </w:tc>
        <w:tc>
          <w:tcPr>
            <w:tcW w:w="1660" w:type="dxa"/>
            <w:noWrap w:val="0"/>
            <w:vAlign w:val="center"/>
          </w:tcPr>
          <w:p w14:paraId="4E87A343">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评审要求</w:t>
            </w:r>
          </w:p>
        </w:tc>
      </w:tr>
      <w:tr w14:paraId="603D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exact"/>
          <w:jc w:val="center"/>
        </w:trPr>
        <w:tc>
          <w:tcPr>
            <w:tcW w:w="793" w:type="dxa"/>
            <w:vMerge w:val="restart"/>
            <w:noWrap w:val="0"/>
            <w:tcMar>
              <w:left w:w="57" w:type="dxa"/>
              <w:right w:w="57" w:type="dxa"/>
            </w:tcMar>
            <w:vAlign w:val="center"/>
          </w:tcPr>
          <w:p w14:paraId="7129FA6F">
            <w:pPr>
              <w:autoSpaceDE w:val="0"/>
              <w:autoSpaceDN w:val="0"/>
              <w:adjustRightInd w:val="0"/>
              <w:snapToGrid w:val="0"/>
              <w:spacing w:line="400" w:lineRule="atLeast"/>
              <w:jc w:val="center"/>
              <w:rPr>
                <w:rFonts w:hint="eastAsia" w:ascii="宋体" w:cs="宋体"/>
                <w:color w:val="auto"/>
                <w:szCs w:val="21"/>
                <w:highlight w:val="none"/>
                <w:lang w:bidi="ar-SA"/>
              </w:rPr>
            </w:pPr>
            <w:r>
              <w:rPr>
                <w:rFonts w:hint="eastAsia" w:ascii="宋体" w:cs="宋体"/>
                <w:color w:val="auto"/>
                <w:szCs w:val="21"/>
                <w:highlight w:val="none"/>
                <w:lang w:bidi="ar-SA"/>
              </w:rPr>
              <w:t>资格审查标准</w:t>
            </w:r>
          </w:p>
        </w:tc>
        <w:tc>
          <w:tcPr>
            <w:tcW w:w="1620" w:type="dxa"/>
            <w:noWrap w:val="0"/>
            <w:vAlign w:val="center"/>
          </w:tcPr>
          <w:p w14:paraId="3DD548F5">
            <w:pPr>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营业执照</w:t>
            </w:r>
          </w:p>
        </w:tc>
        <w:tc>
          <w:tcPr>
            <w:tcW w:w="6260" w:type="dxa"/>
            <w:noWrap w:val="0"/>
            <w:vAlign w:val="center"/>
          </w:tcPr>
          <w:p w14:paraId="1CFBB64C">
            <w:pPr>
              <w:autoSpaceDE w:val="0"/>
              <w:autoSpaceDN w:val="0"/>
              <w:adjustRightInd w:val="0"/>
              <w:snapToGrid w:val="0"/>
              <w:spacing w:line="400" w:lineRule="atLeast"/>
              <w:jc w:val="left"/>
              <w:rPr>
                <w:rFonts w:hint="eastAsia" w:ascii="宋体" w:eastAsia="宋体" w:cs="宋体"/>
                <w:bCs/>
                <w:color w:val="auto"/>
                <w:kern w:val="0"/>
                <w:szCs w:val="21"/>
                <w:highlight w:val="none"/>
                <w:lang w:eastAsia="zh-CN" w:bidi="ar-SA"/>
              </w:rPr>
            </w:pPr>
            <w:r>
              <w:rPr>
                <w:rFonts w:hint="eastAsia" w:ascii="宋体" w:cs="宋体"/>
                <w:bCs/>
                <w:color w:val="auto"/>
                <w:kern w:val="0"/>
                <w:szCs w:val="21"/>
                <w:highlight w:val="none"/>
                <w:lang w:bidi="ar-SA"/>
              </w:rPr>
              <w:t>在中国境内注册，能在国内合法提供采购要求及其相应的服务能力，并持有效的营业执照或其他证明材料</w:t>
            </w:r>
            <w:r>
              <w:rPr>
                <w:rFonts w:hint="eastAsia" w:ascii="宋体" w:cs="宋体"/>
                <w:bCs/>
                <w:color w:val="auto"/>
                <w:kern w:val="0"/>
                <w:szCs w:val="21"/>
                <w:highlight w:val="none"/>
                <w:lang w:eastAsia="zh-CN" w:bidi="ar-SA"/>
              </w:rPr>
              <w:t>；</w:t>
            </w:r>
          </w:p>
        </w:tc>
        <w:tc>
          <w:tcPr>
            <w:tcW w:w="1660" w:type="dxa"/>
            <w:noWrap w:val="0"/>
            <w:vAlign w:val="center"/>
          </w:tcPr>
          <w:p w14:paraId="18308346">
            <w:pPr>
              <w:autoSpaceDE w:val="0"/>
              <w:autoSpaceDN w:val="0"/>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审核响应文件</w:t>
            </w:r>
          </w:p>
        </w:tc>
      </w:tr>
      <w:tr w14:paraId="641D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jc w:val="center"/>
        </w:trPr>
        <w:tc>
          <w:tcPr>
            <w:tcW w:w="793" w:type="dxa"/>
            <w:vMerge w:val="continue"/>
            <w:noWrap w:val="0"/>
            <w:tcMar>
              <w:left w:w="57" w:type="dxa"/>
              <w:right w:w="57" w:type="dxa"/>
            </w:tcMar>
            <w:vAlign w:val="center"/>
          </w:tcPr>
          <w:p w14:paraId="55A84A4A">
            <w:pPr>
              <w:rPr>
                <w:color w:val="auto"/>
                <w:highlight w:val="none"/>
              </w:rPr>
            </w:pPr>
          </w:p>
        </w:tc>
        <w:tc>
          <w:tcPr>
            <w:tcW w:w="1620" w:type="dxa"/>
            <w:noWrap w:val="0"/>
            <w:vAlign w:val="center"/>
          </w:tcPr>
          <w:p w14:paraId="428E4042">
            <w:pPr>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承诺</w:t>
            </w:r>
          </w:p>
        </w:tc>
        <w:tc>
          <w:tcPr>
            <w:tcW w:w="6260" w:type="dxa"/>
            <w:noWrap w:val="0"/>
            <w:vAlign w:val="center"/>
          </w:tcPr>
          <w:p w14:paraId="56FE3BD9">
            <w:pPr>
              <w:autoSpaceDE w:val="0"/>
              <w:autoSpaceDN w:val="0"/>
              <w:adjustRightInd w:val="0"/>
              <w:snapToGrid w:val="0"/>
              <w:spacing w:line="400" w:lineRule="atLeast"/>
              <w:jc w:val="left"/>
              <w:rPr>
                <w:rFonts w:hint="eastAsia" w:ascii="宋体" w:eastAsia="宋体" w:cs="宋体"/>
                <w:bCs/>
                <w:color w:val="auto"/>
                <w:kern w:val="0"/>
                <w:szCs w:val="21"/>
                <w:highlight w:val="none"/>
                <w:lang w:eastAsia="zh-CN" w:bidi="ar-SA"/>
              </w:rPr>
            </w:pPr>
            <w:r>
              <w:rPr>
                <w:rFonts w:hint="eastAsia" w:ascii="宋体" w:cs="宋体"/>
                <w:bCs/>
                <w:color w:val="auto"/>
                <w:kern w:val="0"/>
                <w:szCs w:val="21"/>
                <w:highlight w:val="none"/>
                <w:lang w:bidi="ar-SA"/>
              </w:rPr>
              <w:t>应商自行承诺符合《中华人民共和国政府采购法》第二十二条规定及《中华人民共和国政府采购法实施条例》第十七条的相关要求</w:t>
            </w:r>
            <w:r>
              <w:rPr>
                <w:rFonts w:hint="eastAsia" w:ascii="宋体" w:cs="宋体"/>
                <w:bCs/>
                <w:color w:val="auto"/>
                <w:kern w:val="0"/>
                <w:szCs w:val="21"/>
                <w:highlight w:val="none"/>
                <w:lang w:eastAsia="zh-CN" w:bidi="ar-SA"/>
              </w:rPr>
              <w:t>；</w:t>
            </w:r>
          </w:p>
        </w:tc>
        <w:tc>
          <w:tcPr>
            <w:tcW w:w="1660" w:type="dxa"/>
            <w:noWrap w:val="0"/>
            <w:vAlign w:val="center"/>
          </w:tcPr>
          <w:p w14:paraId="37A5C53F">
            <w:pPr>
              <w:autoSpaceDE w:val="0"/>
              <w:autoSpaceDN w:val="0"/>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审核响应文件</w:t>
            </w:r>
          </w:p>
        </w:tc>
      </w:tr>
      <w:tr w14:paraId="2EAD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exact"/>
          <w:jc w:val="center"/>
        </w:trPr>
        <w:tc>
          <w:tcPr>
            <w:tcW w:w="793" w:type="dxa"/>
            <w:vMerge w:val="continue"/>
            <w:noWrap w:val="0"/>
            <w:tcMar>
              <w:left w:w="57" w:type="dxa"/>
              <w:right w:w="57" w:type="dxa"/>
            </w:tcMar>
            <w:vAlign w:val="center"/>
          </w:tcPr>
          <w:p w14:paraId="0BB26E23">
            <w:pPr>
              <w:rPr>
                <w:color w:val="auto"/>
                <w:highlight w:val="none"/>
              </w:rPr>
            </w:pPr>
          </w:p>
        </w:tc>
        <w:tc>
          <w:tcPr>
            <w:tcW w:w="1620" w:type="dxa"/>
            <w:noWrap w:val="0"/>
            <w:vAlign w:val="center"/>
          </w:tcPr>
          <w:p w14:paraId="7F4D10C2">
            <w:pPr>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声明</w:t>
            </w:r>
          </w:p>
        </w:tc>
        <w:tc>
          <w:tcPr>
            <w:tcW w:w="6260" w:type="dxa"/>
            <w:noWrap w:val="0"/>
            <w:vAlign w:val="center"/>
          </w:tcPr>
          <w:p w14:paraId="7672867B">
            <w:pPr>
              <w:autoSpaceDE w:val="0"/>
              <w:autoSpaceDN w:val="0"/>
              <w:adjustRightInd w:val="0"/>
              <w:snapToGrid w:val="0"/>
              <w:spacing w:line="400" w:lineRule="atLeast"/>
              <w:jc w:val="left"/>
              <w:rPr>
                <w:rFonts w:hint="eastAsia" w:ascii="宋体" w:eastAsia="宋体" w:cs="宋体"/>
                <w:color w:val="auto"/>
                <w:kern w:val="0"/>
                <w:szCs w:val="21"/>
                <w:highlight w:val="none"/>
                <w:lang w:eastAsia="zh-CN" w:bidi="ar-SA"/>
              </w:rPr>
            </w:pPr>
            <w:r>
              <w:rPr>
                <w:rFonts w:hint="eastAsia" w:ascii="宋体" w:cs="宋体"/>
                <w:color w:val="auto"/>
                <w:kern w:val="0"/>
                <w:szCs w:val="21"/>
                <w:highlight w:val="none"/>
                <w:lang w:bidi="ar-SA"/>
              </w:rPr>
              <w:t>行声明在“信用中国”网站(www.creditchina.gov.cn) 中未被列入：税收违法黑名单、政府采购严重违法失信行为记录名单；在中国执行信息公开网（http://zxgk.court.gov.cn/shixin/）中未被列入：失信被执行人名单；在“中国政府采购网”(www.ccgp.gov.cn) 中未被列入：政府采购严重违法失信行为记录名单；（供应商自拟格式承诺以上内容，加盖供应商公章在响应文件中提供，若供应商如存在查证的以上相关记录，采购人有权取消其投标（成交）资格）</w:t>
            </w:r>
            <w:r>
              <w:rPr>
                <w:rFonts w:hint="eastAsia" w:ascii="宋体" w:cs="宋体"/>
                <w:color w:val="auto"/>
                <w:kern w:val="0"/>
                <w:szCs w:val="21"/>
                <w:highlight w:val="none"/>
                <w:lang w:eastAsia="zh-CN" w:bidi="ar-SA"/>
              </w:rPr>
              <w:t>；</w:t>
            </w:r>
          </w:p>
        </w:tc>
        <w:tc>
          <w:tcPr>
            <w:tcW w:w="1660" w:type="dxa"/>
            <w:noWrap w:val="0"/>
            <w:vAlign w:val="center"/>
          </w:tcPr>
          <w:p w14:paraId="58645420">
            <w:pPr>
              <w:autoSpaceDE w:val="0"/>
              <w:autoSpaceDN w:val="0"/>
              <w:adjustRightInd w:val="0"/>
              <w:snapToGrid w:val="0"/>
              <w:spacing w:line="400" w:lineRule="atLeast"/>
              <w:jc w:val="center"/>
              <w:rPr>
                <w:rFonts w:hint="eastAsia" w:ascii="宋体" w:cs="宋体"/>
                <w:b/>
                <w:color w:val="auto"/>
                <w:kern w:val="0"/>
                <w:szCs w:val="21"/>
                <w:highlight w:val="none"/>
                <w:lang w:bidi="ar-SA"/>
              </w:rPr>
            </w:pPr>
            <w:r>
              <w:rPr>
                <w:rFonts w:hint="eastAsia" w:ascii="宋体" w:cs="宋体"/>
                <w:bCs/>
                <w:color w:val="auto"/>
                <w:kern w:val="0"/>
                <w:szCs w:val="21"/>
                <w:highlight w:val="none"/>
                <w:lang w:bidi="ar-SA"/>
              </w:rPr>
              <w:t>审核响应文件</w:t>
            </w:r>
          </w:p>
        </w:tc>
      </w:tr>
      <w:tr w14:paraId="6E6A7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exact"/>
          <w:jc w:val="center"/>
        </w:trPr>
        <w:tc>
          <w:tcPr>
            <w:tcW w:w="793" w:type="dxa"/>
            <w:vMerge w:val="continue"/>
            <w:noWrap w:val="0"/>
            <w:tcMar>
              <w:left w:w="57" w:type="dxa"/>
              <w:right w:w="57" w:type="dxa"/>
            </w:tcMar>
            <w:vAlign w:val="center"/>
          </w:tcPr>
          <w:p w14:paraId="704D6BC2">
            <w:pPr>
              <w:rPr>
                <w:color w:val="auto"/>
                <w:highlight w:val="none"/>
              </w:rPr>
            </w:pPr>
          </w:p>
        </w:tc>
        <w:tc>
          <w:tcPr>
            <w:tcW w:w="1620" w:type="dxa"/>
            <w:noWrap w:val="0"/>
            <w:vAlign w:val="center"/>
          </w:tcPr>
          <w:p w14:paraId="15D9F0A8">
            <w:pPr>
              <w:adjustRightInd w:val="0"/>
              <w:snapToGrid w:val="0"/>
              <w:spacing w:line="400" w:lineRule="atLeast"/>
              <w:jc w:val="center"/>
              <w:rPr>
                <w:rFonts w:hint="eastAsia" w:ascii="宋体" w:eastAsia="宋体" w:cs="宋体"/>
                <w:bCs/>
                <w:color w:val="auto"/>
                <w:kern w:val="0"/>
                <w:szCs w:val="21"/>
                <w:highlight w:val="none"/>
                <w:lang w:val="en-US" w:eastAsia="zh-CN" w:bidi="ar-SA"/>
              </w:rPr>
            </w:pPr>
            <w:r>
              <w:rPr>
                <w:rFonts w:hint="eastAsia" w:ascii="宋体" w:cs="宋体"/>
                <w:bCs/>
                <w:color w:val="auto"/>
                <w:kern w:val="0"/>
                <w:szCs w:val="21"/>
                <w:highlight w:val="none"/>
                <w:lang w:val="en-US" w:eastAsia="zh-CN" w:bidi="ar-SA"/>
              </w:rPr>
              <w:t>其他</w:t>
            </w:r>
          </w:p>
        </w:tc>
        <w:tc>
          <w:tcPr>
            <w:tcW w:w="6260" w:type="dxa"/>
            <w:noWrap w:val="0"/>
            <w:vAlign w:val="center"/>
          </w:tcPr>
          <w:p w14:paraId="7E8DB769">
            <w:pPr>
              <w:autoSpaceDE w:val="0"/>
              <w:autoSpaceDN w:val="0"/>
              <w:adjustRightInd w:val="0"/>
              <w:snapToGrid w:val="0"/>
              <w:spacing w:line="400" w:lineRule="atLeast"/>
              <w:jc w:val="left"/>
              <w:rPr>
                <w:rFonts w:hint="eastAsia" w:ascii="宋体" w:cs="宋体"/>
                <w:color w:val="auto"/>
                <w:kern w:val="0"/>
                <w:szCs w:val="21"/>
                <w:highlight w:val="none"/>
                <w:lang w:bidi="ar-SA"/>
              </w:rPr>
            </w:pPr>
            <w:r>
              <w:rPr>
                <w:rFonts w:hint="eastAsia" w:ascii="宋体" w:cs="宋体"/>
                <w:color w:val="auto"/>
                <w:kern w:val="0"/>
                <w:szCs w:val="21"/>
                <w:highlight w:val="none"/>
                <w:lang w:val="en-US" w:eastAsia="zh-CN" w:bidi="ar-SA"/>
              </w:rPr>
              <w:t>供应商须提供2020年至2023年的财务审计报告，由第三方审计机构出具，证明企业财务状况稳健，无不良负债，具备承担本项目所需资金流动的能力；</w:t>
            </w:r>
          </w:p>
        </w:tc>
        <w:tc>
          <w:tcPr>
            <w:tcW w:w="1660" w:type="dxa"/>
            <w:noWrap w:val="0"/>
            <w:vAlign w:val="center"/>
          </w:tcPr>
          <w:p w14:paraId="6D03DB15">
            <w:pPr>
              <w:autoSpaceDE w:val="0"/>
              <w:autoSpaceDN w:val="0"/>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审核响应文件</w:t>
            </w:r>
          </w:p>
        </w:tc>
      </w:tr>
      <w:tr w14:paraId="6E6CA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exact"/>
          <w:jc w:val="center"/>
        </w:trPr>
        <w:tc>
          <w:tcPr>
            <w:tcW w:w="793" w:type="dxa"/>
            <w:noWrap w:val="0"/>
            <w:tcMar>
              <w:left w:w="57" w:type="dxa"/>
              <w:right w:w="57" w:type="dxa"/>
            </w:tcMar>
            <w:vAlign w:val="center"/>
          </w:tcPr>
          <w:p w14:paraId="57F66AFF">
            <w:pPr>
              <w:autoSpaceDE w:val="0"/>
              <w:autoSpaceDN w:val="0"/>
              <w:adjustRightInd w:val="0"/>
              <w:snapToGrid w:val="0"/>
              <w:spacing w:line="400" w:lineRule="atLeast"/>
              <w:jc w:val="center"/>
              <w:rPr>
                <w:rFonts w:hint="eastAsia" w:ascii="宋体" w:cs="宋体"/>
                <w:color w:val="auto"/>
                <w:szCs w:val="21"/>
                <w:highlight w:val="none"/>
                <w:lang w:bidi="ar-SA"/>
              </w:rPr>
            </w:pPr>
          </w:p>
        </w:tc>
        <w:tc>
          <w:tcPr>
            <w:tcW w:w="1620" w:type="dxa"/>
            <w:noWrap w:val="0"/>
            <w:vAlign w:val="center"/>
          </w:tcPr>
          <w:p w14:paraId="550D3CA9">
            <w:pPr>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本项目的特定资格要求</w:t>
            </w:r>
          </w:p>
        </w:tc>
        <w:tc>
          <w:tcPr>
            <w:tcW w:w="6260" w:type="dxa"/>
            <w:noWrap w:val="0"/>
            <w:vAlign w:val="center"/>
          </w:tcPr>
          <w:p w14:paraId="1732AEA2">
            <w:pPr>
              <w:autoSpaceDE w:val="0"/>
              <w:autoSpaceDN w:val="0"/>
              <w:adjustRightInd w:val="0"/>
              <w:snapToGrid w:val="0"/>
              <w:spacing w:line="400" w:lineRule="atLeast"/>
              <w:jc w:val="left"/>
              <w:rPr>
                <w:rFonts w:hint="eastAsia" w:ascii="宋体" w:cs="宋体"/>
                <w:color w:val="auto"/>
                <w:kern w:val="0"/>
                <w:szCs w:val="21"/>
                <w:highlight w:val="none"/>
                <w:lang w:val="en-US" w:eastAsia="zh-CN" w:bidi="ar-SA"/>
              </w:rPr>
            </w:pPr>
            <w:r>
              <w:rPr>
                <w:rFonts w:hint="eastAsia" w:ascii="宋体" w:cs="宋体"/>
                <w:color w:val="auto"/>
                <w:kern w:val="0"/>
                <w:szCs w:val="21"/>
                <w:highlight w:val="none"/>
                <w:lang w:val="en-US" w:eastAsia="zh-CN" w:bidi="ar-SA"/>
              </w:rPr>
              <w:t>1.供应商应具备有效的建设行政主管部门颁发的消防设施工程专业承包贰级及以上资质，且具有有效的安全生产许可证。</w:t>
            </w:r>
          </w:p>
          <w:p w14:paraId="44EA8403">
            <w:pPr>
              <w:autoSpaceDE w:val="0"/>
              <w:autoSpaceDN w:val="0"/>
              <w:adjustRightInd w:val="0"/>
              <w:snapToGrid w:val="0"/>
              <w:spacing w:line="400" w:lineRule="atLeast"/>
              <w:jc w:val="left"/>
              <w:rPr>
                <w:rFonts w:hint="eastAsia" w:ascii="宋体" w:cs="宋体"/>
                <w:color w:val="auto"/>
                <w:kern w:val="0"/>
                <w:szCs w:val="21"/>
                <w:highlight w:val="none"/>
                <w:lang w:val="en-US" w:eastAsia="zh-CN" w:bidi="ar-SA"/>
              </w:rPr>
            </w:pPr>
            <w:r>
              <w:rPr>
                <w:rFonts w:hint="eastAsia" w:ascii="宋体" w:cs="宋体"/>
                <w:color w:val="auto"/>
                <w:kern w:val="0"/>
                <w:szCs w:val="21"/>
                <w:highlight w:val="none"/>
                <w:lang w:val="en-US" w:eastAsia="zh-CN" w:bidi="ar-SA"/>
              </w:rPr>
              <w:t>2.为本项目派出的项目负责人需同时具备二级建造师职业资格以及一级注册消防工程师执业资格，提供相应资格证书复印件及社保证明资料。</w:t>
            </w:r>
          </w:p>
          <w:p w14:paraId="75143412">
            <w:pPr>
              <w:autoSpaceDE w:val="0"/>
              <w:autoSpaceDN w:val="0"/>
              <w:adjustRightInd w:val="0"/>
              <w:snapToGrid w:val="0"/>
              <w:spacing w:line="400" w:lineRule="atLeast"/>
              <w:jc w:val="left"/>
              <w:rPr>
                <w:rFonts w:hint="eastAsia" w:ascii="宋体" w:cs="宋体"/>
                <w:bCs/>
                <w:color w:val="auto"/>
                <w:kern w:val="0"/>
                <w:szCs w:val="21"/>
                <w:highlight w:val="none"/>
                <w:lang w:bidi="ar-SA"/>
              </w:rPr>
            </w:pPr>
            <w:r>
              <w:rPr>
                <w:rFonts w:hint="eastAsia" w:ascii="宋体" w:cs="宋体"/>
                <w:color w:val="auto"/>
                <w:kern w:val="0"/>
                <w:szCs w:val="21"/>
                <w:highlight w:val="none"/>
                <w:lang w:val="en-US" w:eastAsia="zh-CN" w:bidi="ar-SA"/>
              </w:rPr>
              <w:t>3.需为本项目配备专职安全员，专职安全员需持证到岗，负责施工期间的安全监督与管理，确保所有施工活动符合安全规范。</w:t>
            </w:r>
          </w:p>
        </w:tc>
        <w:tc>
          <w:tcPr>
            <w:tcW w:w="1660" w:type="dxa"/>
            <w:noWrap w:val="0"/>
            <w:vAlign w:val="center"/>
          </w:tcPr>
          <w:p w14:paraId="54FC374C">
            <w:pPr>
              <w:autoSpaceDE w:val="0"/>
              <w:autoSpaceDN w:val="0"/>
              <w:adjustRightInd w:val="0"/>
              <w:snapToGrid w:val="0"/>
              <w:spacing w:line="400" w:lineRule="atLeast"/>
              <w:jc w:val="center"/>
              <w:rPr>
                <w:rFonts w:hint="eastAsia" w:ascii="宋体" w:cs="宋体"/>
                <w:bCs/>
                <w:color w:val="auto"/>
                <w:kern w:val="0"/>
                <w:szCs w:val="21"/>
                <w:highlight w:val="none"/>
                <w:lang w:bidi="ar-SA"/>
              </w:rPr>
            </w:pPr>
            <w:r>
              <w:rPr>
                <w:rFonts w:hint="eastAsia" w:ascii="宋体" w:cs="宋体"/>
                <w:bCs/>
                <w:color w:val="auto"/>
                <w:kern w:val="0"/>
                <w:szCs w:val="21"/>
                <w:highlight w:val="none"/>
                <w:lang w:bidi="ar-SA"/>
              </w:rPr>
              <w:t>审核响应文件</w:t>
            </w:r>
          </w:p>
        </w:tc>
      </w:tr>
    </w:tbl>
    <w:p w14:paraId="580333FB">
      <w:pPr>
        <w:adjustRightInd w:val="0"/>
        <w:snapToGrid w:val="0"/>
        <w:spacing w:line="360" w:lineRule="auto"/>
        <w:jc w:val="left"/>
        <w:rPr>
          <w:rFonts w:ascii="宋体" w:hAnsi="宋体"/>
          <w:bCs/>
          <w:color w:val="auto"/>
          <w:sz w:val="24"/>
          <w:szCs w:val="24"/>
          <w:highlight w:val="none"/>
          <w14:shadow w14:blurRad="0" w14:dist="0" w14:dir="0" w14:sx="0" w14:sy="0" w14:kx="0" w14:ky="0" w14:algn="none">
            <w14:srgbClr w14:val="000000"/>
          </w14:shadow>
        </w:rPr>
      </w:pPr>
    </w:p>
    <w:p w14:paraId="7793799F">
      <w:pPr>
        <w:adjustRightInd w:val="0"/>
        <w:snapToGrid w:val="0"/>
        <w:spacing w:line="360" w:lineRule="auto"/>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附件二：</w:t>
      </w:r>
      <w:r>
        <w:rPr>
          <w:rFonts w:hint="eastAsia" w:ascii="宋体" w:hAnsi="宋体"/>
          <w:color w:val="auto"/>
          <w:sz w:val="24"/>
          <w:szCs w:val="24"/>
          <w:highlight w:val="none"/>
          <w14:shadow w14:blurRad="0" w14:dist="0" w14:dir="0" w14:sx="0" w14:sy="0" w14:kx="0" w14:ky="0" w14:algn="none">
            <w14:srgbClr w14:val="000000"/>
          </w14:shadow>
        </w:rPr>
        <w:t>有效性、完整性和响应程度</w:t>
      </w:r>
      <w:r>
        <w:rPr>
          <w:rFonts w:hint="eastAsia" w:ascii="宋体" w:hAnsi="宋体"/>
          <w:bCs/>
          <w:color w:val="auto"/>
          <w:sz w:val="24"/>
          <w:szCs w:val="24"/>
          <w:highlight w:val="none"/>
          <w14:shadow w14:blurRad="0" w14:dist="0" w14:dir="0" w14:sx="0" w14:sy="0" w14:kx="0" w14:ky="0" w14:algn="none">
            <w14:srgbClr w14:val="000000"/>
          </w14:shadow>
        </w:rPr>
        <w:t>检查表</w:t>
      </w:r>
    </w:p>
    <w:p w14:paraId="3A8C79EE">
      <w:pPr>
        <w:adjustRightInd w:val="0"/>
        <w:snapToGrid w:val="0"/>
        <w:spacing w:line="240" w:lineRule="atLeast"/>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项目名称：</w:t>
      </w:r>
      <w:r>
        <w:rPr>
          <w:rFonts w:hint="eastAsia" w:ascii="宋体" w:hAnsi="宋体"/>
          <w:bCs/>
          <w:color w:val="auto"/>
          <w:sz w:val="24"/>
          <w:szCs w:val="24"/>
          <w:highlight w:val="none"/>
          <w:u w:val="single"/>
          <w14:shadow w14:blurRad="0" w14:dist="0" w14:dir="0" w14:sx="0" w14:sy="0" w14:kx="0" w14:ky="0" w14:algn="none">
            <w14:srgbClr w14:val="000000"/>
          </w14:shadow>
        </w:rPr>
        <w:t xml:space="preserve">                        </w:t>
      </w:r>
    </w:p>
    <w:p w14:paraId="1392379D">
      <w:pPr>
        <w:adjustRightInd w:val="0"/>
        <w:snapToGrid w:val="0"/>
        <w:spacing w:line="240" w:lineRule="atLeast"/>
        <w:jc w:val="left"/>
        <w:rPr>
          <w:rFonts w:ascii="宋体" w:hAnsi="宋体"/>
          <w:bCs/>
          <w:color w:val="auto"/>
          <w:sz w:val="24"/>
          <w:szCs w:val="24"/>
          <w:highlight w:val="none"/>
          <w:u w:val="singl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评审地点：</w:t>
      </w:r>
      <w:r>
        <w:rPr>
          <w:rFonts w:hint="eastAsia" w:ascii="宋体" w:hAnsi="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bCs/>
          <w:color w:val="auto"/>
          <w:sz w:val="24"/>
          <w:szCs w:val="24"/>
          <w:highlight w:val="none"/>
          <w14:shadow w14:blurRad="0" w14:dist="0" w14:dir="0" w14:sx="0" w14:sy="0" w14:kx="0" w14:ky="0" w14:algn="none">
            <w14:srgbClr w14:val="000000"/>
          </w14:shadow>
        </w:rPr>
        <w:t xml:space="preserve">              日期：</w:t>
      </w:r>
      <w:r>
        <w:rPr>
          <w:rFonts w:hint="eastAsia" w:ascii="宋体" w:hAnsi="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bCs/>
          <w:color w:val="auto"/>
          <w:sz w:val="24"/>
          <w:szCs w:val="24"/>
          <w:highlight w:val="none"/>
          <w14:shadow w14:blurRad="0" w14:dist="0" w14:dir="0" w14:sx="0" w14:sy="0" w14:kx="0" w14:ky="0" w14:algn="none">
            <w14:srgbClr w14:val="000000"/>
          </w14:shadow>
        </w:rPr>
        <w:t>年</w:t>
      </w:r>
      <w:r>
        <w:rPr>
          <w:rFonts w:hint="eastAsia" w:ascii="宋体" w:hAnsi="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bCs/>
          <w:color w:val="auto"/>
          <w:sz w:val="24"/>
          <w:szCs w:val="24"/>
          <w:highlight w:val="none"/>
          <w14:shadow w14:blurRad="0" w14:dist="0" w14:dir="0" w14:sx="0" w14:sy="0" w14:kx="0" w14:ky="0" w14:algn="none">
            <w14:srgbClr w14:val="000000"/>
          </w14:shadow>
        </w:rPr>
        <w:t>月</w:t>
      </w:r>
      <w:r>
        <w:rPr>
          <w:rFonts w:hint="eastAsia" w:ascii="宋体" w:hAnsi="宋体"/>
          <w:bCs/>
          <w:color w:val="auto"/>
          <w:sz w:val="24"/>
          <w:szCs w:val="24"/>
          <w:highlight w:val="none"/>
          <w:u w:val="single"/>
          <w14:shadow w14:blurRad="0" w14:dist="0" w14:dir="0" w14:sx="0" w14:sy="0" w14:kx="0" w14:ky="0" w14:algn="none">
            <w14:srgbClr w14:val="000000"/>
          </w14:shadow>
        </w:rPr>
        <w:t xml:space="preserve">   </w:t>
      </w:r>
      <w:r>
        <w:rPr>
          <w:rFonts w:hint="eastAsia" w:ascii="宋体" w:hAnsi="宋体"/>
          <w:bCs/>
          <w:color w:val="auto"/>
          <w:sz w:val="24"/>
          <w:szCs w:val="24"/>
          <w:highlight w:val="none"/>
          <w14:shadow w14:blurRad="0" w14:dist="0" w14:dir="0" w14:sx="0" w14:sy="0" w14:kx="0" w14:ky="0" w14:algn="none">
            <w14:srgbClr w14:val="000000"/>
          </w14:shadow>
        </w:rPr>
        <w:t>日</w:t>
      </w:r>
    </w:p>
    <w:tbl>
      <w:tblPr>
        <w:tblStyle w:val="6"/>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170"/>
        <w:gridCol w:w="567"/>
        <w:gridCol w:w="709"/>
        <w:gridCol w:w="568"/>
        <w:gridCol w:w="1616"/>
      </w:tblGrid>
      <w:tr w14:paraId="3668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6299" w:type="dxa"/>
            <w:gridSpan w:val="2"/>
            <w:vMerge w:val="restart"/>
            <w:tcBorders>
              <w:top w:val="single" w:color="auto" w:sz="4" w:space="0"/>
              <w:left w:val="single" w:color="auto" w:sz="4" w:space="0"/>
              <w:bottom w:val="single" w:color="auto" w:sz="4" w:space="0"/>
              <w:right w:val="single" w:color="auto" w:sz="4" w:space="0"/>
            </w:tcBorders>
            <w:vAlign w:val="center"/>
          </w:tcPr>
          <w:p w14:paraId="1B12F361">
            <w:pPr>
              <w:spacing w:line="312" w:lineRule="auto"/>
              <w:jc w:val="center"/>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审 查 内 容</w:t>
            </w:r>
          </w:p>
        </w:tc>
        <w:tc>
          <w:tcPr>
            <w:tcW w:w="1844" w:type="dxa"/>
            <w:gridSpan w:val="3"/>
            <w:tcBorders>
              <w:top w:val="single" w:color="auto" w:sz="4" w:space="0"/>
              <w:left w:val="single" w:color="auto" w:sz="4" w:space="0"/>
              <w:bottom w:val="single" w:color="auto" w:sz="4" w:space="0"/>
              <w:right w:val="single" w:color="auto" w:sz="4" w:space="0"/>
            </w:tcBorders>
            <w:vAlign w:val="center"/>
          </w:tcPr>
          <w:p w14:paraId="3B9926A5">
            <w:pPr>
              <w:spacing w:line="312" w:lineRule="auto"/>
              <w:jc w:val="center"/>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供应商</w:t>
            </w:r>
          </w:p>
        </w:tc>
        <w:tc>
          <w:tcPr>
            <w:tcW w:w="1616" w:type="dxa"/>
            <w:vMerge w:val="restart"/>
            <w:tcBorders>
              <w:top w:val="single" w:color="auto" w:sz="4" w:space="0"/>
              <w:left w:val="single" w:color="auto" w:sz="4" w:space="0"/>
              <w:bottom w:val="single" w:color="auto" w:sz="4" w:space="0"/>
              <w:right w:val="single" w:color="auto" w:sz="4" w:space="0"/>
            </w:tcBorders>
            <w:vAlign w:val="center"/>
          </w:tcPr>
          <w:p w14:paraId="0AE67861">
            <w:pPr>
              <w:spacing w:line="312" w:lineRule="auto"/>
              <w:jc w:val="center"/>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询比小组成员签字</w:t>
            </w:r>
          </w:p>
        </w:tc>
      </w:tr>
      <w:tr w14:paraId="5619C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6299" w:type="dxa"/>
            <w:gridSpan w:val="2"/>
            <w:vMerge w:val="continue"/>
            <w:tcBorders>
              <w:top w:val="single" w:color="auto" w:sz="4" w:space="0"/>
              <w:left w:val="single" w:color="auto" w:sz="4" w:space="0"/>
              <w:bottom w:val="single" w:color="auto" w:sz="4" w:space="0"/>
              <w:right w:val="single" w:color="auto" w:sz="4" w:space="0"/>
            </w:tcBorders>
            <w:vAlign w:val="center"/>
          </w:tcPr>
          <w:p w14:paraId="66CD550B">
            <w:pPr>
              <w:widowControl/>
              <w:jc w:val="left"/>
              <w:rPr>
                <w:rFonts w:ascii="宋体" w:hAnsi="宋体"/>
                <w:bCs/>
                <w:color w:val="auto"/>
                <w:sz w:val="24"/>
                <w:szCs w:val="24"/>
                <w:highlight w:val="none"/>
                <w14:shadow w14:blurRad="0" w14:dist="0" w14:dir="0" w14:sx="0" w14:sy="0" w14:kx="0" w14:ky="0" w14:algn="none">
                  <w14:srgbClr w14:val="000000"/>
                </w14:shadow>
              </w:rPr>
            </w:pPr>
          </w:p>
        </w:tc>
        <w:tc>
          <w:tcPr>
            <w:tcW w:w="567" w:type="dxa"/>
            <w:tcBorders>
              <w:top w:val="single" w:color="auto" w:sz="4" w:space="0"/>
              <w:left w:val="single" w:color="auto" w:sz="4" w:space="0"/>
              <w:bottom w:val="single" w:color="auto" w:sz="4" w:space="0"/>
              <w:right w:val="single" w:color="auto" w:sz="4" w:space="0"/>
            </w:tcBorders>
            <w:vAlign w:val="center"/>
          </w:tcPr>
          <w:p w14:paraId="68516AC2">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1FC9F766">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single" w:color="auto" w:sz="6" w:space="0"/>
              <w:right w:val="single" w:color="auto" w:sz="4" w:space="0"/>
            </w:tcBorders>
            <w:vAlign w:val="center"/>
          </w:tcPr>
          <w:p w14:paraId="43CFE7EB">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4" w:space="0"/>
              <w:left w:val="single" w:color="auto" w:sz="4" w:space="0"/>
              <w:bottom w:val="single" w:color="auto" w:sz="4" w:space="0"/>
              <w:right w:val="single" w:color="auto" w:sz="4" w:space="0"/>
            </w:tcBorders>
            <w:vAlign w:val="center"/>
          </w:tcPr>
          <w:p w14:paraId="4A891CDD">
            <w:pPr>
              <w:widowControl/>
              <w:jc w:val="left"/>
              <w:rPr>
                <w:rFonts w:ascii="宋体" w:hAnsi="宋体"/>
                <w:bCs/>
                <w:color w:val="auto"/>
                <w:sz w:val="24"/>
                <w:szCs w:val="24"/>
                <w:highlight w:val="none"/>
                <w14:shadow w14:blurRad="0" w14:dist="0" w14:dir="0" w14:sx="0" w14:sy="0" w14:kx="0" w14:ky="0" w14:algn="none">
                  <w14:srgbClr w14:val="000000"/>
                </w14:shadow>
              </w:rPr>
            </w:pPr>
          </w:p>
        </w:tc>
      </w:tr>
      <w:tr w14:paraId="101A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129" w:type="dxa"/>
            <w:vMerge w:val="restart"/>
            <w:tcBorders>
              <w:top w:val="nil"/>
              <w:left w:val="single" w:color="auto" w:sz="4" w:space="0"/>
              <w:bottom w:val="single" w:color="auto" w:sz="4" w:space="0"/>
              <w:right w:val="single" w:color="auto" w:sz="4" w:space="0"/>
            </w:tcBorders>
            <w:vAlign w:val="center"/>
          </w:tcPr>
          <w:p w14:paraId="1BD51E71">
            <w:pPr>
              <w:spacing w:line="312" w:lineRule="auto"/>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有效性、完整性和响应程度检查表</w:t>
            </w:r>
          </w:p>
        </w:tc>
        <w:tc>
          <w:tcPr>
            <w:tcW w:w="5170" w:type="dxa"/>
            <w:tcBorders>
              <w:top w:val="single" w:color="auto" w:sz="4" w:space="0"/>
              <w:left w:val="single" w:color="auto" w:sz="4" w:space="0"/>
              <w:bottom w:val="single" w:color="auto" w:sz="4" w:space="0"/>
              <w:right w:val="single" w:color="auto" w:sz="4" w:space="0"/>
            </w:tcBorders>
            <w:vAlign w:val="center"/>
          </w:tcPr>
          <w:p w14:paraId="1F6ADAD9">
            <w:pPr>
              <w:spacing w:line="312" w:lineRule="auto"/>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未按照询比文件规定要求签署、盖章的；</w:t>
            </w:r>
          </w:p>
        </w:tc>
        <w:tc>
          <w:tcPr>
            <w:tcW w:w="567" w:type="dxa"/>
            <w:tcBorders>
              <w:top w:val="single" w:color="auto" w:sz="4" w:space="0"/>
              <w:left w:val="single" w:color="auto" w:sz="4" w:space="0"/>
              <w:bottom w:val="single" w:color="auto" w:sz="4" w:space="0"/>
              <w:right w:val="single" w:color="auto" w:sz="4" w:space="0"/>
            </w:tcBorders>
            <w:vAlign w:val="center"/>
          </w:tcPr>
          <w:p w14:paraId="3D205EDB">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254568EA">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6" w:space="0"/>
              <w:left w:val="single" w:color="auto" w:sz="4" w:space="0"/>
              <w:bottom w:val="single" w:color="auto" w:sz="4" w:space="0"/>
              <w:right w:val="single" w:color="auto" w:sz="4" w:space="0"/>
            </w:tcBorders>
            <w:vAlign w:val="center"/>
          </w:tcPr>
          <w:p w14:paraId="1C45CE75">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restart"/>
            <w:tcBorders>
              <w:top w:val="single" w:color="auto" w:sz="6" w:space="0"/>
              <w:left w:val="single" w:color="auto" w:sz="4" w:space="0"/>
              <w:bottom w:val="single" w:color="auto" w:sz="4" w:space="0"/>
              <w:right w:val="single" w:color="auto" w:sz="4" w:space="0"/>
            </w:tcBorders>
          </w:tcPr>
          <w:p w14:paraId="3E015F16">
            <w:pPr>
              <w:spacing w:line="312" w:lineRule="auto"/>
              <w:jc w:val="center"/>
              <w:rPr>
                <w:rFonts w:ascii="宋体" w:hAnsi="宋体"/>
                <w:bCs/>
                <w:color w:val="auto"/>
                <w:sz w:val="24"/>
                <w:szCs w:val="24"/>
                <w:highlight w:val="none"/>
                <w14:shadow w14:blurRad="0" w14:dist="0" w14:dir="0" w14:sx="0" w14:sy="0" w14:kx="0" w14:ky="0" w14:algn="none">
                  <w14:srgbClr w14:val="000000"/>
                </w14:shadow>
              </w:rPr>
            </w:pPr>
          </w:p>
        </w:tc>
      </w:tr>
      <w:tr w14:paraId="362E7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2F7B0ACF">
            <w:pPr>
              <w:widowControl/>
              <w:jc w:val="left"/>
              <w:rPr>
                <w:rFonts w:ascii="宋体" w:hAnsi="宋体"/>
                <w:bCs/>
                <w:color w:val="auto"/>
                <w:sz w:val="24"/>
                <w:szCs w:val="24"/>
                <w:highlight w:val="none"/>
                <w14:shadow w14:blurRad="0" w14:dist="0" w14:dir="0" w14:sx="0" w14:sy="0" w14:kx="0" w14:ky="0" w14:algn="none">
                  <w14:srgbClr w14:val="000000"/>
                </w14:shadow>
              </w:rPr>
            </w:pPr>
          </w:p>
        </w:tc>
        <w:tc>
          <w:tcPr>
            <w:tcW w:w="5170" w:type="dxa"/>
            <w:tcBorders>
              <w:top w:val="single" w:color="auto" w:sz="4" w:space="0"/>
              <w:left w:val="single" w:color="auto" w:sz="4" w:space="0"/>
              <w:bottom w:val="single" w:color="auto" w:sz="4" w:space="0"/>
              <w:right w:val="single" w:color="auto" w:sz="4" w:space="0"/>
            </w:tcBorders>
            <w:vAlign w:val="center"/>
          </w:tcPr>
          <w:p w14:paraId="769A54F1">
            <w:pPr>
              <w:spacing w:line="312" w:lineRule="auto"/>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lang w:val="en-US" w:eastAsia="zh-CN"/>
                <w14:shadow w14:blurRad="0" w14:dist="0" w14:dir="0" w14:sx="0" w14:sy="0" w14:kx="0" w14:ky="0" w14:algn="none">
                  <w14:srgbClr w14:val="000000"/>
                </w14:shadow>
              </w:rPr>
              <w:t>建设周期</w:t>
            </w:r>
            <w:r>
              <w:rPr>
                <w:rFonts w:hint="eastAsia" w:ascii="宋体" w:hAnsi="宋体"/>
                <w:bCs/>
                <w:color w:val="auto"/>
                <w:sz w:val="24"/>
                <w:szCs w:val="24"/>
                <w:highlight w:val="none"/>
                <w14:shadow w14:blurRad="0" w14:dist="0" w14:dir="0" w14:sx="0" w14:sy="0" w14:kx="0" w14:ky="0" w14:algn="none">
                  <w14:srgbClr w14:val="000000"/>
                </w14:shadow>
              </w:rPr>
              <w:t>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14:paraId="282A18EB">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1AF0444D">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single" w:color="auto" w:sz="4" w:space="0"/>
              <w:right w:val="single" w:color="auto" w:sz="4" w:space="0"/>
            </w:tcBorders>
            <w:vAlign w:val="center"/>
          </w:tcPr>
          <w:p w14:paraId="1A44CF86">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6" w:space="0"/>
              <w:left w:val="single" w:color="auto" w:sz="4" w:space="0"/>
              <w:bottom w:val="single" w:color="auto" w:sz="4" w:space="0"/>
              <w:right w:val="single" w:color="auto" w:sz="4" w:space="0"/>
            </w:tcBorders>
            <w:vAlign w:val="center"/>
          </w:tcPr>
          <w:p w14:paraId="45225D2F">
            <w:pPr>
              <w:widowControl/>
              <w:jc w:val="left"/>
              <w:rPr>
                <w:rFonts w:ascii="宋体" w:hAnsi="宋体"/>
                <w:bCs/>
                <w:color w:val="auto"/>
                <w:sz w:val="24"/>
                <w:szCs w:val="24"/>
                <w:highlight w:val="none"/>
                <w14:shadow w14:blurRad="0" w14:dist="0" w14:dir="0" w14:sx="0" w14:sy="0" w14:kx="0" w14:ky="0" w14:algn="none">
                  <w14:srgbClr w14:val="000000"/>
                </w14:shadow>
              </w:rPr>
            </w:pPr>
          </w:p>
        </w:tc>
      </w:tr>
      <w:tr w14:paraId="70D5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EFB2532">
            <w:pPr>
              <w:widowControl/>
              <w:jc w:val="left"/>
              <w:rPr>
                <w:rFonts w:ascii="宋体" w:hAnsi="宋体"/>
                <w:bCs/>
                <w:color w:val="auto"/>
                <w:sz w:val="24"/>
                <w:szCs w:val="24"/>
                <w:highlight w:val="none"/>
                <w14:shadow w14:blurRad="0" w14:dist="0" w14:dir="0" w14:sx="0" w14:sy="0" w14:kx="0" w14:ky="0" w14:algn="none">
                  <w14:srgbClr w14:val="000000"/>
                </w14:shadow>
              </w:rPr>
            </w:pPr>
          </w:p>
        </w:tc>
        <w:tc>
          <w:tcPr>
            <w:tcW w:w="5170" w:type="dxa"/>
            <w:tcBorders>
              <w:top w:val="single" w:color="auto" w:sz="4" w:space="0"/>
              <w:left w:val="single" w:color="auto" w:sz="4" w:space="0"/>
              <w:bottom w:val="single" w:color="auto" w:sz="4" w:space="0"/>
              <w:right w:val="single" w:color="auto" w:sz="4" w:space="0"/>
            </w:tcBorders>
            <w:vAlign w:val="center"/>
          </w:tcPr>
          <w:p w14:paraId="2340F8AC">
            <w:pPr>
              <w:spacing w:line="312" w:lineRule="auto"/>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采购内容及报价不满足询比文件要求</w:t>
            </w:r>
          </w:p>
        </w:tc>
        <w:tc>
          <w:tcPr>
            <w:tcW w:w="567" w:type="dxa"/>
            <w:tcBorders>
              <w:top w:val="single" w:color="auto" w:sz="4" w:space="0"/>
              <w:left w:val="single" w:color="auto" w:sz="4" w:space="0"/>
              <w:bottom w:val="single" w:color="auto" w:sz="4" w:space="0"/>
              <w:right w:val="single" w:color="auto" w:sz="4" w:space="0"/>
            </w:tcBorders>
            <w:vAlign w:val="center"/>
          </w:tcPr>
          <w:p w14:paraId="574CC30C">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602E9AE4">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single" w:color="auto" w:sz="4" w:space="0"/>
              <w:right w:val="single" w:color="auto" w:sz="4" w:space="0"/>
            </w:tcBorders>
            <w:vAlign w:val="center"/>
          </w:tcPr>
          <w:p w14:paraId="2F215281">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6" w:space="0"/>
              <w:left w:val="single" w:color="auto" w:sz="4" w:space="0"/>
              <w:bottom w:val="single" w:color="auto" w:sz="4" w:space="0"/>
              <w:right w:val="single" w:color="auto" w:sz="4" w:space="0"/>
            </w:tcBorders>
            <w:vAlign w:val="center"/>
          </w:tcPr>
          <w:p w14:paraId="5021B851">
            <w:pPr>
              <w:widowControl/>
              <w:jc w:val="left"/>
              <w:rPr>
                <w:rFonts w:ascii="宋体" w:hAnsi="宋体"/>
                <w:bCs/>
                <w:color w:val="auto"/>
                <w:sz w:val="24"/>
                <w:szCs w:val="24"/>
                <w:highlight w:val="none"/>
                <w14:shadow w14:blurRad="0" w14:dist="0" w14:dir="0" w14:sx="0" w14:sy="0" w14:kx="0" w14:ky="0" w14:algn="none">
                  <w14:srgbClr w14:val="000000"/>
                </w14:shadow>
              </w:rPr>
            </w:pPr>
          </w:p>
        </w:tc>
      </w:tr>
      <w:tr w14:paraId="2234D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70DD4E42">
            <w:pPr>
              <w:widowControl/>
              <w:jc w:val="left"/>
              <w:rPr>
                <w:rFonts w:ascii="宋体" w:hAnsi="宋体"/>
                <w:bCs/>
                <w:color w:val="auto"/>
                <w:sz w:val="24"/>
                <w:szCs w:val="24"/>
                <w:highlight w:val="none"/>
                <w14:shadow w14:blurRad="0" w14:dist="0" w14:dir="0" w14:sx="0" w14:sy="0" w14:kx="0" w14:ky="0" w14:algn="none">
                  <w14:srgbClr w14:val="000000"/>
                </w14:shadow>
              </w:rPr>
            </w:pPr>
          </w:p>
        </w:tc>
        <w:tc>
          <w:tcPr>
            <w:tcW w:w="5170" w:type="dxa"/>
            <w:tcBorders>
              <w:top w:val="single" w:color="auto" w:sz="4" w:space="0"/>
              <w:left w:val="single" w:color="auto" w:sz="4" w:space="0"/>
              <w:bottom w:val="single" w:color="auto" w:sz="4" w:space="0"/>
              <w:right w:val="single" w:color="auto" w:sz="4" w:space="0"/>
            </w:tcBorders>
            <w:vAlign w:val="center"/>
          </w:tcPr>
          <w:p w14:paraId="1D45C86F">
            <w:pPr>
              <w:spacing w:line="312" w:lineRule="auto"/>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响应文件附有采购人不能接受的附加条件</w:t>
            </w:r>
          </w:p>
        </w:tc>
        <w:tc>
          <w:tcPr>
            <w:tcW w:w="567" w:type="dxa"/>
            <w:tcBorders>
              <w:top w:val="single" w:color="auto" w:sz="4" w:space="0"/>
              <w:left w:val="single" w:color="auto" w:sz="4" w:space="0"/>
              <w:bottom w:val="single" w:color="auto" w:sz="4" w:space="0"/>
              <w:right w:val="single" w:color="auto" w:sz="4" w:space="0"/>
            </w:tcBorders>
            <w:vAlign w:val="center"/>
          </w:tcPr>
          <w:p w14:paraId="289CD75F">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43ED8A26">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single" w:color="auto" w:sz="4" w:space="0"/>
              <w:right w:val="single" w:color="auto" w:sz="4" w:space="0"/>
            </w:tcBorders>
            <w:vAlign w:val="center"/>
          </w:tcPr>
          <w:p w14:paraId="6E593632">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6" w:space="0"/>
              <w:left w:val="single" w:color="auto" w:sz="4" w:space="0"/>
              <w:bottom w:val="single" w:color="auto" w:sz="4" w:space="0"/>
              <w:right w:val="single" w:color="auto" w:sz="4" w:space="0"/>
            </w:tcBorders>
            <w:vAlign w:val="center"/>
          </w:tcPr>
          <w:p w14:paraId="68061F47">
            <w:pPr>
              <w:widowControl/>
              <w:jc w:val="left"/>
              <w:rPr>
                <w:rFonts w:ascii="宋体" w:hAnsi="宋体"/>
                <w:bCs/>
                <w:color w:val="auto"/>
                <w:sz w:val="24"/>
                <w:szCs w:val="24"/>
                <w:highlight w:val="none"/>
                <w14:shadow w14:blurRad="0" w14:dist="0" w14:dir="0" w14:sx="0" w14:sy="0" w14:kx="0" w14:ky="0" w14:algn="none">
                  <w14:srgbClr w14:val="000000"/>
                </w14:shadow>
              </w:rPr>
            </w:pPr>
          </w:p>
        </w:tc>
      </w:tr>
      <w:tr w14:paraId="620E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349475F2">
            <w:pPr>
              <w:widowControl/>
              <w:jc w:val="left"/>
              <w:rPr>
                <w:rFonts w:ascii="宋体" w:hAnsi="宋体"/>
                <w:bCs/>
                <w:color w:val="auto"/>
                <w:sz w:val="24"/>
                <w:szCs w:val="24"/>
                <w:highlight w:val="none"/>
                <w14:shadow w14:blurRad="0" w14:dist="0" w14:dir="0" w14:sx="0" w14:sy="0" w14:kx="0" w14:ky="0" w14:algn="none">
                  <w14:srgbClr w14:val="000000"/>
                </w14:shadow>
              </w:rPr>
            </w:pPr>
          </w:p>
        </w:tc>
        <w:tc>
          <w:tcPr>
            <w:tcW w:w="5170" w:type="dxa"/>
            <w:tcBorders>
              <w:top w:val="single" w:color="auto" w:sz="4" w:space="0"/>
              <w:left w:val="single" w:color="auto" w:sz="4" w:space="0"/>
              <w:bottom w:val="single" w:color="auto" w:sz="4" w:space="0"/>
              <w:right w:val="single" w:color="auto" w:sz="4" w:space="0"/>
            </w:tcBorders>
            <w:vAlign w:val="center"/>
          </w:tcPr>
          <w:p w14:paraId="71111522">
            <w:pPr>
              <w:spacing w:line="312" w:lineRule="auto"/>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不符合法律、法规和询比文件中规定的其它实质性要求的；</w:t>
            </w:r>
          </w:p>
        </w:tc>
        <w:tc>
          <w:tcPr>
            <w:tcW w:w="567" w:type="dxa"/>
            <w:tcBorders>
              <w:top w:val="single" w:color="auto" w:sz="4" w:space="0"/>
              <w:left w:val="single" w:color="auto" w:sz="4" w:space="0"/>
              <w:bottom w:val="single" w:color="auto" w:sz="4" w:space="0"/>
              <w:right w:val="single" w:color="auto" w:sz="4" w:space="0"/>
            </w:tcBorders>
            <w:vAlign w:val="center"/>
          </w:tcPr>
          <w:p w14:paraId="7A3050D3">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25843546">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nil"/>
              <w:right w:val="single" w:color="auto" w:sz="4" w:space="0"/>
            </w:tcBorders>
            <w:vAlign w:val="center"/>
          </w:tcPr>
          <w:p w14:paraId="527D1F5D">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6" w:space="0"/>
              <w:left w:val="single" w:color="auto" w:sz="4" w:space="0"/>
              <w:bottom w:val="single" w:color="auto" w:sz="4" w:space="0"/>
              <w:right w:val="single" w:color="auto" w:sz="4" w:space="0"/>
            </w:tcBorders>
            <w:vAlign w:val="center"/>
          </w:tcPr>
          <w:p w14:paraId="13E7F001">
            <w:pPr>
              <w:widowControl/>
              <w:jc w:val="left"/>
              <w:rPr>
                <w:rFonts w:ascii="宋体" w:hAnsi="宋体"/>
                <w:bCs/>
                <w:color w:val="auto"/>
                <w:sz w:val="24"/>
                <w:szCs w:val="24"/>
                <w:highlight w:val="none"/>
                <w14:shadow w14:blurRad="0" w14:dist="0" w14:dir="0" w14:sx="0" w14:sy="0" w14:kx="0" w14:ky="0" w14:algn="none">
                  <w14:srgbClr w14:val="000000"/>
                </w14:shadow>
              </w:rPr>
            </w:pPr>
          </w:p>
        </w:tc>
      </w:tr>
      <w:tr w14:paraId="39D1A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6299" w:type="dxa"/>
            <w:gridSpan w:val="2"/>
            <w:tcBorders>
              <w:top w:val="single" w:color="auto" w:sz="4" w:space="0"/>
              <w:left w:val="single" w:color="auto" w:sz="4" w:space="0"/>
              <w:bottom w:val="single" w:color="auto" w:sz="4" w:space="0"/>
              <w:right w:val="single" w:color="auto" w:sz="4" w:space="0"/>
            </w:tcBorders>
            <w:vAlign w:val="center"/>
          </w:tcPr>
          <w:p w14:paraId="7A0AD23E">
            <w:pPr>
              <w:spacing w:line="312" w:lineRule="auto"/>
              <w:jc w:val="center"/>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评审结论</w:t>
            </w:r>
          </w:p>
        </w:tc>
        <w:tc>
          <w:tcPr>
            <w:tcW w:w="567" w:type="dxa"/>
            <w:tcBorders>
              <w:top w:val="single" w:color="auto" w:sz="4" w:space="0"/>
              <w:left w:val="single" w:color="auto" w:sz="4" w:space="0"/>
              <w:bottom w:val="single" w:color="auto" w:sz="4" w:space="0"/>
              <w:right w:val="single" w:color="auto" w:sz="4" w:space="0"/>
            </w:tcBorders>
            <w:vAlign w:val="center"/>
          </w:tcPr>
          <w:p w14:paraId="3F6336B1">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709" w:type="dxa"/>
            <w:tcBorders>
              <w:top w:val="single" w:color="auto" w:sz="4" w:space="0"/>
              <w:left w:val="single" w:color="auto" w:sz="4" w:space="0"/>
              <w:bottom w:val="single" w:color="auto" w:sz="4" w:space="0"/>
              <w:right w:val="single" w:color="auto" w:sz="4" w:space="0"/>
            </w:tcBorders>
            <w:vAlign w:val="center"/>
          </w:tcPr>
          <w:p w14:paraId="349F84BA">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568" w:type="dxa"/>
            <w:tcBorders>
              <w:top w:val="single" w:color="auto" w:sz="4" w:space="0"/>
              <w:left w:val="single" w:color="auto" w:sz="4" w:space="0"/>
              <w:bottom w:val="single" w:color="auto" w:sz="4" w:space="0"/>
              <w:right w:val="single" w:color="auto" w:sz="4" w:space="0"/>
            </w:tcBorders>
            <w:vAlign w:val="center"/>
          </w:tcPr>
          <w:p w14:paraId="40FD5B52">
            <w:pPr>
              <w:spacing w:line="312" w:lineRule="auto"/>
              <w:jc w:val="left"/>
              <w:rPr>
                <w:rFonts w:ascii="宋体" w:hAnsi="宋体"/>
                <w:bCs/>
                <w:color w:val="auto"/>
                <w:sz w:val="24"/>
                <w:szCs w:val="24"/>
                <w:highlight w:val="none"/>
                <w14:shadow w14:blurRad="0" w14:dist="0" w14:dir="0" w14:sx="0" w14:sy="0" w14:kx="0" w14:ky="0" w14:algn="none">
                  <w14:srgbClr w14:val="000000"/>
                </w14:shadow>
              </w:rPr>
            </w:pPr>
          </w:p>
        </w:tc>
        <w:tc>
          <w:tcPr>
            <w:tcW w:w="1616" w:type="dxa"/>
            <w:vMerge w:val="continue"/>
            <w:tcBorders>
              <w:top w:val="single" w:color="auto" w:sz="6" w:space="0"/>
              <w:left w:val="single" w:color="auto" w:sz="4" w:space="0"/>
              <w:bottom w:val="single" w:color="auto" w:sz="4" w:space="0"/>
              <w:right w:val="single" w:color="auto" w:sz="4" w:space="0"/>
            </w:tcBorders>
            <w:vAlign w:val="center"/>
          </w:tcPr>
          <w:p w14:paraId="275685B6">
            <w:pPr>
              <w:widowControl/>
              <w:jc w:val="left"/>
              <w:rPr>
                <w:rFonts w:ascii="宋体" w:hAnsi="宋体"/>
                <w:bCs/>
                <w:color w:val="auto"/>
                <w:sz w:val="24"/>
                <w:szCs w:val="24"/>
                <w:highlight w:val="none"/>
                <w14:shadow w14:blurRad="0" w14:dist="0" w14:dir="0" w14:sx="0" w14:sy="0" w14:kx="0" w14:ky="0" w14:algn="none">
                  <w14:srgbClr w14:val="000000"/>
                </w14:shadow>
              </w:rPr>
            </w:pPr>
          </w:p>
        </w:tc>
      </w:tr>
    </w:tbl>
    <w:p w14:paraId="08BEBB85">
      <w:pPr>
        <w:spacing w:line="312" w:lineRule="auto"/>
        <w:ind w:firstLine="480" w:firstLineChars="200"/>
        <w:jc w:val="left"/>
        <w:rPr>
          <w:rFonts w:ascii="宋体" w:hAnsi="宋体"/>
          <w:bCs/>
          <w:color w:val="auto"/>
          <w:sz w:val="24"/>
          <w:szCs w:val="24"/>
          <w:highlight w:val="none"/>
          <w14:shadow w14:blurRad="0" w14:dist="0" w14:dir="0" w14:sx="0" w14:sy="0" w14:kx="0" w14:ky="0" w14:algn="none">
            <w14:srgbClr w14:val="000000"/>
          </w14:shadow>
        </w:rPr>
      </w:pPr>
      <w:r>
        <w:rPr>
          <w:rFonts w:hint="eastAsia" w:ascii="宋体" w:hAnsi="宋体"/>
          <w:bCs/>
          <w:color w:val="auto"/>
          <w:sz w:val="24"/>
          <w:szCs w:val="24"/>
          <w:highlight w:val="none"/>
          <w14:shadow w14:blurRad="0" w14:dist="0" w14:dir="0" w14:sx="0" w14:sy="0" w14:kx="0" w14:ky="0" w14:algn="none">
            <w14:srgbClr w14:val="000000"/>
          </w14:shadow>
        </w:rPr>
        <w:t>注：上述评审内容对应填写“合格”或“不合格”，评审结论对应填写“不通过”或“通过”，响应文件属上述情况之一的，询比小组将在有效性、完整性和响应程度评审时作为无效标处理。</w:t>
      </w:r>
    </w:p>
    <w:p w14:paraId="1F6D08EF">
      <w:pPr>
        <w:spacing w:line="360" w:lineRule="auto"/>
        <w:jc w:val="left"/>
        <w:rPr>
          <w:rFonts w:hint="eastAsia" w:ascii="宋体" w:hAnsi="宋体"/>
          <w:color w:val="auto"/>
          <w:sz w:val="24"/>
          <w:szCs w:val="24"/>
          <w:highlight w:val="none"/>
          <w14:shadow w14:blurRad="0" w14:dist="0" w14:dir="0" w14:sx="0" w14:sy="0" w14:kx="0" w14:ky="0" w14:algn="none">
            <w14:srgbClr w14:val="000000"/>
          </w14:shadow>
        </w:rPr>
      </w:pPr>
    </w:p>
    <w:p w14:paraId="368BDC4C">
      <w:pPr>
        <w:spacing w:line="360" w:lineRule="auto"/>
        <w:jc w:val="left"/>
        <w:rPr>
          <w:rFonts w:ascii="宋体" w:hAnsi="宋体"/>
          <w:color w:val="auto"/>
          <w:highlight w:val="none"/>
          <w14:shadow w14:blurRad="0" w14:dist="0" w14:dir="0" w14:sx="0" w14:sy="0" w14:kx="0" w14:ky="0" w14:algn="none">
            <w14:srgbClr w14:val="000000"/>
          </w14:shadow>
        </w:rPr>
      </w:pPr>
      <w:r>
        <w:rPr>
          <w:rFonts w:hint="eastAsia" w:ascii="宋体" w:hAnsi="宋体"/>
          <w:color w:val="auto"/>
          <w:sz w:val="24"/>
          <w:szCs w:val="24"/>
          <w:highlight w:val="none"/>
          <w14:shadow w14:blurRad="0" w14:dist="0" w14:dir="0" w14:sx="0" w14:sy="0" w14:kx="0" w14:ky="0" w14:algn="none">
            <w14:srgbClr w14:val="000000"/>
          </w14:shadow>
        </w:rPr>
        <w:t>附件三</w:t>
      </w:r>
      <w:r>
        <w:rPr>
          <w:rFonts w:hint="eastAsia" w:cs="Calibri"/>
          <w:color w:val="auto"/>
          <w:sz w:val="24"/>
          <w:szCs w:val="24"/>
          <w:highlight w:val="none"/>
          <w14:shadow w14:blurRad="0" w14:dist="0" w14:dir="0" w14:sx="0" w14:sy="0" w14:kx="0" w14:ky="0" w14:algn="none">
            <w14:srgbClr w14:val="000000"/>
          </w14:shadow>
        </w:rPr>
        <w:t>:</w:t>
      </w:r>
      <w:r>
        <w:rPr>
          <w:rFonts w:hint="eastAsia" w:ascii="宋体" w:hAnsi="宋体"/>
          <w:color w:val="auto"/>
          <w:sz w:val="24"/>
          <w:szCs w:val="24"/>
          <w:highlight w:val="none"/>
          <w14:shadow w14:blurRad="0" w14:dist="0" w14:dir="0" w14:sx="0" w14:sy="0" w14:kx="0" w14:ky="0" w14:algn="none">
            <w14:srgbClr w14:val="000000"/>
          </w14:shadow>
        </w:rPr>
        <w:t>综合评分表</w:t>
      </w:r>
    </w:p>
    <w:tbl>
      <w:tblPr>
        <w:tblStyle w:val="6"/>
        <w:tblpPr w:leftFromText="180" w:rightFromText="180" w:vertAnchor="text" w:horzAnchor="page" w:tblpX="1172" w:tblpY="300"/>
        <w:tblOverlap w:val="never"/>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953"/>
        <w:gridCol w:w="6985"/>
        <w:gridCol w:w="709"/>
      </w:tblGrid>
      <w:tr w14:paraId="250C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29" w:type="dxa"/>
            <w:tcBorders>
              <w:top w:val="single" w:color="auto" w:sz="4" w:space="0"/>
              <w:left w:val="single" w:color="auto" w:sz="4" w:space="0"/>
              <w:bottom w:val="single" w:color="auto" w:sz="4" w:space="0"/>
              <w:right w:val="single" w:color="auto" w:sz="4" w:space="0"/>
            </w:tcBorders>
            <w:vAlign w:val="center"/>
          </w:tcPr>
          <w:p w14:paraId="7EA44BA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评分因素</w:t>
            </w:r>
          </w:p>
        </w:tc>
        <w:tc>
          <w:tcPr>
            <w:tcW w:w="953" w:type="dxa"/>
            <w:tcBorders>
              <w:top w:val="single" w:color="auto" w:sz="4" w:space="0"/>
              <w:left w:val="nil"/>
              <w:bottom w:val="single" w:color="auto" w:sz="4" w:space="0"/>
              <w:right w:val="single" w:color="auto" w:sz="4" w:space="0"/>
            </w:tcBorders>
            <w:vAlign w:val="center"/>
          </w:tcPr>
          <w:p w14:paraId="7FC65E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分数</w:t>
            </w:r>
          </w:p>
        </w:tc>
        <w:tc>
          <w:tcPr>
            <w:tcW w:w="6985" w:type="dxa"/>
            <w:tcBorders>
              <w:top w:val="single" w:color="auto" w:sz="4" w:space="0"/>
              <w:left w:val="nil"/>
              <w:bottom w:val="single" w:color="auto" w:sz="4" w:space="0"/>
              <w:right w:val="single" w:color="auto" w:sz="4" w:space="0"/>
            </w:tcBorders>
            <w:vAlign w:val="center"/>
          </w:tcPr>
          <w:p w14:paraId="63BA30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评分规则及说明</w:t>
            </w:r>
          </w:p>
        </w:tc>
        <w:tc>
          <w:tcPr>
            <w:tcW w:w="709" w:type="dxa"/>
            <w:tcBorders>
              <w:top w:val="single" w:color="auto" w:sz="4" w:space="0"/>
              <w:left w:val="nil"/>
              <w:bottom w:val="single" w:color="auto" w:sz="4" w:space="0"/>
              <w:right w:val="single" w:color="auto" w:sz="4" w:space="0"/>
            </w:tcBorders>
            <w:vAlign w:val="center"/>
          </w:tcPr>
          <w:p w14:paraId="7A1C8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得分</w:t>
            </w:r>
          </w:p>
        </w:tc>
      </w:tr>
      <w:tr w14:paraId="3DE7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29" w:type="dxa"/>
            <w:tcBorders>
              <w:top w:val="single" w:color="auto" w:sz="4" w:space="0"/>
              <w:left w:val="single" w:color="auto" w:sz="4" w:space="0"/>
              <w:bottom w:val="single" w:color="auto" w:sz="4" w:space="0"/>
              <w:right w:val="single" w:color="auto" w:sz="4" w:space="0"/>
            </w:tcBorders>
            <w:vAlign w:val="center"/>
          </w:tcPr>
          <w:p w14:paraId="486B22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lang w:val="en-US" w:eastAsia="zh-CN"/>
              </w:rPr>
            </w:pPr>
            <w:r>
              <w:rPr>
                <w:rFonts w:hint="eastAsia"/>
                <w:color w:val="auto"/>
                <w:sz w:val="22"/>
                <w:szCs w:val="24"/>
                <w:highlight w:val="none"/>
                <w:lang w:val="en-US" w:eastAsia="zh-CN"/>
              </w:rPr>
              <w:t>价格</w:t>
            </w:r>
          </w:p>
        </w:tc>
        <w:tc>
          <w:tcPr>
            <w:tcW w:w="953" w:type="dxa"/>
            <w:tcBorders>
              <w:top w:val="single" w:color="auto" w:sz="4" w:space="0"/>
              <w:left w:val="nil"/>
              <w:bottom w:val="single" w:color="auto" w:sz="4" w:space="0"/>
              <w:right w:val="single" w:color="auto" w:sz="4" w:space="0"/>
            </w:tcBorders>
            <w:vAlign w:val="center"/>
          </w:tcPr>
          <w:p w14:paraId="240DE42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2"/>
                <w:szCs w:val="24"/>
                <w:highlight w:val="none"/>
                <w:lang w:val="en-US" w:eastAsia="zh-CN"/>
              </w:rPr>
            </w:pPr>
            <w:r>
              <w:rPr>
                <w:rFonts w:hint="eastAsia"/>
                <w:color w:val="auto"/>
                <w:sz w:val="22"/>
                <w:szCs w:val="24"/>
                <w:highlight w:val="none"/>
                <w:lang w:val="en-US" w:eastAsia="zh-CN"/>
              </w:rPr>
              <w:t>30分</w:t>
            </w:r>
          </w:p>
        </w:tc>
        <w:tc>
          <w:tcPr>
            <w:tcW w:w="6985" w:type="dxa"/>
            <w:tcBorders>
              <w:top w:val="single" w:color="auto" w:sz="4" w:space="0"/>
              <w:left w:val="nil"/>
              <w:bottom w:val="single" w:color="auto" w:sz="4" w:space="0"/>
              <w:right w:val="single" w:color="auto" w:sz="4" w:space="0"/>
            </w:tcBorders>
            <w:vAlign w:val="center"/>
          </w:tcPr>
          <w:p w14:paraId="1C9F459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lang w:val="en-US" w:eastAsia="zh-CN"/>
              </w:rPr>
            </w:pPr>
            <w:r>
              <w:rPr>
                <w:rFonts w:hint="eastAsia"/>
                <w:color w:val="auto"/>
                <w:sz w:val="22"/>
                <w:szCs w:val="24"/>
                <w:highlight w:val="none"/>
                <w:lang w:val="en-US" w:eastAsia="zh-CN"/>
              </w:rPr>
              <w:t>满足询比文件要求且报价最低的供应商的价格为基准价。</w:t>
            </w:r>
          </w:p>
          <w:p w14:paraId="6E5652C0">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lang w:val="en-US" w:eastAsia="zh-CN"/>
              </w:rPr>
            </w:pPr>
            <w:r>
              <w:rPr>
                <w:rFonts w:hint="eastAsia"/>
                <w:color w:val="auto"/>
                <w:sz w:val="22"/>
                <w:szCs w:val="24"/>
                <w:highlight w:val="none"/>
                <w:lang w:val="en-US" w:eastAsia="zh-CN"/>
              </w:rPr>
              <w:t>报价得分=（基准价/供应商报价）×30</w:t>
            </w:r>
          </w:p>
          <w:p w14:paraId="69E101BB">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lang w:val="en-US" w:eastAsia="zh-CN"/>
              </w:rPr>
            </w:pPr>
            <w:r>
              <w:rPr>
                <w:rFonts w:hint="eastAsia"/>
                <w:color w:val="auto"/>
                <w:sz w:val="22"/>
                <w:szCs w:val="24"/>
                <w:highlight w:val="none"/>
                <w:lang w:val="en-US" w:eastAsia="zh-CN"/>
              </w:rPr>
              <w:t>(扣减分值中间值用插入法,小数点后保留两位)。</w:t>
            </w:r>
          </w:p>
        </w:tc>
        <w:tc>
          <w:tcPr>
            <w:tcW w:w="709" w:type="dxa"/>
            <w:tcBorders>
              <w:top w:val="single" w:color="auto" w:sz="4" w:space="0"/>
              <w:left w:val="nil"/>
              <w:bottom w:val="single" w:color="auto" w:sz="4" w:space="0"/>
              <w:right w:val="single" w:color="auto" w:sz="4" w:space="0"/>
            </w:tcBorders>
            <w:vAlign w:val="center"/>
          </w:tcPr>
          <w:p w14:paraId="1F07BF0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560D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1129" w:type="dxa"/>
            <w:tcBorders>
              <w:top w:val="single" w:color="auto" w:sz="4" w:space="0"/>
              <w:left w:val="single" w:color="auto" w:sz="4" w:space="0"/>
              <w:bottom w:val="single" w:color="auto" w:sz="4" w:space="0"/>
              <w:right w:val="single" w:color="auto" w:sz="4" w:space="0"/>
            </w:tcBorders>
            <w:vAlign w:val="center"/>
          </w:tcPr>
          <w:p w14:paraId="3AAC679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lang w:val="en-US" w:eastAsia="zh-CN"/>
              </w:rPr>
              <w:t>实施</w:t>
            </w:r>
            <w:r>
              <w:rPr>
                <w:color w:val="auto"/>
                <w:sz w:val="22"/>
                <w:szCs w:val="24"/>
                <w:highlight w:val="none"/>
              </w:rPr>
              <w:t>方案</w:t>
            </w:r>
          </w:p>
        </w:tc>
        <w:tc>
          <w:tcPr>
            <w:tcW w:w="953" w:type="dxa"/>
            <w:tcBorders>
              <w:top w:val="single" w:color="auto" w:sz="4" w:space="0"/>
              <w:left w:val="nil"/>
              <w:bottom w:val="single" w:color="auto" w:sz="4" w:space="0"/>
              <w:right w:val="single" w:color="auto" w:sz="4" w:space="0"/>
            </w:tcBorders>
            <w:vAlign w:val="center"/>
          </w:tcPr>
          <w:p w14:paraId="7722E7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color w:val="auto"/>
                <w:sz w:val="22"/>
                <w:szCs w:val="24"/>
                <w:highlight w:val="none"/>
              </w:rPr>
              <w:t>20分</w:t>
            </w:r>
          </w:p>
        </w:tc>
        <w:tc>
          <w:tcPr>
            <w:tcW w:w="6985" w:type="dxa"/>
            <w:tcBorders>
              <w:top w:val="single" w:color="auto" w:sz="4" w:space="0"/>
              <w:left w:val="nil"/>
              <w:bottom w:val="single" w:color="auto" w:sz="4" w:space="0"/>
              <w:right w:val="single" w:color="auto" w:sz="4" w:space="0"/>
            </w:tcBorders>
            <w:vAlign w:val="center"/>
          </w:tcPr>
          <w:p w14:paraId="2944477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第一档次（20分）：实施</w:t>
            </w:r>
            <w:r>
              <w:rPr>
                <w:color w:val="auto"/>
                <w:sz w:val="22"/>
                <w:szCs w:val="24"/>
                <w:highlight w:val="none"/>
              </w:rPr>
              <w:t>方案</w:t>
            </w:r>
            <w:r>
              <w:rPr>
                <w:rFonts w:hint="eastAsia"/>
                <w:color w:val="auto"/>
                <w:sz w:val="22"/>
                <w:szCs w:val="24"/>
                <w:highlight w:val="none"/>
                <w:lang w:val="en-US" w:eastAsia="zh-CN"/>
              </w:rPr>
              <w:t>比较详细、完整、可操作性较强；重难点分析比较全面、合理；施工流程、技术规程比较科学、规范；</w:t>
            </w:r>
          </w:p>
          <w:p w14:paraId="159651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第二档次（17分）：实施</w:t>
            </w:r>
            <w:r>
              <w:rPr>
                <w:color w:val="auto"/>
                <w:sz w:val="22"/>
                <w:szCs w:val="24"/>
                <w:highlight w:val="none"/>
              </w:rPr>
              <w:t>方案</w:t>
            </w:r>
            <w:r>
              <w:rPr>
                <w:rFonts w:hint="eastAsia"/>
                <w:color w:val="auto"/>
                <w:sz w:val="22"/>
                <w:szCs w:val="24"/>
                <w:highlight w:val="none"/>
                <w:lang w:val="en-US" w:eastAsia="zh-CN"/>
              </w:rPr>
              <w:t>详细、完整、可操作性较强；重难点分析全面、合理；施工流程、技术规程科学、规范；</w:t>
            </w:r>
          </w:p>
          <w:p w14:paraId="60A2E0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第三档次（14分）：实施</w:t>
            </w:r>
            <w:r>
              <w:rPr>
                <w:color w:val="auto"/>
                <w:sz w:val="22"/>
                <w:szCs w:val="24"/>
                <w:highlight w:val="none"/>
              </w:rPr>
              <w:t>方案</w:t>
            </w:r>
            <w:r>
              <w:rPr>
                <w:rFonts w:hint="eastAsia"/>
                <w:color w:val="auto"/>
                <w:sz w:val="22"/>
                <w:szCs w:val="24"/>
                <w:highlight w:val="none"/>
                <w:lang w:val="en-US" w:eastAsia="zh-CN"/>
              </w:rPr>
              <w:t>详细、完整、有可操作性；重难点分析合理；施工流程、技术规程科学、规范；</w:t>
            </w:r>
          </w:p>
          <w:p w14:paraId="0B4C33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第四档次（10分）：实施</w:t>
            </w:r>
            <w:r>
              <w:rPr>
                <w:color w:val="auto"/>
                <w:sz w:val="22"/>
                <w:szCs w:val="24"/>
                <w:highlight w:val="none"/>
              </w:rPr>
              <w:t>方案</w:t>
            </w:r>
            <w:r>
              <w:rPr>
                <w:rFonts w:hint="eastAsia"/>
                <w:color w:val="auto"/>
                <w:sz w:val="22"/>
                <w:szCs w:val="24"/>
                <w:highlight w:val="none"/>
                <w:lang w:val="en-US" w:eastAsia="zh-CN"/>
              </w:rPr>
              <w:t>基本完整、可操作性一般；重难点分析基本合理；施工流程、技术规程基本规范；</w:t>
            </w:r>
          </w:p>
          <w:p w14:paraId="02BA120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第五档次（5分）：实施</w:t>
            </w:r>
            <w:r>
              <w:rPr>
                <w:color w:val="auto"/>
                <w:sz w:val="22"/>
                <w:szCs w:val="24"/>
                <w:highlight w:val="none"/>
              </w:rPr>
              <w:t>方案</w:t>
            </w:r>
            <w:r>
              <w:rPr>
                <w:rFonts w:hint="eastAsia"/>
                <w:color w:val="auto"/>
                <w:sz w:val="22"/>
                <w:szCs w:val="24"/>
                <w:highlight w:val="none"/>
                <w:lang w:val="en-US" w:eastAsia="zh-CN"/>
              </w:rPr>
              <w:t>完整行较差、可操作性严重欠缺；重难点分析缺乏合理；施工流程、技术规程缺乏规范性；</w:t>
            </w:r>
          </w:p>
          <w:p w14:paraId="0170DA7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第六档：无施工技术方案不得分。</w:t>
            </w:r>
          </w:p>
        </w:tc>
        <w:tc>
          <w:tcPr>
            <w:tcW w:w="709" w:type="dxa"/>
            <w:tcBorders>
              <w:top w:val="single" w:color="auto" w:sz="4" w:space="0"/>
              <w:left w:val="nil"/>
              <w:bottom w:val="single" w:color="auto" w:sz="4" w:space="0"/>
              <w:right w:val="single" w:color="auto" w:sz="4" w:space="0"/>
            </w:tcBorders>
            <w:vAlign w:val="center"/>
          </w:tcPr>
          <w:p w14:paraId="21B3B7F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0649A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29" w:type="dxa"/>
            <w:tcBorders>
              <w:top w:val="single" w:color="auto" w:sz="4" w:space="0"/>
              <w:left w:val="single" w:color="auto" w:sz="4" w:space="0"/>
              <w:bottom w:val="single" w:color="auto" w:sz="4" w:space="0"/>
              <w:right w:val="single" w:color="auto" w:sz="4" w:space="0"/>
            </w:tcBorders>
            <w:vAlign w:val="center"/>
          </w:tcPr>
          <w:p w14:paraId="7A0157D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color w:val="auto"/>
                <w:sz w:val="22"/>
                <w:szCs w:val="24"/>
                <w:highlight w:val="none"/>
              </w:rPr>
              <w:t>质量承诺及保证措施</w:t>
            </w:r>
          </w:p>
        </w:tc>
        <w:tc>
          <w:tcPr>
            <w:tcW w:w="953" w:type="dxa"/>
            <w:tcBorders>
              <w:top w:val="single" w:color="auto" w:sz="4" w:space="0"/>
              <w:left w:val="nil"/>
              <w:bottom w:val="single" w:color="auto" w:sz="4" w:space="0"/>
              <w:right w:val="single" w:color="auto" w:sz="4" w:space="0"/>
            </w:tcBorders>
            <w:vAlign w:val="center"/>
          </w:tcPr>
          <w:p w14:paraId="38329AB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2"/>
                <w:szCs w:val="24"/>
                <w:highlight w:val="none"/>
                <w:lang w:val="en-US" w:eastAsia="zh-CN"/>
              </w:rPr>
            </w:pPr>
            <w:r>
              <w:rPr>
                <w:color w:val="auto"/>
                <w:sz w:val="22"/>
                <w:szCs w:val="24"/>
                <w:highlight w:val="none"/>
              </w:rPr>
              <w:t>1</w:t>
            </w:r>
            <w:r>
              <w:rPr>
                <w:rFonts w:hint="eastAsia"/>
                <w:color w:val="auto"/>
                <w:sz w:val="22"/>
                <w:szCs w:val="24"/>
                <w:highlight w:val="none"/>
                <w:lang w:val="en-US" w:eastAsia="zh-CN"/>
              </w:rPr>
              <w:t>0分</w:t>
            </w:r>
          </w:p>
        </w:tc>
        <w:tc>
          <w:tcPr>
            <w:tcW w:w="6985" w:type="dxa"/>
            <w:tcBorders>
              <w:top w:val="single" w:color="auto" w:sz="4" w:space="0"/>
              <w:left w:val="nil"/>
              <w:bottom w:val="single" w:color="auto" w:sz="4" w:space="0"/>
              <w:right w:val="single" w:color="auto" w:sz="4" w:space="0"/>
            </w:tcBorders>
            <w:vAlign w:val="center"/>
          </w:tcPr>
          <w:p w14:paraId="6431A7D2">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color w:val="auto"/>
                <w:sz w:val="22"/>
                <w:szCs w:val="24"/>
                <w:highlight w:val="none"/>
              </w:rPr>
              <w:t>第一档次</w:t>
            </w:r>
            <w:r>
              <w:rPr>
                <w:rFonts w:hint="eastAsia"/>
                <w:color w:val="auto"/>
                <w:sz w:val="22"/>
                <w:szCs w:val="24"/>
                <w:highlight w:val="none"/>
                <w:lang w:eastAsia="zh-CN"/>
              </w:rPr>
              <w:t>（</w:t>
            </w:r>
            <w:r>
              <w:rPr>
                <w:rFonts w:hint="eastAsia"/>
                <w:color w:val="auto"/>
                <w:sz w:val="22"/>
                <w:szCs w:val="24"/>
                <w:highlight w:val="none"/>
                <w:lang w:val="en-US" w:eastAsia="zh-CN"/>
              </w:rPr>
              <w:t>10分</w:t>
            </w:r>
            <w:r>
              <w:rPr>
                <w:rFonts w:hint="eastAsia"/>
                <w:color w:val="auto"/>
                <w:sz w:val="22"/>
                <w:szCs w:val="24"/>
                <w:highlight w:val="none"/>
                <w:lang w:eastAsia="zh-CN"/>
              </w:rPr>
              <w:t>）</w:t>
            </w:r>
            <w:r>
              <w:rPr>
                <w:color w:val="auto"/>
                <w:sz w:val="22"/>
                <w:szCs w:val="24"/>
                <w:highlight w:val="none"/>
              </w:rPr>
              <w:t>：质量承诺满足</w:t>
            </w:r>
            <w:r>
              <w:rPr>
                <w:rFonts w:hint="eastAsia"/>
                <w:color w:val="auto"/>
                <w:sz w:val="22"/>
                <w:szCs w:val="24"/>
                <w:highlight w:val="none"/>
                <w:lang w:val="en-US" w:eastAsia="zh-CN"/>
              </w:rPr>
              <w:t>采购需求</w:t>
            </w:r>
            <w:r>
              <w:rPr>
                <w:color w:val="auto"/>
                <w:sz w:val="22"/>
                <w:szCs w:val="24"/>
                <w:highlight w:val="none"/>
              </w:rPr>
              <w:t>且有具体的违约责任承诺，对工程质量保证措施阐述</w:t>
            </w:r>
            <w:r>
              <w:rPr>
                <w:rFonts w:hint="eastAsia"/>
                <w:color w:val="auto"/>
                <w:sz w:val="22"/>
                <w:szCs w:val="24"/>
                <w:highlight w:val="none"/>
                <w:lang w:val="en-US" w:eastAsia="zh-CN"/>
              </w:rPr>
              <w:t>详细</w:t>
            </w:r>
            <w:r>
              <w:rPr>
                <w:color w:val="auto"/>
                <w:sz w:val="22"/>
                <w:szCs w:val="24"/>
                <w:highlight w:val="none"/>
              </w:rPr>
              <w:t>；</w:t>
            </w:r>
          </w:p>
          <w:p w14:paraId="00DDC076">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color w:val="auto"/>
                <w:sz w:val="22"/>
                <w:szCs w:val="24"/>
                <w:highlight w:val="none"/>
              </w:rPr>
              <w:t>第二档次</w:t>
            </w:r>
            <w:r>
              <w:rPr>
                <w:rFonts w:hint="eastAsia"/>
                <w:color w:val="auto"/>
                <w:sz w:val="22"/>
                <w:szCs w:val="24"/>
                <w:highlight w:val="none"/>
                <w:lang w:eastAsia="zh-CN"/>
              </w:rPr>
              <w:t>（</w:t>
            </w:r>
            <w:r>
              <w:rPr>
                <w:rFonts w:hint="eastAsia"/>
                <w:color w:val="auto"/>
                <w:sz w:val="22"/>
                <w:szCs w:val="24"/>
                <w:highlight w:val="none"/>
                <w:lang w:val="en-US" w:eastAsia="zh-CN"/>
              </w:rPr>
              <w:t>7分</w:t>
            </w:r>
            <w:r>
              <w:rPr>
                <w:rFonts w:hint="eastAsia"/>
                <w:color w:val="auto"/>
                <w:sz w:val="22"/>
                <w:szCs w:val="24"/>
                <w:highlight w:val="none"/>
                <w:lang w:eastAsia="zh-CN"/>
              </w:rPr>
              <w:t>）</w:t>
            </w:r>
            <w:r>
              <w:rPr>
                <w:color w:val="auto"/>
                <w:sz w:val="22"/>
                <w:szCs w:val="24"/>
                <w:highlight w:val="none"/>
              </w:rPr>
              <w:t>：质量承诺满足</w:t>
            </w:r>
            <w:r>
              <w:rPr>
                <w:rFonts w:hint="eastAsia"/>
                <w:color w:val="auto"/>
                <w:sz w:val="22"/>
                <w:szCs w:val="24"/>
                <w:highlight w:val="none"/>
                <w:lang w:val="en-US" w:eastAsia="zh-CN"/>
              </w:rPr>
              <w:t>采购需求</w:t>
            </w:r>
            <w:r>
              <w:rPr>
                <w:color w:val="auto"/>
                <w:sz w:val="22"/>
                <w:szCs w:val="24"/>
                <w:highlight w:val="none"/>
              </w:rPr>
              <w:t>且有具体的违约责任承诺，质量保证措施基本达到要求；</w:t>
            </w:r>
          </w:p>
          <w:p w14:paraId="2212D6A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eastAsia="zh-CN"/>
              </w:rPr>
            </w:pPr>
            <w:r>
              <w:rPr>
                <w:color w:val="auto"/>
                <w:sz w:val="22"/>
                <w:szCs w:val="24"/>
                <w:highlight w:val="none"/>
              </w:rPr>
              <w:t>第三档次</w:t>
            </w:r>
            <w:r>
              <w:rPr>
                <w:rFonts w:hint="eastAsia"/>
                <w:color w:val="auto"/>
                <w:sz w:val="22"/>
                <w:szCs w:val="24"/>
                <w:highlight w:val="none"/>
                <w:lang w:eastAsia="zh-CN"/>
              </w:rPr>
              <w:t>（</w:t>
            </w:r>
            <w:r>
              <w:rPr>
                <w:rFonts w:hint="eastAsia"/>
                <w:color w:val="auto"/>
                <w:sz w:val="22"/>
                <w:szCs w:val="24"/>
                <w:highlight w:val="none"/>
                <w:lang w:val="en-US" w:eastAsia="zh-CN"/>
              </w:rPr>
              <w:t>3分</w:t>
            </w:r>
            <w:r>
              <w:rPr>
                <w:rFonts w:hint="eastAsia"/>
                <w:color w:val="auto"/>
                <w:sz w:val="22"/>
                <w:szCs w:val="24"/>
                <w:highlight w:val="none"/>
                <w:lang w:eastAsia="zh-CN"/>
              </w:rPr>
              <w:t>）</w:t>
            </w:r>
            <w:r>
              <w:rPr>
                <w:color w:val="auto"/>
                <w:sz w:val="22"/>
                <w:szCs w:val="24"/>
                <w:highlight w:val="none"/>
              </w:rPr>
              <w:t>：质量承诺满足</w:t>
            </w:r>
            <w:r>
              <w:rPr>
                <w:rFonts w:hint="eastAsia"/>
                <w:color w:val="auto"/>
                <w:sz w:val="22"/>
                <w:szCs w:val="24"/>
                <w:highlight w:val="none"/>
                <w:lang w:val="en-US" w:eastAsia="zh-CN"/>
              </w:rPr>
              <w:t>采购需求</w:t>
            </w:r>
            <w:r>
              <w:rPr>
                <w:color w:val="auto"/>
                <w:sz w:val="22"/>
                <w:szCs w:val="24"/>
                <w:highlight w:val="none"/>
              </w:rPr>
              <w:t>，有违约责任承诺但不具体</w:t>
            </w:r>
            <w:r>
              <w:rPr>
                <w:rFonts w:hint="eastAsia"/>
                <w:color w:val="auto"/>
                <w:sz w:val="22"/>
                <w:szCs w:val="24"/>
                <w:highlight w:val="none"/>
                <w:lang w:eastAsia="zh-CN"/>
              </w:rPr>
              <w:t>；</w:t>
            </w:r>
          </w:p>
          <w:p w14:paraId="68F2C28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rFonts w:hint="eastAsia"/>
                <w:color w:val="auto"/>
                <w:sz w:val="22"/>
                <w:szCs w:val="24"/>
                <w:highlight w:val="none"/>
                <w:lang w:val="en-US" w:eastAsia="zh-CN"/>
              </w:rPr>
              <w:t>第四档：未提供</w:t>
            </w:r>
            <w:r>
              <w:rPr>
                <w:color w:val="auto"/>
                <w:sz w:val="22"/>
                <w:szCs w:val="24"/>
                <w:highlight w:val="none"/>
              </w:rPr>
              <w:t>质量承诺及保证措施</w:t>
            </w:r>
            <w:r>
              <w:rPr>
                <w:rFonts w:hint="eastAsia"/>
                <w:color w:val="auto"/>
                <w:sz w:val="22"/>
                <w:szCs w:val="24"/>
                <w:highlight w:val="none"/>
                <w:lang w:val="en-US" w:eastAsia="zh-CN"/>
              </w:rPr>
              <w:t>的不得分</w:t>
            </w:r>
            <w:r>
              <w:rPr>
                <w:color w:val="auto"/>
                <w:sz w:val="22"/>
                <w:szCs w:val="24"/>
                <w:highlight w:val="none"/>
              </w:rPr>
              <w:t>。</w:t>
            </w:r>
          </w:p>
        </w:tc>
        <w:tc>
          <w:tcPr>
            <w:tcW w:w="709" w:type="dxa"/>
            <w:tcBorders>
              <w:top w:val="single" w:color="auto" w:sz="4" w:space="0"/>
              <w:left w:val="nil"/>
              <w:bottom w:val="single" w:color="auto" w:sz="4" w:space="0"/>
              <w:right w:val="single" w:color="auto" w:sz="4" w:space="0"/>
            </w:tcBorders>
            <w:vAlign w:val="center"/>
          </w:tcPr>
          <w:p w14:paraId="4B174A74">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6EF2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29" w:type="dxa"/>
            <w:tcBorders>
              <w:top w:val="single" w:color="auto" w:sz="4" w:space="0"/>
              <w:left w:val="single" w:color="auto" w:sz="4" w:space="0"/>
              <w:bottom w:val="single" w:color="auto" w:sz="4" w:space="0"/>
              <w:right w:val="single" w:color="auto" w:sz="4" w:space="0"/>
            </w:tcBorders>
            <w:vAlign w:val="center"/>
          </w:tcPr>
          <w:p w14:paraId="489A79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color w:val="auto"/>
                <w:sz w:val="22"/>
                <w:szCs w:val="24"/>
                <w:highlight w:val="none"/>
              </w:rPr>
              <w:t>安全文明施工</w:t>
            </w:r>
            <w:r>
              <w:rPr>
                <w:rFonts w:hint="eastAsia"/>
                <w:color w:val="auto"/>
                <w:sz w:val="22"/>
                <w:szCs w:val="24"/>
                <w:highlight w:val="none"/>
                <w:lang w:val="en-US" w:eastAsia="zh-CN"/>
              </w:rPr>
              <w:t>保障</w:t>
            </w:r>
            <w:r>
              <w:rPr>
                <w:color w:val="auto"/>
                <w:sz w:val="22"/>
                <w:szCs w:val="24"/>
                <w:highlight w:val="none"/>
              </w:rPr>
              <w:t>措施</w:t>
            </w:r>
          </w:p>
        </w:tc>
        <w:tc>
          <w:tcPr>
            <w:tcW w:w="953" w:type="dxa"/>
            <w:tcBorders>
              <w:top w:val="single" w:color="auto" w:sz="4" w:space="0"/>
              <w:left w:val="nil"/>
              <w:bottom w:val="single" w:color="auto" w:sz="4" w:space="0"/>
              <w:right w:val="single" w:color="auto" w:sz="4" w:space="0"/>
            </w:tcBorders>
            <w:vAlign w:val="center"/>
          </w:tcPr>
          <w:p w14:paraId="1F1F68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2"/>
                <w:szCs w:val="24"/>
                <w:highlight w:val="none"/>
                <w:lang w:val="en-US" w:eastAsia="zh-CN"/>
              </w:rPr>
            </w:pPr>
            <w:r>
              <w:rPr>
                <w:rFonts w:hint="eastAsia"/>
                <w:color w:val="auto"/>
                <w:sz w:val="22"/>
                <w:szCs w:val="24"/>
                <w:highlight w:val="none"/>
              </w:rPr>
              <w:t>1</w:t>
            </w:r>
            <w:r>
              <w:rPr>
                <w:rFonts w:hint="eastAsia"/>
                <w:color w:val="auto"/>
                <w:sz w:val="22"/>
                <w:szCs w:val="24"/>
                <w:highlight w:val="none"/>
                <w:lang w:val="en-US" w:eastAsia="zh-CN"/>
              </w:rPr>
              <w:t>0分</w:t>
            </w:r>
          </w:p>
        </w:tc>
        <w:tc>
          <w:tcPr>
            <w:tcW w:w="6985" w:type="dxa"/>
            <w:tcBorders>
              <w:top w:val="single" w:color="auto" w:sz="4" w:space="0"/>
              <w:left w:val="nil"/>
              <w:bottom w:val="single" w:color="auto" w:sz="4" w:space="0"/>
              <w:right w:val="single" w:color="auto" w:sz="4" w:space="0"/>
            </w:tcBorders>
            <w:vAlign w:val="center"/>
          </w:tcPr>
          <w:p w14:paraId="1D5FBAA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第一档（10分）：针对本项目制定的安全、文明施工保障措施完整具体、详细，有切实可行的实施措施，有比较完整的工作管理流程和内容，有比较完整的保障措施内容和承诺，得10分；</w:t>
            </w:r>
          </w:p>
          <w:p w14:paraId="447AD87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第二档（7分）：针对本项目制定的安全、文明施工保障措施完整，有可行的实施措施，有完整的工作管理流程和内容，有完整的保障措施内容和承诺；</w:t>
            </w:r>
          </w:p>
          <w:p w14:paraId="5B58C9BB">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2"/>
                <w:szCs w:val="24"/>
                <w:highlight w:val="none"/>
                <w:lang w:val="en-US" w:eastAsia="zh-CN"/>
              </w:rPr>
            </w:pPr>
            <w:r>
              <w:rPr>
                <w:rFonts w:hint="eastAsia"/>
                <w:color w:val="auto"/>
                <w:sz w:val="22"/>
                <w:szCs w:val="24"/>
                <w:highlight w:val="none"/>
                <w:lang w:val="en-US" w:eastAsia="zh-CN"/>
              </w:rPr>
              <w:t>第三档（3分）：针对本项目制定的安全、文明施工保障措施基本完整，有基本可行的实施措施，有基本的工作管理流程和内容，有基本的保障措施内容和承诺；</w:t>
            </w:r>
          </w:p>
          <w:p w14:paraId="2DDC8BF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rFonts w:hint="eastAsia"/>
                <w:color w:val="auto"/>
                <w:sz w:val="22"/>
                <w:szCs w:val="24"/>
                <w:highlight w:val="none"/>
                <w:lang w:val="en-US" w:eastAsia="zh-CN"/>
              </w:rPr>
              <w:t>第四档：未提供</w:t>
            </w:r>
            <w:r>
              <w:rPr>
                <w:color w:val="auto"/>
                <w:sz w:val="22"/>
                <w:szCs w:val="24"/>
                <w:highlight w:val="none"/>
              </w:rPr>
              <w:t>安全文明施工</w:t>
            </w:r>
            <w:r>
              <w:rPr>
                <w:rFonts w:hint="eastAsia"/>
                <w:color w:val="auto"/>
                <w:sz w:val="22"/>
                <w:szCs w:val="24"/>
                <w:highlight w:val="none"/>
                <w:lang w:val="en-US" w:eastAsia="zh-CN"/>
              </w:rPr>
              <w:t>保障</w:t>
            </w:r>
            <w:r>
              <w:rPr>
                <w:color w:val="auto"/>
                <w:sz w:val="22"/>
                <w:szCs w:val="24"/>
                <w:highlight w:val="none"/>
              </w:rPr>
              <w:t>措施</w:t>
            </w:r>
            <w:r>
              <w:rPr>
                <w:rFonts w:hint="eastAsia"/>
                <w:color w:val="auto"/>
                <w:sz w:val="22"/>
                <w:szCs w:val="24"/>
                <w:highlight w:val="none"/>
                <w:lang w:val="en-US" w:eastAsia="zh-CN"/>
              </w:rPr>
              <w:t>不得分。</w:t>
            </w:r>
          </w:p>
        </w:tc>
        <w:tc>
          <w:tcPr>
            <w:tcW w:w="709" w:type="dxa"/>
            <w:tcBorders>
              <w:top w:val="single" w:color="auto" w:sz="4" w:space="0"/>
              <w:left w:val="nil"/>
              <w:bottom w:val="single" w:color="auto" w:sz="4" w:space="0"/>
              <w:right w:val="single" w:color="auto" w:sz="4" w:space="0"/>
            </w:tcBorders>
            <w:vAlign w:val="center"/>
          </w:tcPr>
          <w:p w14:paraId="4688C173">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7691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129" w:type="dxa"/>
            <w:tcBorders>
              <w:top w:val="single" w:color="auto" w:sz="4" w:space="0"/>
              <w:left w:val="single" w:color="auto" w:sz="4" w:space="0"/>
              <w:bottom w:val="single" w:color="auto" w:sz="4" w:space="0"/>
              <w:right w:val="single" w:color="auto" w:sz="4" w:space="0"/>
            </w:tcBorders>
            <w:vAlign w:val="center"/>
          </w:tcPr>
          <w:p w14:paraId="7682D43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color w:val="auto"/>
                <w:sz w:val="22"/>
                <w:szCs w:val="24"/>
                <w:highlight w:val="none"/>
              </w:rPr>
              <w:t>工期承诺及保证措施</w:t>
            </w:r>
          </w:p>
        </w:tc>
        <w:tc>
          <w:tcPr>
            <w:tcW w:w="953" w:type="dxa"/>
            <w:tcBorders>
              <w:top w:val="single" w:color="auto" w:sz="4" w:space="0"/>
              <w:left w:val="nil"/>
              <w:bottom w:val="single" w:color="auto" w:sz="4" w:space="0"/>
              <w:right w:val="single" w:color="auto" w:sz="4" w:space="0"/>
            </w:tcBorders>
            <w:vAlign w:val="center"/>
          </w:tcPr>
          <w:p w14:paraId="2FAFC0D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2"/>
                <w:szCs w:val="24"/>
                <w:highlight w:val="none"/>
                <w:lang w:val="en-US" w:eastAsia="zh-CN"/>
              </w:rPr>
            </w:pPr>
            <w:r>
              <w:rPr>
                <w:rFonts w:hint="eastAsia"/>
                <w:color w:val="auto"/>
                <w:sz w:val="22"/>
                <w:szCs w:val="24"/>
                <w:highlight w:val="none"/>
                <w:lang w:val="en-US" w:eastAsia="zh-CN"/>
              </w:rPr>
              <w:t>10分</w:t>
            </w:r>
          </w:p>
        </w:tc>
        <w:tc>
          <w:tcPr>
            <w:tcW w:w="6985" w:type="dxa"/>
            <w:tcBorders>
              <w:top w:val="single" w:color="auto" w:sz="4" w:space="0"/>
              <w:left w:val="nil"/>
              <w:bottom w:val="single" w:color="auto" w:sz="4" w:space="0"/>
              <w:right w:val="single" w:color="auto" w:sz="4" w:space="0"/>
            </w:tcBorders>
            <w:vAlign w:val="center"/>
          </w:tcPr>
          <w:p w14:paraId="3E9AB68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eastAsia="zh-CN"/>
              </w:rPr>
            </w:pPr>
            <w:r>
              <w:rPr>
                <w:rFonts w:hint="eastAsia"/>
                <w:color w:val="auto"/>
                <w:sz w:val="22"/>
                <w:szCs w:val="24"/>
                <w:highlight w:val="none"/>
                <w:lang w:val="en-US" w:eastAsia="zh-CN"/>
              </w:rPr>
              <w:t>第一档（10分）：工期</w:t>
            </w:r>
            <w:r>
              <w:rPr>
                <w:rFonts w:hint="eastAsia"/>
                <w:color w:val="auto"/>
                <w:sz w:val="22"/>
                <w:szCs w:val="24"/>
                <w:highlight w:val="none"/>
                <w:lang w:eastAsia="zh-CN"/>
              </w:rPr>
              <w:t>承诺满足</w:t>
            </w:r>
            <w:r>
              <w:rPr>
                <w:rFonts w:hint="eastAsia"/>
                <w:color w:val="auto"/>
                <w:sz w:val="22"/>
                <w:szCs w:val="24"/>
                <w:highlight w:val="none"/>
                <w:lang w:val="en-US" w:eastAsia="zh-CN"/>
              </w:rPr>
              <w:t>采购需求</w:t>
            </w:r>
            <w:r>
              <w:rPr>
                <w:rFonts w:hint="eastAsia"/>
                <w:color w:val="auto"/>
                <w:sz w:val="22"/>
                <w:szCs w:val="24"/>
                <w:highlight w:val="none"/>
                <w:lang w:eastAsia="zh-CN"/>
              </w:rPr>
              <w:t>且有具体的违约承诺，有进度计划，且能保证工作周期，进度计划编制完整，程序清晰，安排科学，措施有力，切实可行；</w:t>
            </w:r>
          </w:p>
          <w:p w14:paraId="28CA1D2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eastAsia="zh-CN"/>
              </w:rPr>
            </w:pPr>
            <w:r>
              <w:rPr>
                <w:rFonts w:hint="eastAsia"/>
                <w:color w:val="auto"/>
                <w:sz w:val="22"/>
                <w:szCs w:val="24"/>
                <w:highlight w:val="none"/>
                <w:lang w:val="en-US" w:eastAsia="zh-CN"/>
              </w:rPr>
              <w:t>第二档（7分）：工期</w:t>
            </w:r>
            <w:r>
              <w:rPr>
                <w:rFonts w:hint="eastAsia"/>
                <w:color w:val="auto"/>
                <w:sz w:val="22"/>
                <w:szCs w:val="24"/>
                <w:highlight w:val="none"/>
                <w:lang w:eastAsia="zh-CN"/>
              </w:rPr>
              <w:t>承诺满足</w:t>
            </w:r>
            <w:r>
              <w:rPr>
                <w:rFonts w:hint="eastAsia"/>
                <w:color w:val="auto"/>
                <w:sz w:val="22"/>
                <w:szCs w:val="24"/>
                <w:highlight w:val="none"/>
                <w:lang w:val="en-US" w:eastAsia="zh-CN"/>
              </w:rPr>
              <w:t>询比</w:t>
            </w:r>
            <w:r>
              <w:rPr>
                <w:rFonts w:hint="eastAsia"/>
                <w:color w:val="auto"/>
                <w:sz w:val="22"/>
                <w:szCs w:val="24"/>
                <w:highlight w:val="none"/>
                <w:lang w:eastAsia="zh-CN"/>
              </w:rPr>
              <w:t>文件且有违约承诺、进度计划，进度计划编制基本完整，程序清晰，安排基本合理，有一定的措施的；</w:t>
            </w:r>
          </w:p>
          <w:p w14:paraId="2EC7357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eastAsia="zh-CN"/>
              </w:rPr>
            </w:pPr>
            <w:r>
              <w:rPr>
                <w:rFonts w:hint="eastAsia"/>
                <w:color w:val="auto"/>
                <w:sz w:val="22"/>
                <w:szCs w:val="24"/>
                <w:highlight w:val="none"/>
                <w:lang w:val="en-US" w:eastAsia="zh-CN"/>
              </w:rPr>
              <w:t>第三档（3分）：</w:t>
            </w:r>
            <w:r>
              <w:rPr>
                <w:rFonts w:hint="eastAsia"/>
                <w:color w:val="auto"/>
                <w:sz w:val="22"/>
                <w:szCs w:val="24"/>
                <w:highlight w:val="none"/>
                <w:lang w:eastAsia="zh-CN"/>
              </w:rPr>
              <w:t>工作进度计划编制</w:t>
            </w:r>
            <w:r>
              <w:rPr>
                <w:rFonts w:hint="eastAsia"/>
                <w:color w:val="auto"/>
                <w:sz w:val="22"/>
                <w:szCs w:val="24"/>
                <w:highlight w:val="none"/>
                <w:lang w:val="en-US" w:eastAsia="zh-CN"/>
              </w:rPr>
              <w:t>基本合理</w:t>
            </w:r>
            <w:r>
              <w:rPr>
                <w:rFonts w:hint="eastAsia"/>
                <w:color w:val="auto"/>
                <w:sz w:val="22"/>
                <w:szCs w:val="24"/>
                <w:highlight w:val="none"/>
                <w:lang w:eastAsia="zh-CN"/>
              </w:rPr>
              <w:t>，程序基本清晰，安排基本合理的；</w:t>
            </w:r>
          </w:p>
          <w:p w14:paraId="1701041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sz w:val="22"/>
                <w:szCs w:val="24"/>
                <w:highlight w:val="none"/>
                <w:lang w:val="en-US" w:eastAsia="zh-CN"/>
              </w:rPr>
            </w:pPr>
            <w:r>
              <w:rPr>
                <w:rFonts w:hint="eastAsia"/>
                <w:color w:val="auto"/>
                <w:sz w:val="22"/>
                <w:szCs w:val="24"/>
                <w:highlight w:val="none"/>
                <w:lang w:val="en-US" w:eastAsia="zh-CN"/>
              </w:rPr>
              <w:t>第四档：未提供</w:t>
            </w:r>
            <w:r>
              <w:rPr>
                <w:color w:val="auto"/>
                <w:sz w:val="22"/>
                <w:szCs w:val="24"/>
                <w:highlight w:val="none"/>
              </w:rPr>
              <w:t>工期承诺及保证措施</w:t>
            </w:r>
            <w:r>
              <w:rPr>
                <w:rFonts w:hint="eastAsia"/>
                <w:color w:val="auto"/>
                <w:sz w:val="22"/>
                <w:szCs w:val="24"/>
                <w:highlight w:val="none"/>
                <w:lang w:val="en-US" w:eastAsia="zh-CN"/>
              </w:rPr>
              <w:t>不得分。</w:t>
            </w:r>
          </w:p>
        </w:tc>
        <w:tc>
          <w:tcPr>
            <w:tcW w:w="709" w:type="dxa"/>
            <w:tcBorders>
              <w:top w:val="single" w:color="auto" w:sz="4" w:space="0"/>
              <w:left w:val="nil"/>
              <w:bottom w:val="single" w:color="auto" w:sz="4" w:space="0"/>
              <w:right w:val="single" w:color="auto" w:sz="4" w:space="0"/>
            </w:tcBorders>
            <w:vAlign w:val="center"/>
          </w:tcPr>
          <w:p w14:paraId="7B290BA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0780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1129" w:type="dxa"/>
            <w:tcBorders>
              <w:top w:val="single" w:color="auto" w:sz="4" w:space="0"/>
              <w:left w:val="single" w:color="auto" w:sz="4" w:space="0"/>
              <w:bottom w:val="single" w:color="auto" w:sz="4" w:space="0"/>
              <w:right w:val="single" w:color="auto" w:sz="4" w:space="0"/>
            </w:tcBorders>
            <w:vAlign w:val="center"/>
          </w:tcPr>
          <w:p w14:paraId="4C1A2D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color w:val="auto"/>
                <w:sz w:val="22"/>
                <w:szCs w:val="24"/>
                <w:highlight w:val="none"/>
              </w:rPr>
              <w:t>项目管理人员配置</w:t>
            </w:r>
          </w:p>
        </w:tc>
        <w:tc>
          <w:tcPr>
            <w:tcW w:w="953" w:type="dxa"/>
            <w:tcBorders>
              <w:top w:val="single" w:color="auto" w:sz="4" w:space="0"/>
              <w:left w:val="nil"/>
              <w:bottom w:val="single" w:color="auto" w:sz="4" w:space="0"/>
              <w:right w:val="single" w:color="auto" w:sz="4" w:space="0"/>
            </w:tcBorders>
            <w:vAlign w:val="center"/>
          </w:tcPr>
          <w:p w14:paraId="44EF2BC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olor w:val="auto"/>
                <w:sz w:val="22"/>
                <w:szCs w:val="24"/>
                <w:highlight w:val="none"/>
                <w:lang w:val="en-US" w:eastAsia="zh-CN"/>
              </w:rPr>
            </w:pPr>
            <w:r>
              <w:rPr>
                <w:rFonts w:hint="eastAsia"/>
                <w:color w:val="auto"/>
                <w:sz w:val="22"/>
                <w:szCs w:val="24"/>
                <w:highlight w:val="none"/>
                <w:lang w:val="en-US" w:eastAsia="zh-CN"/>
              </w:rPr>
              <w:t>10分</w:t>
            </w:r>
          </w:p>
        </w:tc>
        <w:tc>
          <w:tcPr>
            <w:tcW w:w="6985" w:type="dxa"/>
            <w:tcBorders>
              <w:top w:val="single" w:color="auto" w:sz="4" w:space="0"/>
              <w:left w:val="nil"/>
              <w:bottom w:val="single" w:color="auto" w:sz="4" w:space="0"/>
              <w:right w:val="single" w:color="auto" w:sz="4" w:space="0"/>
            </w:tcBorders>
            <w:vAlign w:val="center"/>
          </w:tcPr>
          <w:p w14:paraId="1A26A1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第一档（10分）：对本项目人员需求分析全面、详细，针对分析结果岗位及人员配置齐全，岗位及负责内容明确，分工合理，并有应急处理人员安排，工作经验丰富的；</w:t>
            </w:r>
          </w:p>
          <w:p w14:paraId="7EC830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第二档（7分）：对本项目人员需求有分析方案，针对分析结果岗位及人员配置到位的，有工作经验的；</w:t>
            </w:r>
          </w:p>
          <w:p w14:paraId="2E28D63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第三档（3分）：对本项目人员需求有分析方案，针对分析结果岗位及人员配置一般，无工作经验的；</w:t>
            </w:r>
          </w:p>
          <w:p w14:paraId="1E97956C">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rFonts w:hint="eastAsia"/>
                <w:color w:val="auto"/>
                <w:sz w:val="22"/>
                <w:szCs w:val="24"/>
                <w:highlight w:val="none"/>
                <w:lang w:val="en-US" w:eastAsia="zh-CN"/>
              </w:rPr>
              <w:t>第四档：未提供项目管理人员配置的不得分。</w:t>
            </w:r>
          </w:p>
        </w:tc>
        <w:tc>
          <w:tcPr>
            <w:tcW w:w="709" w:type="dxa"/>
            <w:tcBorders>
              <w:top w:val="single" w:color="auto" w:sz="4" w:space="0"/>
              <w:left w:val="nil"/>
              <w:bottom w:val="single" w:color="auto" w:sz="4" w:space="0"/>
              <w:right w:val="single" w:color="auto" w:sz="4" w:space="0"/>
            </w:tcBorders>
            <w:vAlign w:val="center"/>
          </w:tcPr>
          <w:p w14:paraId="0194894A">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4B40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129" w:type="dxa"/>
            <w:tcBorders>
              <w:top w:val="single" w:color="auto" w:sz="4" w:space="0"/>
              <w:left w:val="single" w:color="auto" w:sz="4" w:space="0"/>
              <w:bottom w:val="single" w:color="auto" w:sz="4" w:space="0"/>
              <w:right w:val="single" w:color="auto" w:sz="4" w:space="0"/>
            </w:tcBorders>
            <w:vAlign w:val="center"/>
          </w:tcPr>
          <w:p w14:paraId="2080823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履约信誉</w:t>
            </w:r>
          </w:p>
        </w:tc>
        <w:tc>
          <w:tcPr>
            <w:tcW w:w="953" w:type="dxa"/>
            <w:tcBorders>
              <w:top w:val="single" w:color="auto" w:sz="4" w:space="0"/>
              <w:left w:val="nil"/>
              <w:bottom w:val="single" w:color="auto" w:sz="4" w:space="0"/>
              <w:right w:val="single" w:color="auto" w:sz="4" w:space="0"/>
            </w:tcBorders>
            <w:vAlign w:val="center"/>
          </w:tcPr>
          <w:p w14:paraId="1BE2DC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2"/>
                <w:szCs w:val="24"/>
                <w:highlight w:val="none"/>
                <w:lang w:val="en-US" w:eastAsia="zh-CN"/>
              </w:rPr>
            </w:pPr>
            <w:r>
              <w:rPr>
                <w:rFonts w:hint="eastAsia"/>
                <w:color w:val="auto"/>
                <w:sz w:val="22"/>
                <w:szCs w:val="24"/>
                <w:highlight w:val="none"/>
              </w:rPr>
              <w:t>5</w:t>
            </w:r>
            <w:r>
              <w:rPr>
                <w:rFonts w:hint="eastAsia"/>
                <w:color w:val="auto"/>
                <w:sz w:val="22"/>
                <w:szCs w:val="24"/>
                <w:highlight w:val="none"/>
                <w:lang w:val="en-US" w:eastAsia="zh-CN"/>
              </w:rPr>
              <w:t>分</w:t>
            </w:r>
          </w:p>
        </w:tc>
        <w:tc>
          <w:tcPr>
            <w:tcW w:w="6985" w:type="dxa"/>
            <w:tcBorders>
              <w:top w:val="single" w:color="auto" w:sz="4" w:space="0"/>
              <w:left w:val="nil"/>
              <w:bottom w:val="single" w:color="auto" w:sz="4" w:space="0"/>
              <w:right w:val="single" w:color="auto" w:sz="4" w:space="0"/>
            </w:tcBorders>
            <w:vAlign w:val="center"/>
          </w:tcPr>
          <w:p w14:paraId="5FB17BF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rPr>
            </w:pPr>
            <w:r>
              <w:rPr>
                <w:rFonts w:hint="eastAsia"/>
                <w:color w:val="auto"/>
                <w:sz w:val="22"/>
                <w:szCs w:val="24"/>
                <w:highlight w:val="none"/>
                <w:lang w:val="en-US" w:eastAsia="zh-CN"/>
              </w:rPr>
              <w:t>第一档（5分）：</w:t>
            </w:r>
            <w:r>
              <w:rPr>
                <w:rFonts w:hint="eastAsia"/>
                <w:color w:val="auto"/>
                <w:sz w:val="22"/>
                <w:szCs w:val="24"/>
                <w:highlight w:val="none"/>
              </w:rPr>
              <w:t>综合考虑供应商企业信誉、履约情况等较好；</w:t>
            </w:r>
          </w:p>
          <w:p w14:paraId="145C39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color w:val="auto"/>
                <w:sz w:val="22"/>
                <w:szCs w:val="24"/>
                <w:highlight w:val="none"/>
                <w:lang w:val="en-US" w:eastAsia="zh-CN"/>
              </w:rPr>
            </w:pPr>
            <w:r>
              <w:rPr>
                <w:rFonts w:hint="eastAsia"/>
                <w:color w:val="auto"/>
                <w:sz w:val="22"/>
                <w:szCs w:val="24"/>
                <w:highlight w:val="none"/>
                <w:lang w:val="en-US" w:eastAsia="zh-CN"/>
              </w:rPr>
              <w:t>第二档（3分）：</w:t>
            </w:r>
            <w:r>
              <w:rPr>
                <w:rFonts w:hint="eastAsia"/>
                <w:color w:val="auto"/>
                <w:sz w:val="22"/>
                <w:szCs w:val="24"/>
                <w:highlight w:val="none"/>
              </w:rPr>
              <w:t>供应商企业信誉、履约情况等一般；</w:t>
            </w:r>
          </w:p>
        </w:tc>
        <w:tc>
          <w:tcPr>
            <w:tcW w:w="709" w:type="dxa"/>
            <w:tcBorders>
              <w:top w:val="single" w:color="auto" w:sz="4" w:space="0"/>
              <w:left w:val="nil"/>
              <w:bottom w:val="single" w:color="auto" w:sz="4" w:space="0"/>
              <w:right w:val="single" w:color="auto" w:sz="4" w:space="0"/>
            </w:tcBorders>
            <w:vAlign w:val="center"/>
          </w:tcPr>
          <w:p w14:paraId="5DE74D85">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r w14:paraId="2889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29" w:type="dxa"/>
            <w:tcBorders>
              <w:top w:val="single" w:color="auto" w:sz="4" w:space="0"/>
              <w:left w:val="single" w:color="auto" w:sz="4" w:space="0"/>
              <w:bottom w:val="single" w:color="auto" w:sz="4" w:space="0"/>
              <w:right w:val="single" w:color="auto" w:sz="4" w:space="0"/>
            </w:tcBorders>
            <w:vAlign w:val="center"/>
          </w:tcPr>
          <w:p w14:paraId="62E4CF0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color w:val="auto"/>
                <w:sz w:val="22"/>
                <w:szCs w:val="24"/>
                <w:highlight w:val="none"/>
              </w:rPr>
            </w:pPr>
            <w:r>
              <w:rPr>
                <w:rFonts w:hint="eastAsia"/>
                <w:color w:val="auto"/>
                <w:sz w:val="22"/>
                <w:szCs w:val="24"/>
                <w:highlight w:val="none"/>
              </w:rPr>
              <w:t>业绩</w:t>
            </w:r>
          </w:p>
        </w:tc>
        <w:tc>
          <w:tcPr>
            <w:tcW w:w="953" w:type="dxa"/>
            <w:tcBorders>
              <w:top w:val="single" w:color="auto" w:sz="4" w:space="0"/>
              <w:left w:val="nil"/>
              <w:bottom w:val="single" w:color="auto" w:sz="4" w:space="0"/>
              <w:right w:val="single" w:color="auto" w:sz="4" w:space="0"/>
            </w:tcBorders>
            <w:vAlign w:val="center"/>
          </w:tcPr>
          <w:p w14:paraId="0F7B8D9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olor w:val="auto"/>
                <w:sz w:val="22"/>
                <w:szCs w:val="24"/>
                <w:highlight w:val="none"/>
                <w:lang w:val="en-US" w:eastAsia="zh-CN"/>
              </w:rPr>
            </w:pPr>
            <w:r>
              <w:rPr>
                <w:rFonts w:hint="eastAsia"/>
                <w:color w:val="auto"/>
                <w:sz w:val="22"/>
                <w:szCs w:val="24"/>
                <w:highlight w:val="none"/>
              </w:rPr>
              <w:t>5</w:t>
            </w:r>
            <w:r>
              <w:rPr>
                <w:rFonts w:hint="eastAsia"/>
                <w:color w:val="auto"/>
                <w:sz w:val="22"/>
                <w:szCs w:val="24"/>
                <w:highlight w:val="none"/>
                <w:lang w:val="en-US" w:eastAsia="zh-CN"/>
              </w:rPr>
              <w:t>分</w:t>
            </w:r>
          </w:p>
        </w:tc>
        <w:tc>
          <w:tcPr>
            <w:tcW w:w="6985" w:type="dxa"/>
            <w:tcBorders>
              <w:top w:val="single" w:color="auto" w:sz="4" w:space="0"/>
              <w:left w:val="nil"/>
              <w:bottom w:val="single" w:color="auto" w:sz="4" w:space="0"/>
              <w:right w:val="single" w:color="auto" w:sz="4" w:space="0"/>
            </w:tcBorders>
            <w:vAlign w:val="center"/>
          </w:tcPr>
          <w:p w14:paraId="54697018">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r>
              <w:rPr>
                <w:rFonts w:hint="eastAsia"/>
                <w:color w:val="auto"/>
                <w:sz w:val="22"/>
                <w:szCs w:val="24"/>
                <w:highlight w:val="none"/>
              </w:rPr>
              <w:t>提供类似</w:t>
            </w:r>
            <w:r>
              <w:rPr>
                <w:rFonts w:hint="eastAsia"/>
                <w:color w:val="auto"/>
                <w:sz w:val="22"/>
                <w:szCs w:val="24"/>
                <w:highlight w:val="none"/>
                <w:lang w:val="en-US" w:eastAsia="zh-CN"/>
              </w:rPr>
              <w:t>项目</w:t>
            </w:r>
            <w:r>
              <w:rPr>
                <w:rFonts w:hint="eastAsia"/>
                <w:color w:val="auto"/>
                <w:sz w:val="22"/>
                <w:szCs w:val="24"/>
                <w:highlight w:val="none"/>
              </w:rPr>
              <w:t>业绩，每提供一个得1分，满分为5分；</w:t>
            </w:r>
          </w:p>
          <w:p w14:paraId="74C24F0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eastAsia="宋体"/>
                <w:color w:val="auto"/>
                <w:sz w:val="22"/>
                <w:szCs w:val="24"/>
                <w:highlight w:val="none"/>
                <w:lang w:eastAsia="zh-CN"/>
              </w:rPr>
            </w:pPr>
            <w:r>
              <w:rPr>
                <w:rFonts w:hint="eastAsia" w:ascii="宋体" w:hAnsi="宋体" w:cs="宋体"/>
                <w:color w:val="auto"/>
                <w:sz w:val="22"/>
                <w:szCs w:val="22"/>
                <w:highlight w:val="none"/>
                <w:lang w:val="en-US" w:eastAsia="zh-CN"/>
              </w:rPr>
              <w:t>注：提供</w:t>
            </w:r>
            <w:r>
              <w:rPr>
                <w:rFonts w:hint="eastAsia" w:ascii="宋体" w:hAnsi="宋体" w:eastAsia="宋体" w:cs="宋体"/>
                <w:color w:val="auto"/>
                <w:sz w:val="22"/>
                <w:szCs w:val="22"/>
                <w:highlight w:val="none"/>
                <w:lang w:val="en-US" w:eastAsia="zh-CN"/>
              </w:rPr>
              <w:t>类似项目的成功案例</w:t>
            </w:r>
            <w:r>
              <w:rPr>
                <w:rFonts w:hint="eastAsia" w:ascii="宋体" w:hAnsi="宋体" w:cs="宋体"/>
                <w:color w:val="auto"/>
                <w:sz w:val="22"/>
                <w:szCs w:val="22"/>
                <w:highlight w:val="none"/>
                <w:lang w:val="en-US" w:eastAsia="zh-CN"/>
              </w:rPr>
              <w:t>不少于3个</w:t>
            </w:r>
            <w:r>
              <w:rPr>
                <w:rFonts w:hint="eastAsia" w:ascii="宋体" w:hAnsi="宋体" w:eastAsia="宋体" w:cs="宋体"/>
                <w:color w:val="auto"/>
                <w:sz w:val="22"/>
                <w:szCs w:val="22"/>
                <w:highlight w:val="none"/>
                <w:lang w:val="en-US" w:eastAsia="zh-CN"/>
              </w:rPr>
              <w:t>，包括但不限于项目合同、验收</w:t>
            </w:r>
            <w:r>
              <w:rPr>
                <w:rFonts w:hint="eastAsia" w:ascii="宋体" w:hAnsi="宋体" w:cs="宋体"/>
                <w:color w:val="auto"/>
                <w:sz w:val="22"/>
                <w:szCs w:val="22"/>
                <w:highlight w:val="none"/>
                <w:lang w:val="en-US" w:eastAsia="zh-CN"/>
              </w:rPr>
              <w:t>合格证明文件</w:t>
            </w:r>
            <w:r>
              <w:rPr>
                <w:rFonts w:hint="eastAsia" w:ascii="宋体" w:hAnsi="宋体" w:eastAsia="宋体" w:cs="宋体"/>
                <w:color w:val="auto"/>
                <w:sz w:val="22"/>
                <w:szCs w:val="22"/>
                <w:highlight w:val="none"/>
                <w:lang w:val="en-US" w:eastAsia="zh-CN"/>
              </w:rPr>
              <w:t>，以充分证明其具备执行本项目的能力和丰富经验，</w:t>
            </w:r>
            <w:r>
              <w:rPr>
                <w:rFonts w:hint="eastAsia"/>
                <w:color w:val="auto"/>
                <w:sz w:val="22"/>
                <w:szCs w:val="24"/>
                <w:highlight w:val="none"/>
              </w:rPr>
              <w:t>否则不得分</w:t>
            </w:r>
            <w:r>
              <w:rPr>
                <w:rFonts w:hint="eastAsia"/>
                <w:color w:val="auto"/>
                <w:sz w:val="22"/>
                <w:szCs w:val="24"/>
                <w:highlight w:val="none"/>
                <w:lang w:eastAsia="zh-CN"/>
              </w:rPr>
              <w:t>。</w:t>
            </w:r>
          </w:p>
        </w:tc>
        <w:tc>
          <w:tcPr>
            <w:tcW w:w="709" w:type="dxa"/>
            <w:tcBorders>
              <w:top w:val="single" w:color="auto" w:sz="4" w:space="0"/>
              <w:left w:val="nil"/>
              <w:bottom w:val="single" w:color="auto" w:sz="4" w:space="0"/>
              <w:right w:val="single" w:color="auto" w:sz="4" w:space="0"/>
            </w:tcBorders>
            <w:vAlign w:val="center"/>
          </w:tcPr>
          <w:p w14:paraId="7F699057">
            <w:pPr>
              <w:keepNext w:val="0"/>
              <w:keepLines w:val="0"/>
              <w:pageBreakBefore w:val="0"/>
              <w:widowControl w:val="0"/>
              <w:kinsoku/>
              <w:wordWrap/>
              <w:overflowPunct/>
              <w:topLinePunct w:val="0"/>
              <w:autoSpaceDE/>
              <w:autoSpaceDN/>
              <w:bidi w:val="0"/>
              <w:adjustRightInd/>
              <w:snapToGrid/>
              <w:spacing w:line="360" w:lineRule="exact"/>
              <w:textAlignment w:val="auto"/>
              <w:rPr>
                <w:color w:val="auto"/>
                <w:sz w:val="22"/>
                <w:szCs w:val="24"/>
                <w:highlight w:val="none"/>
              </w:rPr>
            </w:pPr>
          </w:p>
        </w:tc>
      </w:tr>
    </w:tbl>
    <w:p w14:paraId="1312EA8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249740C6"/>
    <w:rsid w:val="04C40999"/>
    <w:rsid w:val="08C03E77"/>
    <w:rsid w:val="0D2B3C27"/>
    <w:rsid w:val="18166994"/>
    <w:rsid w:val="19872612"/>
    <w:rsid w:val="1C9B09DD"/>
    <w:rsid w:val="1D4D3F65"/>
    <w:rsid w:val="249740C6"/>
    <w:rsid w:val="25333452"/>
    <w:rsid w:val="258C139D"/>
    <w:rsid w:val="26B23FB1"/>
    <w:rsid w:val="2A10423A"/>
    <w:rsid w:val="2FEF6D8C"/>
    <w:rsid w:val="32904ED3"/>
    <w:rsid w:val="3C1D16ED"/>
    <w:rsid w:val="403E2013"/>
    <w:rsid w:val="47235C4E"/>
    <w:rsid w:val="48961C3F"/>
    <w:rsid w:val="4AF555F3"/>
    <w:rsid w:val="53640FD4"/>
    <w:rsid w:val="54825CC6"/>
    <w:rsid w:val="5B771229"/>
    <w:rsid w:val="6320151A"/>
    <w:rsid w:val="6C8278C3"/>
    <w:rsid w:val="6CF6791F"/>
    <w:rsid w:val="794E3D48"/>
    <w:rsid w:val="7DDC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lang w:val="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next w:val="1"/>
    <w:qFormat/>
    <w:uiPriority w:val="99"/>
    <w:rPr>
      <w:rFonts w:ascii="宋体" w:hAnsi="Courier New"/>
      <w:kern w:val="0"/>
      <w:sz w:val="20"/>
      <w:szCs w:val="21"/>
      <w:lang w:val="zh-CN"/>
    </w:rPr>
  </w:style>
  <w:style w:type="paragraph" w:styleId="5">
    <w:name w:val="Body Text Indent 2"/>
    <w:basedOn w:val="1"/>
    <w:qFormat/>
    <w:uiPriority w:val="0"/>
    <w:pPr>
      <w:spacing w:after="120" w:line="480" w:lineRule="auto"/>
      <w:ind w:left="420" w:leftChars="200"/>
    </w:pPr>
    <w:rPr>
      <w:rFonts w:ascii="Times New Roman" w:hAnsi="Times New Roman"/>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2024-07-16T04:03:00Z</dcterms:created>
  <dc:creator>WPS_1529111518</dc:creator>
  <cp:lastModifiedBy>WPS_1529111518</cp:lastModifiedBy>
  <dcterms:modified xsi:type="dcterms:W3CDTF">2024-07-16T04:06:34Z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FF43D66633C6459FBF4DE79FF1990F05_13</vt:lpwstr>
  </property>
</Properties>
</file>