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415" w:lineRule="auto"/>
        <w:jc w:val="center"/>
        <w:rPr>
          <w:rFonts w:ascii="宋体" w:hAnsi="宋体" w:eastAsia="宋体"/>
          <w:bCs w:val="0"/>
        </w:rPr>
      </w:pPr>
      <w:r>
        <w:rPr>
          <w:rFonts w:hint="eastAsia" w:ascii="宋体" w:hAnsi="宋体" w:eastAsia="宋体"/>
          <w:bCs w:val="0"/>
        </w:rPr>
        <w:t>第三章  评审办法</w:t>
      </w:r>
    </w:p>
    <w:p>
      <w:pPr>
        <w:snapToGrid w:val="0"/>
        <w:spacing w:line="360" w:lineRule="auto"/>
        <w:ind w:firstLine="480" w:firstLineChars="200"/>
        <w:contextualSpacing/>
        <w:jc w:val="left"/>
        <w:rPr>
          <w:rFonts w:ascii="宋体" w:hAnsi="宋体"/>
          <w:bCs/>
          <w:sz w:val="24"/>
          <w:szCs w:val="24"/>
        </w:rPr>
      </w:pPr>
      <w:r>
        <w:rPr>
          <w:rFonts w:hint="eastAsia" w:ascii="宋体" w:hAnsi="宋体"/>
          <w:bCs/>
          <w:sz w:val="24"/>
          <w:szCs w:val="24"/>
        </w:rPr>
        <w:t>1. 评审方法</w:t>
      </w:r>
    </w:p>
    <w:p>
      <w:pPr>
        <w:pStyle w:val="4"/>
        <w:snapToGrid w:val="0"/>
        <w:spacing w:after="0" w:line="360" w:lineRule="auto"/>
        <w:ind w:left="0" w:leftChars="0" w:firstLine="480" w:firstLineChars="200"/>
        <w:contextualSpacing/>
        <w:jc w:val="left"/>
        <w:rPr>
          <w:rFonts w:ascii="宋体" w:hAnsi="宋体"/>
          <w:sz w:val="24"/>
          <w:szCs w:val="24"/>
        </w:rPr>
      </w:pPr>
      <w:r>
        <w:rPr>
          <w:rFonts w:hint="eastAsia" w:ascii="宋体" w:hAnsi="宋体"/>
          <w:bCs/>
          <w:sz w:val="24"/>
          <w:szCs w:val="24"/>
        </w:rPr>
        <w:t>本次评审采用综合评分法。询比小组将按综合评分表中规定的各项分值进行打分并计算出各供应商的综合得分，按得分由高到低推荐成交候选供应商排序的评审方法。</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2. 评审标准</w:t>
      </w:r>
    </w:p>
    <w:p>
      <w:pPr>
        <w:snapToGrid w:val="0"/>
        <w:spacing w:line="360" w:lineRule="auto"/>
        <w:ind w:firstLine="480" w:firstLineChars="200"/>
        <w:contextualSpacing/>
        <w:rPr>
          <w:rFonts w:ascii="宋体" w:hAnsi="宋体"/>
          <w:bCs/>
          <w:sz w:val="24"/>
          <w:szCs w:val="24"/>
        </w:rPr>
      </w:pPr>
      <w:r>
        <w:rPr>
          <w:rFonts w:hint="eastAsia" w:ascii="宋体" w:hAnsi="宋体"/>
          <w:sz w:val="24"/>
          <w:szCs w:val="24"/>
        </w:rPr>
        <w:t>2.1资格</w:t>
      </w:r>
      <w:r>
        <w:rPr>
          <w:rFonts w:hint="eastAsia" w:ascii="宋体" w:hAnsi="宋体"/>
          <w:bCs/>
          <w:sz w:val="24"/>
          <w:szCs w:val="24"/>
        </w:rPr>
        <w:t>评审标准：详见附件一《资格性评审表》；</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2.2 有效性、完整性和响应程度审查标准 ：详见附件二《有效性、完整性和响应程度审查表》；</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2.2 详细评审标准：详见附件三《综合评分表》。</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3.评审程序</w:t>
      </w:r>
    </w:p>
    <w:p>
      <w:pPr>
        <w:snapToGrid w:val="0"/>
        <w:spacing w:line="360" w:lineRule="auto"/>
        <w:ind w:firstLine="480" w:firstLineChars="200"/>
        <w:contextualSpacing/>
        <w:rPr>
          <w:rFonts w:ascii="宋体" w:hAnsi="宋体"/>
          <w:bCs/>
          <w:sz w:val="24"/>
          <w:szCs w:val="24"/>
        </w:rPr>
      </w:pPr>
      <w:r>
        <w:rPr>
          <w:rFonts w:hint="eastAsia" w:ascii="宋体" w:hAnsi="宋体"/>
          <w:sz w:val="24"/>
          <w:szCs w:val="24"/>
        </w:rPr>
        <w:t>3.1</w:t>
      </w:r>
      <w:r>
        <w:rPr>
          <w:rFonts w:hint="eastAsia" w:ascii="宋体" w:hAnsi="宋体"/>
          <w:bCs/>
          <w:sz w:val="24"/>
          <w:szCs w:val="24"/>
        </w:rPr>
        <w:t>资格性评审</w:t>
      </w:r>
    </w:p>
    <w:p>
      <w:pPr>
        <w:snapToGrid w:val="0"/>
        <w:spacing w:line="360" w:lineRule="auto"/>
        <w:ind w:firstLine="480" w:firstLineChars="200"/>
        <w:contextualSpacing/>
        <w:rPr>
          <w:rFonts w:ascii="宋体" w:hAnsi="宋体"/>
          <w:sz w:val="24"/>
          <w:szCs w:val="24"/>
        </w:rPr>
      </w:pPr>
      <w:r>
        <w:rPr>
          <w:rFonts w:hint="eastAsia" w:ascii="宋体" w:hAnsi="宋体"/>
          <w:bCs/>
          <w:sz w:val="24"/>
          <w:szCs w:val="24"/>
        </w:rPr>
        <w:t>只有通过资格性评审，才能进入</w:t>
      </w:r>
      <w:r>
        <w:rPr>
          <w:rFonts w:hint="eastAsia" w:ascii="宋体" w:hAnsi="宋体"/>
          <w:sz w:val="24"/>
          <w:szCs w:val="24"/>
        </w:rPr>
        <w:t>下一步评审；</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3.2有效性、完整性和响应程度审查</w:t>
      </w:r>
    </w:p>
    <w:p>
      <w:pPr>
        <w:snapToGrid w:val="0"/>
        <w:spacing w:line="360" w:lineRule="auto"/>
        <w:ind w:firstLine="480" w:firstLineChars="200"/>
        <w:contextualSpacing/>
        <w:rPr>
          <w:rFonts w:ascii="宋体" w:hAnsi="宋体"/>
          <w:sz w:val="24"/>
          <w:szCs w:val="24"/>
        </w:rPr>
      </w:pPr>
      <w:r>
        <w:rPr>
          <w:rFonts w:hint="eastAsia" w:ascii="宋体" w:hAnsi="宋体"/>
          <w:bCs/>
          <w:sz w:val="24"/>
          <w:szCs w:val="24"/>
        </w:rPr>
        <w:t>只有通过</w:t>
      </w:r>
      <w:r>
        <w:rPr>
          <w:rFonts w:hint="eastAsia" w:ascii="宋体" w:hAnsi="宋体"/>
          <w:sz w:val="24"/>
          <w:szCs w:val="24"/>
        </w:rPr>
        <w:t>有效性、完整性和响应程度审查</w:t>
      </w:r>
      <w:r>
        <w:rPr>
          <w:rFonts w:hint="eastAsia" w:ascii="宋体" w:hAnsi="宋体"/>
          <w:bCs/>
          <w:sz w:val="24"/>
          <w:szCs w:val="24"/>
        </w:rPr>
        <w:t>，才能进入</w:t>
      </w:r>
      <w:r>
        <w:rPr>
          <w:rFonts w:hint="eastAsia" w:ascii="宋体" w:hAnsi="宋体"/>
          <w:sz w:val="24"/>
          <w:szCs w:val="24"/>
        </w:rPr>
        <w:t>下一步评审；</w:t>
      </w:r>
    </w:p>
    <w:p>
      <w:pPr>
        <w:snapToGrid w:val="0"/>
        <w:spacing w:line="360" w:lineRule="auto"/>
        <w:ind w:firstLine="480" w:firstLineChars="200"/>
        <w:contextualSpacing/>
        <w:rPr>
          <w:rFonts w:ascii="宋体" w:hAnsi="宋体"/>
          <w:bCs/>
          <w:sz w:val="24"/>
          <w:szCs w:val="24"/>
        </w:rPr>
      </w:pPr>
      <w:r>
        <w:rPr>
          <w:rFonts w:hint="eastAsia" w:ascii="宋体" w:hAnsi="宋体"/>
          <w:bCs/>
          <w:sz w:val="24"/>
          <w:szCs w:val="24"/>
        </w:rPr>
        <w:t>3.3</w:t>
      </w:r>
      <w:r>
        <w:rPr>
          <w:rFonts w:hint="eastAsia" w:ascii="宋体" w:hAnsi="宋体"/>
          <w:sz w:val="24"/>
          <w:szCs w:val="24"/>
        </w:rPr>
        <w:t>详细评审</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3.3.1询比小组成员按附件三《综合评分表》规定的评分因素进行综合评分。</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3.3.2询比小组发现供应商的报价明显低于其他供应商报价，使得其报价可能低于其成本的，应当要求该供应商作出书面说明并提供相应的证明材料。供应商不能合理说明或者不能提供相应证明材料的，由询比小组认定该供应商以低于成本报价恶性竞争，其询比作无效标处理。</w:t>
      </w:r>
    </w:p>
    <w:p>
      <w:pPr>
        <w:pStyle w:val="3"/>
        <w:snapToGrid w:val="0"/>
        <w:spacing w:line="360" w:lineRule="auto"/>
        <w:ind w:firstLine="480" w:firstLineChars="200"/>
        <w:contextualSpacing/>
        <w:jc w:val="left"/>
        <w:rPr>
          <w:rFonts w:hAnsi="宋体"/>
          <w:sz w:val="24"/>
          <w:szCs w:val="24"/>
        </w:rPr>
      </w:pPr>
      <w:r>
        <w:rPr>
          <w:rFonts w:hint="eastAsia" w:hAnsi="宋体"/>
          <w:sz w:val="24"/>
          <w:szCs w:val="24"/>
        </w:rPr>
        <w:t>3.3.3价格分评审办法</w:t>
      </w:r>
    </w:p>
    <w:p>
      <w:pPr>
        <w:pStyle w:val="3"/>
        <w:snapToGrid w:val="0"/>
        <w:spacing w:line="360" w:lineRule="auto"/>
        <w:ind w:firstLine="480" w:firstLineChars="200"/>
        <w:contextualSpacing/>
        <w:jc w:val="left"/>
        <w:rPr>
          <w:rFonts w:hAnsi="宋体"/>
          <w:sz w:val="24"/>
          <w:szCs w:val="24"/>
        </w:rPr>
      </w:pPr>
      <w:r>
        <w:rPr>
          <w:rFonts w:hint="eastAsia" w:hAnsi="宋体"/>
          <w:sz w:val="24"/>
          <w:szCs w:val="24"/>
        </w:rPr>
        <w:t>满足询比文件要求且最后报价最低的供应商的价格为基准价。</w:t>
      </w:r>
    </w:p>
    <w:p>
      <w:pPr>
        <w:pStyle w:val="3"/>
        <w:snapToGrid w:val="0"/>
        <w:spacing w:line="360" w:lineRule="auto"/>
        <w:ind w:firstLine="480" w:firstLineChars="200"/>
        <w:contextualSpacing/>
        <w:jc w:val="left"/>
        <w:rPr>
          <w:rFonts w:hAnsi="宋体"/>
          <w:sz w:val="24"/>
          <w:szCs w:val="24"/>
        </w:rPr>
      </w:pPr>
      <w:r>
        <w:rPr>
          <w:rFonts w:hint="eastAsia" w:hAnsi="宋体"/>
          <w:sz w:val="24"/>
          <w:szCs w:val="24"/>
        </w:rPr>
        <w:t>报价得分=（基准价/供应商报价）×价格权值×100 (扣减分值中间值用插入法, 小数点后保留两位)。</w:t>
      </w:r>
    </w:p>
    <w:p>
      <w:pPr>
        <w:pStyle w:val="3"/>
        <w:snapToGrid w:val="0"/>
        <w:spacing w:line="360" w:lineRule="auto"/>
        <w:ind w:firstLine="480" w:firstLineChars="200"/>
        <w:contextualSpacing/>
        <w:jc w:val="left"/>
        <w:rPr>
          <w:rFonts w:hAnsi="宋体"/>
          <w:sz w:val="24"/>
          <w:szCs w:val="24"/>
        </w:rPr>
      </w:pPr>
      <w:r>
        <w:rPr>
          <w:rFonts w:hint="eastAsia" w:hAnsi="宋体"/>
          <w:sz w:val="24"/>
          <w:szCs w:val="24"/>
        </w:rPr>
        <w:t>3.4统分原则</w:t>
      </w:r>
    </w:p>
    <w:p>
      <w:pPr>
        <w:pStyle w:val="3"/>
        <w:snapToGrid w:val="0"/>
        <w:spacing w:line="360" w:lineRule="auto"/>
        <w:ind w:firstLine="480" w:firstLineChars="200"/>
        <w:contextualSpacing/>
        <w:jc w:val="left"/>
        <w:rPr>
          <w:rFonts w:hAnsi="宋体"/>
          <w:sz w:val="24"/>
          <w:szCs w:val="24"/>
        </w:rPr>
      </w:pPr>
      <w:r>
        <w:rPr>
          <w:rFonts w:hint="eastAsia" w:hAnsi="宋体"/>
          <w:sz w:val="24"/>
          <w:szCs w:val="24"/>
        </w:rPr>
        <w:t>3.4.1询比小组应首先对各供应商响应文件进行评审，各分档评分中间采用插入法评分（小数点保留二位），由各小组成员自主评分并签字确认。</w:t>
      </w:r>
    </w:p>
    <w:p>
      <w:pPr>
        <w:pStyle w:val="3"/>
        <w:snapToGrid w:val="0"/>
        <w:spacing w:line="360" w:lineRule="auto"/>
        <w:ind w:firstLine="480" w:firstLineChars="200"/>
        <w:contextualSpacing/>
        <w:jc w:val="left"/>
        <w:rPr>
          <w:rFonts w:hAnsi="宋体"/>
          <w:sz w:val="24"/>
          <w:szCs w:val="24"/>
        </w:rPr>
      </w:pPr>
      <w:r>
        <w:rPr>
          <w:rFonts w:hint="eastAsia" w:hAnsi="宋体"/>
          <w:sz w:val="24"/>
          <w:szCs w:val="24"/>
        </w:rPr>
        <w:t>3.4.2报价分值按公式计算，小数点后保留两位。</w:t>
      </w:r>
    </w:p>
    <w:p>
      <w:pPr>
        <w:pStyle w:val="3"/>
        <w:snapToGrid w:val="0"/>
        <w:spacing w:line="360" w:lineRule="auto"/>
        <w:ind w:firstLine="480" w:firstLineChars="200"/>
        <w:contextualSpacing/>
        <w:jc w:val="left"/>
        <w:rPr>
          <w:rFonts w:hAnsi="宋体"/>
          <w:sz w:val="24"/>
          <w:szCs w:val="24"/>
        </w:rPr>
      </w:pPr>
      <w:r>
        <w:rPr>
          <w:rFonts w:hint="eastAsia" w:hAnsi="宋体"/>
          <w:sz w:val="24"/>
          <w:szCs w:val="24"/>
        </w:rPr>
        <w:t>3.4.3统计分数原则：所有询比小组成员打分的算术平均值为供应商的最后得分（保留小数点后两位）。</w:t>
      </w:r>
    </w:p>
    <w:p>
      <w:pPr>
        <w:pStyle w:val="3"/>
        <w:snapToGrid w:val="0"/>
        <w:spacing w:line="360" w:lineRule="auto"/>
        <w:ind w:firstLine="480" w:firstLineChars="200"/>
        <w:contextualSpacing/>
        <w:jc w:val="left"/>
        <w:rPr>
          <w:rFonts w:hAnsi="宋体"/>
          <w:sz w:val="24"/>
          <w:szCs w:val="24"/>
        </w:rPr>
      </w:pPr>
      <w:r>
        <w:rPr>
          <w:rFonts w:hint="eastAsia" w:hAnsi="宋体"/>
          <w:sz w:val="24"/>
          <w:szCs w:val="24"/>
        </w:rPr>
        <w:t>3.4.4将综合评分从高到低排序，得分相同的，按最后报价由低到高顺序排列。得分且询比报价相同的，按技术优劣顺序排列。</w:t>
      </w:r>
    </w:p>
    <w:p>
      <w:pPr>
        <w:pStyle w:val="4"/>
        <w:adjustRightInd w:val="0"/>
        <w:snapToGrid w:val="0"/>
        <w:spacing w:line="360" w:lineRule="auto"/>
        <w:ind w:left="0" w:leftChars="0" w:firstLine="480" w:firstLineChars="200"/>
        <w:jc w:val="left"/>
        <w:rPr>
          <w:rFonts w:ascii="宋体" w:hAnsi="宋体"/>
          <w:bCs/>
          <w:sz w:val="24"/>
          <w:szCs w:val="24"/>
        </w:rPr>
      </w:pPr>
      <w:r>
        <w:rPr>
          <w:rFonts w:hint="eastAsia" w:ascii="宋体" w:hAnsi="宋体"/>
          <w:bCs/>
          <w:sz w:val="24"/>
          <w:szCs w:val="24"/>
        </w:rPr>
        <w:t>附件一：资格性评审表</w:t>
      </w:r>
    </w:p>
    <w:tbl>
      <w:tblPr>
        <w:tblStyle w:val="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967"/>
        <w:gridCol w:w="562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2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utoSpaceDE w:val="0"/>
              <w:autoSpaceDN w:val="0"/>
              <w:adjustRightInd w:val="0"/>
              <w:snapToGrid w:val="0"/>
              <w:spacing w:line="400" w:lineRule="atLeast"/>
              <w:jc w:val="center"/>
              <w:rPr>
                <w:sz w:val="24"/>
                <w:szCs w:val="24"/>
              </w:rPr>
            </w:pPr>
            <w:r>
              <w:rPr>
                <w:rFonts w:hint="eastAsia" w:ascii="宋体" w:hAnsi="宋体"/>
                <w:sz w:val="24"/>
                <w:szCs w:val="24"/>
              </w:rPr>
              <w:t>评审</w:t>
            </w:r>
          </w:p>
          <w:p>
            <w:pPr>
              <w:autoSpaceDE w:val="0"/>
              <w:autoSpaceDN w:val="0"/>
              <w:adjustRightInd w:val="0"/>
              <w:snapToGrid w:val="0"/>
              <w:spacing w:line="400" w:lineRule="atLeast"/>
              <w:jc w:val="center"/>
              <w:rPr>
                <w:sz w:val="24"/>
                <w:szCs w:val="24"/>
              </w:rPr>
            </w:pPr>
            <w:r>
              <w:rPr>
                <w:rFonts w:hint="eastAsia" w:ascii="宋体" w:hAnsi="宋体"/>
                <w:sz w:val="24"/>
                <w:szCs w:val="24"/>
              </w:rPr>
              <w:t>内容</w:t>
            </w:r>
          </w:p>
        </w:tc>
        <w:tc>
          <w:tcPr>
            <w:tcW w:w="196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sz w:val="24"/>
                <w:szCs w:val="24"/>
              </w:rPr>
            </w:pPr>
            <w:r>
              <w:rPr>
                <w:rFonts w:hint="eastAsia" w:ascii="宋体" w:hAnsi="宋体"/>
                <w:sz w:val="24"/>
                <w:szCs w:val="24"/>
              </w:rPr>
              <w:t>评审项目</w:t>
            </w:r>
          </w:p>
        </w:tc>
        <w:tc>
          <w:tcPr>
            <w:tcW w:w="56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sz w:val="24"/>
                <w:szCs w:val="24"/>
              </w:rPr>
            </w:pPr>
            <w:r>
              <w:rPr>
                <w:rFonts w:hint="eastAsia" w:ascii="宋体" w:hAnsi="宋体"/>
                <w:sz w:val="24"/>
                <w:szCs w:val="24"/>
              </w:rPr>
              <w:t>评审标准</w:t>
            </w:r>
          </w:p>
        </w:tc>
        <w:tc>
          <w:tcPr>
            <w:tcW w:w="127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sz w:val="24"/>
                <w:szCs w:val="24"/>
              </w:rPr>
            </w:pPr>
            <w:r>
              <w:rPr>
                <w:rFonts w:hint="eastAsia" w:ascii="宋体" w:hAnsi="宋体"/>
                <w:sz w:val="24"/>
                <w:szCs w:val="24"/>
              </w:rPr>
              <w:t>评审要求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21" w:type="dxa"/>
            <w:vMerge w:val="restart"/>
            <w:tcBorders>
              <w:top w:val="nil"/>
              <w:left w:val="single" w:color="auto" w:sz="4" w:space="0"/>
              <w:right w:val="single" w:color="auto" w:sz="4" w:space="0"/>
            </w:tcBorders>
            <w:vAlign w:val="center"/>
          </w:tcPr>
          <w:p>
            <w:pPr>
              <w:widowControl/>
              <w:jc w:val="center"/>
              <w:rPr>
                <w:sz w:val="24"/>
                <w:szCs w:val="24"/>
              </w:rPr>
            </w:pPr>
            <w:r>
              <w:rPr>
                <w:rFonts w:hint="eastAsia"/>
                <w:sz w:val="24"/>
                <w:szCs w:val="24"/>
              </w:rPr>
              <w:t>资格性评审</w:t>
            </w:r>
          </w:p>
        </w:tc>
        <w:tc>
          <w:tcPr>
            <w:tcW w:w="1967" w:type="dxa"/>
            <w:tcBorders>
              <w:top w:val="single" w:color="auto" w:sz="4" w:space="0"/>
              <w:left w:val="nil"/>
              <w:bottom w:val="single" w:color="auto" w:sz="4" w:space="0"/>
              <w:right w:val="single" w:color="auto" w:sz="4" w:space="0"/>
            </w:tcBorders>
            <w:vAlign w:val="center"/>
          </w:tcPr>
          <w:p>
            <w:pPr>
              <w:adjustRightInd w:val="0"/>
              <w:snapToGrid w:val="0"/>
              <w:spacing w:line="400" w:lineRule="atLeast"/>
              <w:jc w:val="center"/>
              <w:rPr>
                <w:bCs/>
                <w:kern w:val="0"/>
                <w:sz w:val="24"/>
                <w:szCs w:val="24"/>
              </w:rPr>
            </w:pPr>
            <w:r>
              <w:rPr>
                <w:rFonts w:hint="eastAsia" w:ascii="宋体" w:hAnsi="宋体"/>
                <w:bCs/>
                <w:kern w:val="0"/>
                <w:sz w:val="24"/>
                <w:szCs w:val="24"/>
              </w:rPr>
              <w:t>营业执照或其他证明材料</w:t>
            </w:r>
          </w:p>
        </w:tc>
        <w:tc>
          <w:tcPr>
            <w:tcW w:w="56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left"/>
              <w:rPr>
                <w:bCs/>
                <w:kern w:val="0"/>
                <w:sz w:val="24"/>
                <w:szCs w:val="24"/>
              </w:rPr>
            </w:pPr>
            <w:r>
              <w:rPr>
                <w:rFonts w:hint="eastAsia" w:ascii="宋体" w:hAnsi="宋体"/>
                <w:bCs/>
                <w:kern w:val="0"/>
                <w:sz w:val="24"/>
                <w:szCs w:val="24"/>
              </w:rPr>
              <w:t>在中国境内注册，能在国内合法提供采购要求及其相应的服务能力，并持有效的企业营业执照或其他证明材料；</w:t>
            </w:r>
          </w:p>
        </w:tc>
        <w:tc>
          <w:tcPr>
            <w:tcW w:w="127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bCs/>
                <w:sz w:val="24"/>
                <w:szCs w:val="24"/>
              </w:rPr>
            </w:pPr>
            <w:r>
              <w:rPr>
                <w:rFonts w:hint="eastAsia" w:ascii="宋体" w:hAnsi="宋体"/>
                <w:bCs/>
                <w:sz w:val="24"/>
                <w:szCs w:val="24"/>
              </w:rPr>
              <w:t>审核响应文件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21" w:type="dxa"/>
            <w:vMerge w:val="continue"/>
            <w:tcBorders>
              <w:left w:val="single" w:color="auto" w:sz="4" w:space="0"/>
              <w:right w:val="single" w:color="auto" w:sz="4" w:space="0"/>
            </w:tcBorders>
            <w:vAlign w:val="center"/>
          </w:tcPr>
          <w:p>
            <w:pPr>
              <w:widowControl/>
              <w:jc w:val="left"/>
              <w:rPr>
                <w:sz w:val="24"/>
                <w:szCs w:val="24"/>
              </w:rPr>
            </w:pPr>
          </w:p>
        </w:tc>
        <w:tc>
          <w:tcPr>
            <w:tcW w:w="1967" w:type="dxa"/>
            <w:tcBorders>
              <w:top w:val="single" w:color="auto" w:sz="4" w:space="0"/>
              <w:left w:val="nil"/>
              <w:bottom w:val="single" w:color="auto" w:sz="4" w:space="0"/>
              <w:right w:val="single" w:color="auto" w:sz="4" w:space="0"/>
            </w:tcBorders>
            <w:vAlign w:val="center"/>
          </w:tcPr>
          <w:p>
            <w:pPr>
              <w:adjustRightInd w:val="0"/>
              <w:snapToGrid w:val="0"/>
              <w:spacing w:line="400" w:lineRule="atLeast"/>
              <w:jc w:val="center"/>
              <w:rPr>
                <w:bCs/>
                <w:kern w:val="0"/>
                <w:sz w:val="24"/>
                <w:szCs w:val="24"/>
              </w:rPr>
            </w:pPr>
            <w:r>
              <w:rPr>
                <w:rFonts w:hint="eastAsia" w:ascii="宋体" w:hAnsi="宋体"/>
                <w:bCs/>
                <w:kern w:val="0"/>
                <w:sz w:val="24"/>
                <w:szCs w:val="24"/>
              </w:rPr>
              <w:t>承诺函</w:t>
            </w:r>
          </w:p>
        </w:tc>
        <w:tc>
          <w:tcPr>
            <w:tcW w:w="56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left"/>
              <w:rPr>
                <w:bCs/>
                <w:kern w:val="0"/>
                <w:sz w:val="24"/>
                <w:szCs w:val="24"/>
              </w:rPr>
            </w:pPr>
            <w:r>
              <w:rPr>
                <w:rFonts w:hint="eastAsia" w:ascii="宋体" w:hAnsi="宋体"/>
                <w:bCs/>
                <w:kern w:val="0"/>
                <w:sz w:val="24"/>
                <w:szCs w:val="24"/>
              </w:rPr>
              <w:t>供应商自行承诺符合《中华人民共和国政府采购法》第二十二条规定及《中华人民共和国政府采购法实施条例》第十七条的相关要求；</w:t>
            </w:r>
          </w:p>
        </w:tc>
        <w:tc>
          <w:tcPr>
            <w:tcW w:w="127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bCs/>
                <w:sz w:val="24"/>
                <w:szCs w:val="24"/>
              </w:rPr>
            </w:pPr>
            <w:r>
              <w:rPr>
                <w:rFonts w:hint="eastAsia" w:ascii="宋体" w:hAnsi="宋体"/>
                <w:bCs/>
                <w:sz w:val="24"/>
                <w:szCs w:val="24"/>
              </w:rPr>
              <w:t>审核响应文件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jc w:val="center"/>
        </w:trPr>
        <w:tc>
          <w:tcPr>
            <w:tcW w:w="621" w:type="dxa"/>
            <w:vMerge w:val="continue"/>
            <w:tcBorders>
              <w:left w:val="single" w:color="auto" w:sz="4" w:space="0"/>
              <w:right w:val="single" w:color="auto" w:sz="4" w:space="0"/>
            </w:tcBorders>
            <w:vAlign w:val="center"/>
          </w:tcPr>
          <w:p>
            <w:pPr>
              <w:widowControl/>
              <w:jc w:val="left"/>
              <w:rPr>
                <w:sz w:val="24"/>
                <w:szCs w:val="24"/>
              </w:rPr>
            </w:pPr>
          </w:p>
        </w:tc>
        <w:tc>
          <w:tcPr>
            <w:tcW w:w="1967" w:type="dxa"/>
            <w:tcBorders>
              <w:left w:val="nil"/>
              <w:right w:val="single" w:color="auto" w:sz="4" w:space="0"/>
            </w:tcBorders>
            <w:vAlign w:val="center"/>
          </w:tcPr>
          <w:p>
            <w:pPr>
              <w:adjustRightInd w:val="0"/>
              <w:snapToGrid w:val="0"/>
              <w:spacing w:line="400" w:lineRule="atLeast"/>
              <w:jc w:val="center"/>
              <w:rPr>
                <w:rFonts w:ascii="宋体" w:hAnsi="宋体"/>
                <w:bCs/>
                <w:kern w:val="0"/>
                <w:sz w:val="24"/>
                <w:szCs w:val="24"/>
              </w:rPr>
            </w:pPr>
            <w:r>
              <w:rPr>
                <w:rFonts w:hint="eastAsia" w:ascii="宋体" w:hAnsi="宋体"/>
                <w:bCs/>
                <w:kern w:val="0"/>
                <w:sz w:val="24"/>
                <w:szCs w:val="24"/>
              </w:rPr>
              <w:t>声明</w:t>
            </w:r>
          </w:p>
        </w:tc>
        <w:tc>
          <w:tcPr>
            <w:tcW w:w="56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left"/>
              <w:rPr>
                <w:rFonts w:ascii="宋体" w:hAnsi="宋体"/>
                <w:bCs/>
                <w:kern w:val="0"/>
                <w:sz w:val="24"/>
                <w:szCs w:val="24"/>
              </w:rPr>
            </w:pPr>
            <w:r>
              <w:rPr>
                <w:rFonts w:hint="eastAsia" w:ascii="宋体" w:hAnsi="宋体"/>
                <w:bCs/>
                <w:kern w:val="0"/>
                <w:sz w:val="24"/>
                <w:szCs w:val="24"/>
              </w:rPr>
              <w:t>自行声明在“信用中国”网站(www.creditchina.gov.cn) 中未被列入：税收违法黑名单、政府采购严重违法失信行为记录名单；在中国执行信息公开网（http://zxgk.court.gov.cn/shixin/）中未被列入：失信被执行人名单；在“中国政府采购网”(www.ccgp.gov.cn) 中未被列入：政府采购严重违法失信行为记录名单；（供应商自拟格式承诺以上内容，加盖供应商公章在响应文件中提供，若供应商如存在查证的以上相关记录，采购人有权取消其投标（成交）资格）；</w:t>
            </w:r>
          </w:p>
        </w:tc>
        <w:tc>
          <w:tcPr>
            <w:tcW w:w="127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rFonts w:ascii="宋体" w:hAnsi="宋体"/>
                <w:bCs/>
                <w:sz w:val="24"/>
                <w:szCs w:val="24"/>
              </w:rPr>
            </w:pPr>
            <w:r>
              <w:rPr>
                <w:rFonts w:hint="eastAsia" w:ascii="宋体" w:hAnsi="宋体"/>
                <w:bCs/>
                <w:sz w:val="24"/>
                <w:szCs w:val="24"/>
              </w:rPr>
              <w:t>审核响应文件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21" w:type="dxa"/>
            <w:vMerge w:val="continue"/>
            <w:tcBorders>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宋体" w:hAnsi="宋体"/>
                <w:bCs/>
                <w:kern w:val="0"/>
                <w:sz w:val="24"/>
                <w:szCs w:val="24"/>
              </w:rPr>
            </w:pPr>
          </w:p>
        </w:tc>
        <w:tc>
          <w:tcPr>
            <w:tcW w:w="1967" w:type="dxa"/>
            <w:tcBorders>
              <w:left w:val="nil"/>
              <w:bottom w:val="single" w:color="auto" w:sz="4" w:space="0"/>
              <w:right w:val="single" w:color="auto" w:sz="4" w:space="0"/>
            </w:tcBorders>
            <w:shd w:val="clear" w:color="auto" w:fill="auto"/>
            <w:vAlign w:val="center"/>
          </w:tcPr>
          <w:p>
            <w:pPr>
              <w:adjustRightInd w:val="0"/>
              <w:snapToGrid w:val="0"/>
              <w:spacing w:line="400" w:lineRule="atLeast"/>
              <w:jc w:val="center"/>
              <w:rPr>
                <w:rFonts w:ascii="宋体" w:hAnsi="宋体"/>
                <w:bCs/>
                <w:kern w:val="0"/>
                <w:sz w:val="24"/>
                <w:szCs w:val="24"/>
              </w:rPr>
            </w:pPr>
            <w:r>
              <w:rPr>
                <w:rFonts w:hint="eastAsia" w:ascii="宋体" w:hAnsi="宋体"/>
                <w:bCs/>
                <w:kern w:val="0"/>
                <w:sz w:val="24"/>
                <w:szCs w:val="24"/>
              </w:rPr>
              <w:t>特定资格要求</w:t>
            </w:r>
          </w:p>
        </w:tc>
        <w:tc>
          <w:tcPr>
            <w:tcW w:w="5629" w:type="dxa"/>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napToGrid w:val="0"/>
              <w:spacing w:line="400" w:lineRule="atLeast"/>
              <w:jc w:val="left"/>
              <w:rPr>
                <w:rFonts w:ascii="宋体" w:hAnsi="宋体"/>
                <w:bCs/>
                <w:kern w:val="0"/>
                <w:sz w:val="24"/>
                <w:szCs w:val="24"/>
              </w:rPr>
            </w:pPr>
            <w:r>
              <w:rPr>
                <w:rFonts w:hint="eastAsia" w:ascii="宋体" w:hAnsi="宋体"/>
                <w:bCs/>
                <w:kern w:val="0"/>
                <w:sz w:val="24"/>
                <w:szCs w:val="24"/>
              </w:rPr>
              <w:t>无。</w:t>
            </w:r>
          </w:p>
        </w:tc>
        <w:tc>
          <w:tcPr>
            <w:tcW w:w="127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400" w:lineRule="atLeast"/>
              <w:jc w:val="center"/>
              <w:rPr>
                <w:rFonts w:ascii="宋体" w:hAnsi="宋体"/>
                <w:bCs/>
                <w:sz w:val="24"/>
                <w:szCs w:val="24"/>
              </w:rPr>
            </w:pPr>
            <w:r>
              <w:rPr>
                <w:rFonts w:hint="eastAsia" w:ascii="宋体" w:hAnsi="宋体"/>
                <w:bCs/>
                <w:sz w:val="24"/>
                <w:szCs w:val="24"/>
              </w:rPr>
              <w:t>——</w:t>
            </w:r>
          </w:p>
        </w:tc>
      </w:tr>
    </w:tbl>
    <w:p>
      <w:pPr>
        <w:adjustRightInd w:val="0"/>
        <w:snapToGrid w:val="0"/>
        <w:spacing w:line="360" w:lineRule="auto"/>
        <w:jc w:val="left"/>
        <w:rPr>
          <w:rFonts w:ascii="宋体" w:hAnsi="宋体"/>
          <w:bCs/>
          <w:sz w:val="24"/>
          <w:szCs w:val="24"/>
        </w:rPr>
      </w:pPr>
    </w:p>
    <w:p>
      <w:pPr>
        <w:adjustRightInd w:val="0"/>
        <w:snapToGrid w:val="0"/>
        <w:spacing w:line="360" w:lineRule="auto"/>
        <w:jc w:val="left"/>
        <w:rPr>
          <w:rFonts w:ascii="宋体" w:hAnsi="宋体"/>
          <w:bCs/>
          <w:sz w:val="24"/>
          <w:szCs w:val="24"/>
        </w:rPr>
      </w:pPr>
      <w:r>
        <w:rPr>
          <w:rFonts w:hint="eastAsia" w:ascii="宋体" w:hAnsi="宋体"/>
          <w:bCs/>
          <w:sz w:val="24"/>
          <w:szCs w:val="24"/>
        </w:rPr>
        <w:t>附件二：</w:t>
      </w:r>
      <w:r>
        <w:rPr>
          <w:rFonts w:hint="eastAsia" w:ascii="宋体" w:hAnsi="宋体"/>
          <w:sz w:val="24"/>
          <w:szCs w:val="24"/>
        </w:rPr>
        <w:t>有效性、完整性和响应程度</w:t>
      </w:r>
      <w:r>
        <w:rPr>
          <w:rFonts w:hint="eastAsia" w:ascii="宋体" w:hAnsi="宋体"/>
          <w:bCs/>
          <w:sz w:val="24"/>
          <w:szCs w:val="24"/>
        </w:rPr>
        <w:t>检查表</w:t>
      </w:r>
    </w:p>
    <w:p>
      <w:pPr>
        <w:adjustRightInd w:val="0"/>
        <w:snapToGrid w:val="0"/>
        <w:spacing w:line="240" w:lineRule="atLeast"/>
        <w:jc w:val="left"/>
        <w:rPr>
          <w:rFonts w:ascii="宋体" w:hAnsi="宋体"/>
          <w:bCs/>
          <w:sz w:val="24"/>
          <w:szCs w:val="24"/>
        </w:rPr>
      </w:pPr>
      <w:r>
        <w:rPr>
          <w:rFonts w:hint="eastAsia" w:ascii="宋体" w:hAnsi="宋体"/>
          <w:bCs/>
          <w:sz w:val="24"/>
          <w:szCs w:val="24"/>
        </w:rPr>
        <w:t>项目名称：</w:t>
      </w:r>
      <w:r>
        <w:rPr>
          <w:rFonts w:hint="eastAsia" w:ascii="宋体" w:hAnsi="宋体"/>
          <w:bCs/>
          <w:sz w:val="24"/>
          <w:szCs w:val="24"/>
          <w:u w:val="single"/>
        </w:rPr>
        <w:t xml:space="preserve">                        </w:t>
      </w:r>
    </w:p>
    <w:p>
      <w:pPr>
        <w:adjustRightInd w:val="0"/>
        <w:snapToGrid w:val="0"/>
        <w:spacing w:line="240" w:lineRule="atLeast"/>
        <w:jc w:val="left"/>
        <w:rPr>
          <w:rFonts w:ascii="宋体" w:hAnsi="宋体"/>
          <w:bCs/>
          <w:sz w:val="24"/>
          <w:szCs w:val="24"/>
          <w:u w:val="single"/>
        </w:rPr>
      </w:pPr>
      <w:r>
        <w:rPr>
          <w:rFonts w:hint="eastAsia" w:ascii="宋体" w:hAnsi="宋体"/>
          <w:bCs/>
          <w:sz w:val="24"/>
          <w:szCs w:val="24"/>
        </w:rPr>
        <w:t>评审地点：</w:t>
      </w:r>
      <w:r>
        <w:rPr>
          <w:rFonts w:hint="eastAsia" w:ascii="宋体" w:hAnsi="宋体"/>
          <w:bCs/>
          <w:sz w:val="24"/>
          <w:szCs w:val="24"/>
          <w:u w:val="single"/>
        </w:rPr>
        <w:t xml:space="preserve">                        </w:t>
      </w:r>
      <w:r>
        <w:rPr>
          <w:rFonts w:hint="eastAsia" w:ascii="宋体" w:hAnsi="宋体"/>
          <w:bCs/>
          <w:sz w:val="24"/>
          <w:szCs w:val="24"/>
        </w:rPr>
        <w:t xml:space="preserve">              日期：</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tbl>
      <w:tblPr>
        <w:tblStyle w:val="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103"/>
        <w:gridCol w:w="634"/>
        <w:gridCol w:w="709"/>
        <w:gridCol w:w="568"/>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623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bCs/>
                <w:sz w:val="24"/>
                <w:szCs w:val="24"/>
              </w:rPr>
            </w:pPr>
            <w:r>
              <w:rPr>
                <w:rFonts w:hint="eastAsia" w:ascii="宋体" w:hAnsi="宋体"/>
                <w:bCs/>
                <w:sz w:val="24"/>
                <w:szCs w:val="24"/>
              </w:rPr>
              <w:t>审 查 内 容</w:t>
            </w:r>
          </w:p>
        </w:tc>
        <w:tc>
          <w:tcPr>
            <w:tcW w:w="191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bCs/>
                <w:sz w:val="24"/>
                <w:szCs w:val="24"/>
              </w:rPr>
            </w:pPr>
            <w:r>
              <w:rPr>
                <w:rFonts w:hint="eastAsia" w:ascii="宋体" w:hAnsi="宋体"/>
                <w:bCs/>
                <w:sz w:val="24"/>
                <w:szCs w:val="24"/>
              </w:rPr>
              <w:t>供应商</w:t>
            </w:r>
          </w:p>
        </w:tc>
        <w:tc>
          <w:tcPr>
            <w:tcW w:w="1208" w:type="dxa"/>
            <w:vMerge w:val="restar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bCs/>
                <w:sz w:val="24"/>
                <w:szCs w:val="24"/>
              </w:rPr>
            </w:pPr>
            <w:r>
              <w:rPr>
                <w:rFonts w:hint="eastAsia" w:ascii="宋体" w:hAnsi="宋体"/>
                <w:bCs/>
                <w:sz w:val="24"/>
                <w:szCs w:val="24"/>
              </w:rPr>
              <w:t>询比小组成员签字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623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szCs w:val="24"/>
              </w:rPr>
            </w:pPr>
          </w:p>
        </w:tc>
        <w:tc>
          <w:tcPr>
            <w:tcW w:w="634"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568" w:type="dxa"/>
            <w:tcBorders>
              <w:top w:val="single" w:color="auto" w:sz="4" w:space="0"/>
              <w:left w:val="single" w:color="auto" w:sz="4" w:space="0"/>
              <w:bottom w:val="single" w:color="auto" w:sz="6" w:space="0"/>
              <w:right w:val="single" w:color="auto" w:sz="4" w:space="0"/>
            </w:tcBorders>
            <w:vAlign w:val="center"/>
          </w:tcPr>
          <w:p>
            <w:pPr>
              <w:spacing w:line="312" w:lineRule="auto"/>
              <w:jc w:val="left"/>
              <w:rPr>
                <w:rFonts w:ascii="宋体" w:hAnsi="宋体"/>
                <w:bCs/>
                <w:sz w:val="24"/>
                <w:szCs w:val="24"/>
              </w:rPr>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129" w:type="dxa"/>
            <w:vMerge w:val="restart"/>
            <w:tcBorders>
              <w:top w:val="nil"/>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r>
              <w:rPr>
                <w:rFonts w:hint="eastAsia" w:ascii="宋体" w:hAnsi="宋体"/>
                <w:bCs/>
                <w:sz w:val="24"/>
                <w:szCs w:val="24"/>
              </w:rPr>
              <w:t>有效性、完整性和响应程度检查表</w:t>
            </w:r>
          </w:p>
        </w:tc>
        <w:tc>
          <w:tcPr>
            <w:tcW w:w="5103"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r>
              <w:rPr>
                <w:rFonts w:hint="eastAsia" w:ascii="宋体" w:hAnsi="宋体"/>
                <w:bCs/>
                <w:sz w:val="24"/>
                <w:szCs w:val="24"/>
              </w:rPr>
              <w:t>未按照询比文件规定要求签署、盖章的；</w:t>
            </w:r>
          </w:p>
        </w:tc>
        <w:tc>
          <w:tcPr>
            <w:tcW w:w="634"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568" w:type="dxa"/>
            <w:tcBorders>
              <w:top w:val="single" w:color="auto" w:sz="6"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1208" w:type="dxa"/>
            <w:vMerge w:val="restart"/>
            <w:tcBorders>
              <w:top w:val="single" w:color="auto" w:sz="6" w:space="0"/>
              <w:left w:val="single" w:color="auto" w:sz="4" w:space="0"/>
              <w:bottom w:val="single" w:color="auto" w:sz="4" w:space="0"/>
              <w:right w:val="single" w:color="auto" w:sz="4" w:space="0"/>
            </w:tcBorders>
          </w:tcPr>
          <w:p>
            <w:pPr>
              <w:spacing w:line="312" w:lineRule="auto"/>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4"/>
                <w:szCs w:val="24"/>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r>
              <w:rPr>
                <w:rFonts w:hint="eastAsia" w:ascii="宋体" w:hAnsi="宋体"/>
                <w:bCs/>
                <w:sz w:val="24"/>
                <w:szCs w:val="24"/>
              </w:rPr>
              <w:t>合同履行期限不满足询比文件要求；</w:t>
            </w:r>
          </w:p>
        </w:tc>
        <w:tc>
          <w:tcPr>
            <w:tcW w:w="634"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1208"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4"/>
                <w:szCs w:val="24"/>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bCs/>
                <w:sz w:val="24"/>
                <w:szCs w:val="24"/>
              </w:rPr>
            </w:pPr>
            <w:r>
              <w:rPr>
                <w:rFonts w:hint="eastAsia" w:ascii="宋体" w:hAnsi="宋体"/>
                <w:bCs/>
                <w:sz w:val="24"/>
                <w:szCs w:val="24"/>
              </w:rPr>
              <w:t>服务内容及报价不满足询比文件要求</w:t>
            </w:r>
          </w:p>
        </w:tc>
        <w:tc>
          <w:tcPr>
            <w:tcW w:w="634"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1208"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4"/>
                <w:szCs w:val="24"/>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bCs/>
                <w:sz w:val="24"/>
                <w:szCs w:val="24"/>
              </w:rPr>
            </w:pPr>
            <w:r>
              <w:rPr>
                <w:rFonts w:hint="eastAsia" w:ascii="宋体" w:hAnsi="宋体"/>
                <w:bCs/>
                <w:sz w:val="24"/>
                <w:szCs w:val="24"/>
              </w:rPr>
              <w:t>响应文件附有采购人不能接受的附加条件</w:t>
            </w:r>
          </w:p>
        </w:tc>
        <w:tc>
          <w:tcPr>
            <w:tcW w:w="634"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1208"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4"/>
                <w:szCs w:val="24"/>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r>
              <w:rPr>
                <w:rFonts w:hint="eastAsia" w:ascii="宋体" w:hAnsi="宋体"/>
                <w:bCs/>
                <w:sz w:val="24"/>
                <w:szCs w:val="24"/>
              </w:rPr>
              <w:t>不符合法律、法规和询比文件中规定的其它实质性要求的；</w:t>
            </w:r>
          </w:p>
        </w:tc>
        <w:tc>
          <w:tcPr>
            <w:tcW w:w="634"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568" w:type="dxa"/>
            <w:tcBorders>
              <w:top w:val="single" w:color="auto" w:sz="4" w:space="0"/>
              <w:left w:val="single" w:color="auto" w:sz="4" w:space="0"/>
              <w:bottom w:val="nil"/>
              <w:right w:val="single" w:color="auto" w:sz="4" w:space="0"/>
            </w:tcBorders>
            <w:vAlign w:val="center"/>
          </w:tcPr>
          <w:p>
            <w:pPr>
              <w:spacing w:line="312" w:lineRule="auto"/>
              <w:jc w:val="left"/>
              <w:rPr>
                <w:rFonts w:ascii="宋体" w:hAnsi="宋体"/>
                <w:bCs/>
                <w:sz w:val="24"/>
                <w:szCs w:val="24"/>
              </w:rPr>
            </w:pPr>
          </w:p>
        </w:tc>
        <w:tc>
          <w:tcPr>
            <w:tcW w:w="1208"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6232"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bCs/>
                <w:sz w:val="24"/>
                <w:szCs w:val="24"/>
              </w:rPr>
            </w:pPr>
            <w:r>
              <w:rPr>
                <w:rFonts w:hint="eastAsia" w:ascii="宋体" w:hAnsi="宋体"/>
                <w:bCs/>
                <w:sz w:val="24"/>
                <w:szCs w:val="24"/>
              </w:rPr>
              <w:t>评审结论</w:t>
            </w:r>
          </w:p>
        </w:tc>
        <w:tc>
          <w:tcPr>
            <w:tcW w:w="634"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pPr>
              <w:spacing w:line="312" w:lineRule="auto"/>
              <w:jc w:val="left"/>
              <w:rPr>
                <w:rFonts w:ascii="宋体" w:hAnsi="宋体"/>
                <w:bCs/>
                <w:sz w:val="24"/>
                <w:szCs w:val="24"/>
              </w:rPr>
            </w:pPr>
          </w:p>
        </w:tc>
        <w:tc>
          <w:tcPr>
            <w:tcW w:w="1208" w:type="dxa"/>
            <w:vMerge w:val="continue"/>
            <w:tcBorders>
              <w:top w:val="single" w:color="auto" w:sz="6" w:space="0"/>
              <w:left w:val="single" w:color="auto" w:sz="4" w:space="0"/>
              <w:bottom w:val="single" w:color="auto" w:sz="4" w:space="0"/>
              <w:right w:val="single" w:color="auto" w:sz="4" w:space="0"/>
            </w:tcBorders>
            <w:vAlign w:val="center"/>
          </w:tcPr>
          <w:p>
            <w:pPr>
              <w:widowControl/>
              <w:jc w:val="left"/>
              <w:rPr>
                <w:rFonts w:ascii="宋体" w:hAnsi="宋体"/>
                <w:bCs/>
                <w:sz w:val="24"/>
                <w:szCs w:val="24"/>
              </w:rPr>
            </w:pPr>
          </w:p>
        </w:tc>
      </w:tr>
    </w:tbl>
    <w:p>
      <w:pPr>
        <w:spacing w:line="360" w:lineRule="auto"/>
        <w:jc w:val="left"/>
        <w:rPr>
          <w:rFonts w:ascii="宋体" w:hAnsi="宋体"/>
          <w:bCs/>
          <w:sz w:val="24"/>
          <w:szCs w:val="24"/>
        </w:rPr>
      </w:pPr>
      <w:r>
        <w:rPr>
          <w:rFonts w:hint="eastAsia" w:ascii="宋体" w:hAnsi="宋体"/>
          <w:bCs/>
          <w:sz w:val="24"/>
          <w:szCs w:val="24"/>
        </w:rPr>
        <w:t>注：上述评审内容对应填写“合格”或“不合格”，评审结论对应填写“不通过”或“通过”，响应文件属上述情况之一的，询比小组将在有效性、完整性和响应程度评审时作为无效标处理。</w:t>
      </w:r>
    </w:p>
    <w:p>
      <w:pPr>
        <w:spacing w:line="360" w:lineRule="auto"/>
        <w:jc w:val="left"/>
        <w:rPr>
          <w:rFonts w:ascii="宋体" w:hAnsi="宋体"/>
          <w:sz w:val="24"/>
          <w:szCs w:val="24"/>
        </w:rPr>
      </w:pPr>
      <w:r>
        <w:rPr>
          <w:rFonts w:hint="eastAsia" w:ascii="宋体" w:hAnsi="宋体"/>
          <w:sz w:val="24"/>
          <w:szCs w:val="24"/>
        </w:rPr>
        <w:t>附件三</w:t>
      </w:r>
      <w:r>
        <w:rPr>
          <w:rFonts w:hint="eastAsia" w:cs="Calibri"/>
          <w:sz w:val="24"/>
          <w:szCs w:val="24"/>
        </w:rPr>
        <w:t>:</w:t>
      </w:r>
      <w:r>
        <w:rPr>
          <w:rFonts w:hint="eastAsia" w:ascii="宋体" w:hAnsi="宋体"/>
          <w:sz w:val="24"/>
          <w:szCs w:val="24"/>
        </w:rPr>
        <w:t>综合评分表</w:t>
      </w:r>
    </w:p>
    <w:tbl>
      <w:tblPr>
        <w:tblStyle w:val="6"/>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737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360" w:lineRule="auto"/>
              <w:jc w:val="center"/>
              <w:rPr>
                <w:rFonts w:hAnsi="宋体" w:cs="宋体"/>
                <w:kern w:val="2"/>
                <w:sz w:val="24"/>
                <w:szCs w:val="24"/>
              </w:rPr>
            </w:pPr>
            <w:r>
              <w:rPr>
                <w:rFonts w:hint="eastAsia" w:hAnsi="宋体" w:cs="宋体"/>
                <w:kern w:val="2"/>
                <w:sz w:val="24"/>
                <w:szCs w:val="24"/>
              </w:rPr>
              <w:t>评分因素</w:t>
            </w:r>
          </w:p>
        </w:tc>
        <w:tc>
          <w:tcPr>
            <w:tcW w:w="851" w:type="dxa"/>
            <w:tcBorders>
              <w:top w:val="single" w:color="auto" w:sz="4" w:space="0"/>
              <w:left w:val="nil"/>
              <w:bottom w:val="single" w:color="auto" w:sz="4" w:space="0"/>
              <w:right w:val="single" w:color="auto" w:sz="4" w:space="0"/>
            </w:tcBorders>
            <w:vAlign w:val="center"/>
          </w:tcPr>
          <w:p>
            <w:pPr>
              <w:pStyle w:val="8"/>
              <w:adjustRightInd w:val="0"/>
              <w:snapToGrid w:val="0"/>
              <w:spacing w:before="0" w:beforeAutospacing="0" w:after="0" w:afterAutospacing="0" w:line="360" w:lineRule="auto"/>
              <w:jc w:val="center"/>
            </w:pPr>
            <w:r>
              <w:rPr>
                <w:rFonts w:hint="eastAsia"/>
              </w:rPr>
              <w:t>分数</w:t>
            </w:r>
          </w:p>
        </w:tc>
        <w:tc>
          <w:tcPr>
            <w:tcW w:w="7371" w:type="dxa"/>
            <w:tcBorders>
              <w:top w:val="single" w:color="auto" w:sz="4" w:space="0"/>
              <w:left w:val="nil"/>
              <w:bottom w:val="single" w:color="auto" w:sz="4" w:space="0"/>
              <w:right w:val="single" w:color="auto" w:sz="4" w:space="0"/>
            </w:tcBorders>
            <w:vAlign w:val="center"/>
          </w:tcPr>
          <w:p>
            <w:pPr>
              <w:pStyle w:val="8"/>
              <w:adjustRightInd w:val="0"/>
              <w:snapToGrid w:val="0"/>
              <w:spacing w:before="0" w:beforeAutospacing="0" w:after="0" w:afterAutospacing="0" w:line="360" w:lineRule="auto"/>
              <w:jc w:val="center"/>
            </w:pPr>
            <w:r>
              <w:rPr>
                <w:rFonts w:hint="eastAsia"/>
              </w:rPr>
              <w:t>评分规则及说明</w:t>
            </w:r>
          </w:p>
        </w:tc>
        <w:tc>
          <w:tcPr>
            <w:tcW w:w="708" w:type="dxa"/>
            <w:tcBorders>
              <w:top w:val="single" w:color="auto" w:sz="4" w:space="0"/>
              <w:left w:val="nil"/>
              <w:bottom w:val="single" w:color="auto" w:sz="4" w:space="0"/>
              <w:right w:val="single" w:color="auto" w:sz="4" w:space="0"/>
            </w:tcBorders>
            <w:vAlign w:val="center"/>
          </w:tcPr>
          <w:p>
            <w:pPr>
              <w:pStyle w:val="9"/>
              <w:adjustRightInd w:val="0"/>
              <w:snapToGrid w:val="0"/>
              <w:spacing w:before="0" w:beforeAutospacing="0" w:after="0" w:afterAutospacing="0" w:line="360" w:lineRule="auto"/>
              <w:jc w:val="cente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360" w:lineRule="auto"/>
              <w:jc w:val="center"/>
              <w:rPr>
                <w:rFonts w:hAnsi="宋体" w:cs="宋体"/>
                <w:kern w:val="2"/>
                <w:sz w:val="24"/>
                <w:szCs w:val="24"/>
              </w:rPr>
            </w:pPr>
            <w:r>
              <w:rPr>
                <w:rFonts w:hint="eastAsia" w:hAnsi="宋体" w:cs="宋体"/>
                <w:kern w:val="2"/>
                <w:sz w:val="24"/>
                <w:szCs w:val="24"/>
              </w:rPr>
              <w:t>价格</w:t>
            </w:r>
          </w:p>
        </w:tc>
        <w:tc>
          <w:tcPr>
            <w:tcW w:w="851" w:type="dxa"/>
            <w:tcBorders>
              <w:top w:val="single" w:color="auto" w:sz="4" w:space="0"/>
              <w:left w:val="nil"/>
              <w:bottom w:val="single" w:color="auto" w:sz="4" w:space="0"/>
              <w:right w:val="single" w:color="auto" w:sz="4" w:space="0"/>
            </w:tcBorders>
            <w:vAlign w:val="center"/>
          </w:tcPr>
          <w:p>
            <w:pPr>
              <w:pStyle w:val="9"/>
              <w:adjustRightInd w:val="0"/>
              <w:snapToGrid w:val="0"/>
              <w:spacing w:before="0" w:beforeAutospacing="0" w:after="0" w:afterAutospacing="0" w:line="360" w:lineRule="auto"/>
              <w:jc w:val="center"/>
            </w:pPr>
            <w:r>
              <w:rPr>
                <w:rFonts w:hint="eastAsia"/>
              </w:rPr>
              <w:t>30</w:t>
            </w:r>
          </w:p>
        </w:tc>
        <w:tc>
          <w:tcPr>
            <w:tcW w:w="7371"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rPr>
              <w:t>满足询比文件要求且报价最低的供应商的价格为基准价。</w:t>
            </w:r>
          </w:p>
          <w:p>
            <w:pPr>
              <w:pStyle w:val="10"/>
              <w:adjustRightInd w:val="0"/>
              <w:snapToGrid w:val="0"/>
              <w:spacing w:before="0" w:beforeAutospacing="0" w:after="0" w:afterAutospacing="0" w:line="360" w:lineRule="auto"/>
            </w:pPr>
            <w:r>
              <w:rPr>
                <w:rFonts w:hint="eastAsia"/>
              </w:rPr>
              <w:t>报价得分=（基准价/供应商报价）×30</w:t>
            </w:r>
          </w:p>
          <w:p>
            <w:pPr>
              <w:pStyle w:val="11"/>
              <w:adjustRightInd w:val="0"/>
              <w:snapToGrid w:val="0"/>
              <w:spacing w:before="0" w:beforeAutospacing="0" w:after="0" w:afterAutospacing="0" w:line="360" w:lineRule="auto"/>
            </w:pPr>
            <w:r>
              <w:rPr>
                <w:rFonts w:hint="eastAsia"/>
              </w:rPr>
              <w:t>(扣减分值中间值用插入法,小数点后保留两位)。</w:t>
            </w:r>
          </w:p>
        </w:tc>
        <w:tc>
          <w:tcPr>
            <w:tcW w:w="708" w:type="dxa"/>
            <w:tcBorders>
              <w:top w:val="single" w:color="auto" w:sz="4" w:space="0"/>
              <w:left w:val="nil"/>
              <w:bottom w:val="single" w:color="auto" w:sz="4" w:space="0"/>
              <w:right w:val="single" w:color="auto" w:sz="4" w:space="0"/>
            </w:tcBorders>
            <w:vAlign w:val="center"/>
          </w:tcPr>
          <w:p>
            <w:pPr>
              <w:pStyle w:val="9"/>
              <w:adjustRightInd w:val="0"/>
              <w:snapToGrid w:val="0"/>
              <w:spacing w:before="0" w:beforeAutospacing="0" w:after="0" w:afterAutospacing="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360" w:lineRule="auto"/>
              <w:jc w:val="center"/>
              <w:rPr>
                <w:rFonts w:hAnsi="宋体" w:cs="宋体"/>
                <w:kern w:val="2"/>
                <w:sz w:val="24"/>
                <w:szCs w:val="24"/>
              </w:rPr>
            </w:pPr>
            <w:bookmarkStart w:id="0" w:name="_Hlk171610899"/>
            <w:r>
              <w:rPr>
                <w:rFonts w:hint="eastAsia" w:hAnsi="宋体" w:cs="宋体"/>
                <w:kern w:val="2"/>
                <w:sz w:val="24"/>
                <w:szCs w:val="24"/>
              </w:rPr>
              <w:t>技术参数评审</w:t>
            </w:r>
          </w:p>
        </w:tc>
        <w:tc>
          <w:tcPr>
            <w:tcW w:w="851" w:type="dxa"/>
            <w:tcBorders>
              <w:top w:val="single" w:color="auto" w:sz="4" w:space="0"/>
              <w:left w:val="nil"/>
              <w:bottom w:val="single" w:color="auto" w:sz="4" w:space="0"/>
              <w:right w:val="single" w:color="auto" w:sz="4" w:space="0"/>
            </w:tcBorders>
            <w:vAlign w:val="center"/>
          </w:tcPr>
          <w:p>
            <w:pPr>
              <w:pStyle w:val="9"/>
              <w:adjustRightInd w:val="0"/>
              <w:snapToGrid w:val="0"/>
              <w:spacing w:before="0" w:beforeAutospacing="0" w:after="0" w:afterAutospacing="0" w:line="360" w:lineRule="auto"/>
              <w:jc w:val="center"/>
            </w:pPr>
            <w:r>
              <w:rPr>
                <w:rFonts w:hint="eastAsia"/>
              </w:rPr>
              <w:t>20</w:t>
            </w:r>
          </w:p>
        </w:tc>
        <w:tc>
          <w:tcPr>
            <w:tcW w:w="7371"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hint="eastAsia" w:ascii="宋体" w:hAnsi="宋体" w:cs="宋体"/>
                <w:sz w:val="24"/>
                <w:szCs w:val="24"/>
              </w:rPr>
            </w:pPr>
            <w:r>
              <w:rPr>
                <w:rFonts w:hint="eastAsia" w:ascii="宋体" w:hAnsi="宋体" w:cs="宋体"/>
                <w:sz w:val="24"/>
                <w:szCs w:val="24"/>
              </w:rPr>
              <w:t>供应商提供的响应文件规格或详细性能要求不能满足询比文件的，每一项扣</w:t>
            </w:r>
            <w:r>
              <w:rPr>
                <w:rFonts w:hint="eastAsia" w:ascii="宋体" w:hAnsi="宋体" w:cs="宋体"/>
                <w:sz w:val="24"/>
                <w:szCs w:val="24"/>
                <w:lang w:val="en-US" w:eastAsia="zh-CN"/>
              </w:rPr>
              <w:t>2</w:t>
            </w:r>
            <w:r>
              <w:rPr>
                <w:rFonts w:hint="eastAsia" w:ascii="宋体" w:hAnsi="宋体" w:cs="宋体"/>
                <w:sz w:val="24"/>
                <w:szCs w:val="24"/>
              </w:rPr>
              <w:t>分，其中，标注“▲”为核心参数，不满足一项的，扣</w:t>
            </w:r>
            <w:r>
              <w:rPr>
                <w:rFonts w:hint="eastAsia" w:ascii="宋体" w:hAnsi="宋体" w:cs="宋体"/>
                <w:sz w:val="24"/>
                <w:szCs w:val="24"/>
                <w:lang w:val="en-US" w:eastAsia="zh-CN"/>
              </w:rPr>
              <w:t>3</w:t>
            </w:r>
            <w:r>
              <w:rPr>
                <w:rFonts w:hint="eastAsia" w:ascii="宋体" w:hAnsi="宋体" w:cs="宋体"/>
                <w:sz w:val="24"/>
                <w:szCs w:val="24"/>
              </w:rPr>
              <w:t>分，分数扣完为止，本项满分</w:t>
            </w:r>
            <w:r>
              <w:rPr>
                <w:rFonts w:hint="eastAsia" w:ascii="宋体" w:hAnsi="宋体" w:cs="宋体"/>
                <w:sz w:val="24"/>
                <w:szCs w:val="24"/>
                <w:lang w:val="en-US" w:eastAsia="zh-CN"/>
              </w:rPr>
              <w:t>2</w:t>
            </w:r>
            <w:r>
              <w:rPr>
                <w:rFonts w:hint="eastAsia" w:ascii="宋体" w:hAnsi="宋体" w:cs="宋体"/>
                <w:sz w:val="24"/>
                <w:szCs w:val="24"/>
              </w:rPr>
              <w:t>0分，正偏离不加分。</w:t>
            </w:r>
          </w:p>
          <w:p>
            <w:pPr>
              <w:adjustRightInd w:val="0"/>
              <w:snapToGrid w:val="0"/>
              <w:spacing w:line="360" w:lineRule="auto"/>
              <w:rPr>
                <w:rFonts w:ascii="宋体" w:hAnsi="宋体" w:cs="宋体"/>
                <w:sz w:val="24"/>
                <w:szCs w:val="24"/>
              </w:rPr>
            </w:pPr>
            <w:r>
              <w:rPr>
                <w:rFonts w:hint="eastAsia" w:ascii="宋体" w:hAnsi="宋体" w:cs="宋体"/>
                <w:sz w:val="24"/>
                <w:szCs w:val="24"/>
              </w:rPr>
              <w:t>注：提供相关技术支持材料（复印件加盖公章）。</w:t>
            </w:r>
          </w:p>
        </w:tc>
        <w:tc>
          <w:tcPr>
            <w:tcW w:w="708" w:type="dxa"/>
            <w:tcBorders>
              <w:top w:val="single" w:color="auto" w:sz="4" w:space="0"/>
              <w:left w:val="nil"/>
              <w:bottom w:val="single" w:color="auto" w:sz="4" w:space="0"/>
              <w:right w:val="single" w:color="auto" w:sz="4" w:space="0"/>
            </w:tcBorders>
            <w:vAlign w:val="center"/>
          </w:tcPr>
          <w:p>
            <w:pPr>
              <w:pStyle w:val="9"/>
              <w:adjustRightInd w:val="0"/>
              <w:snapToGrid w:val="0"/>
              <w:spacing w:before="0" w:beforeAutospacing="0" w:after="0" w:afterAutospacing="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360" w:lineRule="auto"/>
              <w:jc w:val="center"/>
              <w:rPr>
                <w:rFonts w:hAnsi="宋体" w:cs="宋体"/>
                <w:kern w:val="2"/>
                <w:sz w:val="24"/>
                <w:szCs w:val="24"/>
                <w:lang w:val="en-US"/>
              </w:rPr>
            </w:pPr>
            <w:r>
              <w:rPr>
                <w:rFonts w:hint="eastAsia" w:hAnsi="宋体" w:cs="宋体"/>
                <w:kern w:val="2"/>
                <w:sz w:val="24"/>
                <w:szCs w:val="24"/>
                <w:lang w:val="en-US"/>
              </w:rPr>
              <w:t>项目实施方案</w:t>
            </w:r>
          </w:p>
        </w:tc>
        <w:tc>
          <w:tcPr>
            <w:tcW w:w="851" w:type="dxa"/>
            <w:tcBorders>
              <w:top w:val="single" w:color="auto" w:sz="4" w:space="0"/>
              <w:left w:val="nil"/>
              <w:bottom w:val="single" w:color="auto" w:sz="4" w:space="0"/>
              <w:right w:val="single" w:color="auto" w:sz="4" w:space="0"/>
            </w:tcBorders>
            <w:vAlign w:val="center"/>
          </w:tcPr>
          <w:p>
            <w:pPr>
              <w:pStyle w:val="3"/>
              <w:adjustRightInd w:val="0"/>
              <w:snapToGrid w:val="0"/>
              <w:spacing w:line="360" w:lineRule="auto"/>
              <w:jc w:val="center"/>
              <w:rPr>
                <w:rFonts w:hAnsi="宋体" w:cs="宋体"/>
                <w:kern w:val="2"/>
                <w:sz w:val="24"/>
                <w:szCs w:val="24"/>
                <w:lang w:val="en-US"/>
              </w:rPr>
            </w:pPr>
            <w:r>
              <w:rPr>
                <w:rFonts w:hint="eastAsia" w:hAnsi="宋体" w:cs="宋体"/>
                <w:kern w:val="2"/>
                <w:sz w:val="24"/>
                <w:szCs w:val="24"/>
                <w:lang w:val="en-US"/>
              </w:rPr>
              <w:t>15</w:t>
            </w:r>
          </w:p>
        </w:tc>
        <w:tc>
          <w:tcPr>
            <w:tcW w:w="7371" w:type="dxa"/>
            <w:tcBorders>
              <w:top w:val="single" w:color="auto" w:sz="4" w:space="0"/>
              <w:left w:val="nil"/>
              <w:bottom w:val="single" w:color="auto" w:sz="4" w:space="0"/>
              <w:right w:val="single" w:color="auto" w:sz="4" w:space="0"/>
            </w:tcBorders>
            <w:vAlign w:val="center"/>
          </w:tcPr>
          <w:p>
            <w:pPr>
              <w:pStyle w:val="10"/>
              <w:adjustRightInd w:val="0"/>
              <w:snapToGrid w:val="0"/>
              <w:spacing w:before="0" w:beforeAutospacing="0" w:after="0" w:afterAutospacing="0" w:line="360" w:lineRule="auto"/>
            </w:pPr>
            <w:r>
              <w:rPr>
                <w:rFonts w:hint="eastAsia"/>
              </w:rPr>
              <w:t>根据供应商对本项目的实施方案进行评审，包括但不限于对供货、验收方案、人员安排、进度计划及保证措施等。</w:t>
            </w:r>
          </w:p>
          <w:p>
            <w:pPr>
              <w:pStyle w:val="10"/>
              <w:adjustRightInd w:val="0"/>
              <w:snapToGrid w:val="0"/>
              <w:spacing w:before="0" w:beforeAutospacing="0" w:after="0" w:afterAutospacing="0" w:line="360" w:lineRule="auto"/>
            </w:pPr>
            <w:r>
              <w:rPr>
                <w:rFonts w:hint="eastAsia"/>
              </w:rPr>
              <w:t>（1）项目供货、验收方案编制全面、内容完整、科学合理、实施计划可行性合理，能提供具体针对性方案，能够切实有效的指导本项目的实施，对设备及人员投入数量充足，有明确的项目进度计划，有具体的保证措施，能够提前完成供货的，得15分；</w:t>
            </w:r>
          </w:p>
          <w:p>
            <w:pPr>
              <w:pStyle w:val="10"/>
              <w:adjustRightInd w:val="0"/>
              <w:snapToGrid w:val="0"/>
              <w:spacing w:before="0" w:beforeAutospacing="0" w:after="0" w:afterAutospacing="0" w:line="360" w:lineRule="auto"/>
            </w:pPr>
            <w:r>
              <w:rPr>
                <w:rFonts w:hint="eastAsia"/>
              </w:rPr>
              <w:t>（2）项目供货、验收方案完整，满足项目的需要的，可实施性一般，对设备及人员投入数量满足本项目实际需求，有进度计划及保证措施，能够提前完成供货的，得13分；</w:t>
            </w:r>
          </w:p>
          <w:p>
            <w:pPr>
              <w:pStyle w:val="10"/>
              <w:adjustRightInd w:val="0"/>
              <w:snapToGrid w:val="0"/>
              <w:spacing w:before="0" w:beforeAutospacing="0" w:after="0" w:afterAutospacing="0" w:line="360" w:lineRule="auto"/>
            </w:pPr>
            <w:r>
              <w:rPr>
                <w:rFonts w:hint="eastAsia"/>
              </w:rPr>
              <w:t>（3）项目供货、验收方案基本完整，基本满足项目的需要的，可实施性一般，对设备及人员投入数量满足本项目实际需求，有进度计划及保证措施，能在规定时间内完成供货的，得10分；</w:t>
            </w:r>
          </w:p>
          <w:p>
            <w:pPr>
              <w:pStyle w:val="10"/>
              <w:adjustRightInd w:val="0"/>
              <w:snapToGrid w:val="0"/>
              <w:spacing w:before="0" w:beforeAutospacing="0" w:after="0" w:afterAutospacing="0" w:line="360" w:lineRule="auto"/>
            </w:pPr>
            <w:r>
              <w:rPr>
                <w:rFonts w:hint="eastAsia"/>
              </w:rPr>
              <w:t>（4）项目供货、验收方案较为一般，对设备及人员投入数量基本满足采购要求，能基本保证本项目实施，有进度计划的，得7分；</w:t>
            </w:r>
          </w:p>
          <w:p>
            <w:pPr>
              <w:pStyle w:val="10"/>
              <w:adjustRightInd w:val="0"/>
              <w:snapToGrid w:val="0"/>
              <w:spacing w:before="0" w:beforeAutospacing="0" w:after="0" w:afterAutospacing="0" w:line="360" w:lineRule="auto"/>
            </w:pPr>
            <w:r>
              <w:rPr>
                <w:rFonts w:hint="eastAsia"/>
              </w:rPr>
              <w:t>（5）项目供货、验收方案较为粗略，对设备及人员投入数量较少，能基本保证本项目实施，有简单的进度计划的，得5分；</w:t>
            </w:r>
          </w:p>
          <w:p>
            <w:pPr>
              <w:pStyle w:val="10"/>
              <w:adjustRightInd w:val="0"/>
              <w:snapToGrid w:val="0"/>
              <w:spacing w:before="0" w:beforeAutospacing="0" w:after="0" w:afterAutospacing="0" w:line="360" w:lineRule="auto"/>
            </w:pPr>
            <w:r>
              <w:rPr>
                <w:rFonts w:hint="eastAsia"/>
              </w:rPr>
              <w:t>（6）项目供货、验收方案粗略，能基本保证本项目实施，有简单的进度计划的，得3分；</w:t>
            </w:r>
          </w:p>
          <w:p>
            <w:pPr>
              <w:pStyle w:val="10"/>
              <w:adjustRightInd w:val="0"/>
              <w:snapToGrid w:val="0"/>
              <w:spacing w:before="0" w:beforeAutospacing="0" w:after="0" w:afterAutospacing="0" w:line="360" w:lineRule="auto"/>
              <w:jc w:val="both"/>
            </w:pPr>
            <w:r>
              <w:rPr>
                <w:rFonts w:hint="eastAsia"/>
              </w:rPr>
              <w:t>（7）项目供货、验收方案不具体，对设备及人员投入数量较少，无法满足项目的需要的，得1分。</w:t>
            </w:r>
          </w:p>
        </w:tc>
        <w:tc>
          <w:tcPr>
            <w:tcW w:w="708" w:type="dxa"/>
            <w:tcBorders>
              <w:top w:val="single" w:color="auto" w:sz="4" w:space="0"/>
              <w:left w:val="nil"/>
              <w:bottom w:val="single" w:color="auto" w:sz="4" w:space="0"/>
              <w:right w:val="single" w:color="auto" w:sz="4" w:space="0"/>
            </w:tcBorders>
            <w:vAlign w:val="center"/>
          </w:tcPr>
          <w:p>
            <w:pPr>
              <w:pStyle w:val="9"/>
              <w:adjustRightInd w:val="0"/>
              <w:snapToGrid w:val="0"/>
              <w:spacing w:before="0" w:beforeAutospacing="0" w:after="0" w:afterAutospacing="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360" w:lineRule="auto"/>
              <w:jc w:val="center"/>
              <w:rPr>
                <w:rFonts w:hAnsi="宋体" w:cs="宋体"/>
                <w:kern w:val="2"/>
                <w:sz w:val="24"/>
                <w:szCs w:val="24"/>
                <w:lang w:val="en-US"/>
              </w:rPr>
            </w:pPr>
            <w:r>
              <w:rPr>
                <w:rFonts w:hint="eastAsia" w:hAnsi="宋体" w:cs="宋体"/>
                <w:kern w:val="2"/>
                <w:sz w:val="24"/>
                <w:szCs w:val="24"/>
                <w:lang w:val="en-US"/>
              </w:rPr>
              <w:t>质量承诺及保障措施</w:t>
            </w:r>
          </w:p>
        </w:tc>
        <w:tc>
          <w:tcPr>
            <w:tcW w:w="851" w:type="dxa"/>
            <w:tcBorders>
              <w:top w:val="single" w:color="auto" w:sz="4" w:space="0"/>
              <w:left w:val="nil"/>
              <w:bottom w:val="single" w:color="auto" w:sz="4" w:space="0"/>
              <w:right w:val="single" w:color="auto" w:sz="4" w:space="0"/>
            </w:tcBorders>
            <w:vAlign w:val="center"/>
          </w:tcPr>
          <w:p>
            <w:pPr>
              <w:pStyle w:val="3"/>
              <w:adjustRightInd w:val="0"/>
              <w:snapToGrid w:val="0"/>
              <w:spacing w:line="360" w:lineRule="auto"/>
              <w:jc w:val="center"/>
              <w:rPr>
                <w:rFonts w:hAnsi="宋体" w:cs="宋体"/>
                <w:kern w:val="2"/>
                <w:sz w:val="24"/>
                <w:szCs w:val="24"/>
                <w:lang w:val="en-US"/>
              </w:rPr>
            </w:pPr>
            <w:r>
              <w:rPr>
                <w:rFonts w:hint="eastAsia" w:hAnsi="宋体" w:cs="宋体"/>
                <w:kern w:val="2"/>
                <w:sz w:val="24"/>
                <w:szCs w:val="24"/>
                <w:lang w:val="en-US"/>
              </w:rPr>
              <w:t>15</w:t>
            </w:r>
          </w:p>
        </w:tc>
        <w:tc>
          <w:tcPr>
            <w:tcW w:w="7371" w:type="dxa"/>
            <w:tcBorders>
              <w:top w:val="single" w:color="auto" w:sz="4" w:space="0"/>
              <w:left w:val="nil"/>
              <w:bottom w:val="single" w:color="auto" w:sz="4" w:space="0"/>
              <w:right w:val="single" w:color="auto" w:sz="4" w:space="0"/>
            </w:tcBorders>
            <w:vAlign w:val="center"/>
          </w:tcPr>
          <w:p>
            <w:pPr>
              <w:pStyle w:val="10"/>
              <w:adjustRightInd w:val="0"/>
              <w:snapToGrid w:val="0"/>
              <w:spacing w:before="0" w:beforeAutospacing="0" w:after="0" w:afterAutospacing="0" w:line="360" w:lineRule="auto"/>
            </w:pPr>
            <w:r>
              <w:rPr>
                <w:rFonts w:hint="eastAsia"/>
              </w:rPr>
              <w:t>针对本项目的采购需求，对质量承诺及保障措施进行评审。包括但不限于货物的包装、运输、时间进度控制，验收等方面。</w:t>
            </w:r>
          </w:p>
          <w:p>
            <w:pPr>
              <w:pStyle w:val="10"/>
              <w:adjustRightInd w:val="0"/>
              <w:snapToGrid w:val="0"/>
              <w:spacing w:before="0" w:beforeAutospacing="0" w:after="0" w:afterAutospacing="0" w:line="360" w:lineRule="auto"/>
            </w:pPr>
            <w:r>
              <w:rPr>
                <w:rFonts w:hint="eastAsia"/>
              </w:rPr>
              <w:t>（1）据采购需求，制定的质量承诺及质量保证措施完整、详细、可行，有齐全的检测报告；有质量保证方案；有质量保证措施；有运输过程中的质量控制方案；有具体的包装、运输保护措施；有质量控制制度；有明确的违约承诺及违约责任的，违约承诺可行性强，有详细、可行的验收方案的，得15分。</w:t>
            </w:r>
          </w:p>
          <w:p>
            <w:pPr>
              <w:pStyle w:val="10"/>
              <w:adjustRightInd w:val="0"/>
              <w:snapToGrid w:val="0"/>
              <w:spacing w:before="0" w:beforeAutospacing="0" w:after="0" w:afterAutospacing="0" w:line="360" w:lineRule="auto"/>
            </w:pPr>
            <w:r>
              <w:rPr>
                <w:rFonts w:hint="eastAsia"/>
              </w:rPr>
              <w:t>（2）据采购需求，制定的质量承诺及质量保证措施完整、可行，有检测报告；有质量保证方案；有质量保证措施；有具体的包装、运输保护措施，有明确的违约承诺及违约责任，有可行的验收方案的，得13分。</w:t>
            </w:r>
          </w:p>
          <w:p>
            <w:pPr>
              <w:pStyle w:val="10"/>
              <w:adjustRightInd w:val="0"/>
              <w:snapToGrid w:val="0"/>
              <w:spacing w:before="0" w:beforeAutospacing="0" w:after="0" w:afterAutospacing="0" w:line="360" w:lineRule="auto"/>
            </w:pPr>
            <w:r>
              <w:rPr>
                <w:rFonts w:hint="eastAsia"/>
              </w:rPr>
              <w:t>（3）据采购需求，制定的质量承诺及质量保证措施完整、可行，有检测报告，有质量保证方案；有质量保证措施；有具体的包装、运输保护措施，有违约承诺及违约责任，有简单验收方案的，得10分。</w:t>
            </w:r>
          </w:p>
          <w:p>
            <w:pPr>
              <w:pStyle w:val="10"/>
              <w:adjustRightInd w:val="0"/>
              <w:snapToGrid w:val="0"/>
              <w:spacing w:before="0" w:beforeAutospacing="0" w:after="0" w:afterAutospacing="0" w:line="360" w:lineRule="auto"/>
            </w:pPr>
            <w:r>
              <w:rPr>
                <w:rFonts w:hint="eastAsia"/>
              </w:rPr>
              <w:t>（4）据采购需求，制定的质量承诺及质量保证措施完整、基本可行，有质量保证方案；有质量保证措施；有具体的包装、运输保护措施，有违约承诺及违约责任的，得7分。</w:t>
            </w:r>
          </w:p>
          <w:p>
            <w:pPr>
              <w:pStyle w:val="10"/>
              <w:adjustRightInd w:val="0"/>
              <w:snapToGrid w:val="0"/>
              <w:spacing w:before="0" w:beforeAutospacing="0" w:after="0" w:afterAutospacing="0" w:line="360" w:lineRule="auto"/>
            </w:pPr>
            <w:r>
              <w:rPr>
                <w:rFonts w:hint="eastAsia"/>
              </w:rPr>
              <w:t>（5）据采购需求，制定的质量承诺及质量保证措施基本完整，有质量保证方案；有质量保证措施；有具体的包装、运输保护措施，有违约承诺及违约责任的，得5分。</w:t>
            </w:r>
          </w:p>
          <w:p>
            <w:pPr>
              <w:pStyle w:val="10"/>
              <w:adjustRightInd w:val="0"/>
              <w:snapToGrid w:val="0"/>
              <w:spacing w:before="0" w:beforeAutospacing="0" w:after="0" w:afterAutospacing="0" w:line="360" w:lineRule="auto"/>
            </w:pPr>
            <w:r>
              <w:rPr>
                <w:rFonts w:hint="eastAsia"/>
              </w:rPr>
              <w:t>（6）据采购需求，制定的质量承诺及质量保证措施，有质量保证方案；有质量保证措施；无违约承诺及违约责任的，得3分。</w:t>
            </w:r>
          </w:p>
          <w:p>
            <w:pPr>
              <w:pStyle w:val="10"/>
              <w:adjustRightInd w:val="0"/>
              <w:snapToGrid w:val="0"/>
              <w:spacing w:before="0" w:beforeAutospacing="0" w:after="0" w:afterAutospacing="0" w:line="360" w:lineRule="auto"/>
            </w:pPr>
            <w:r>
              <w:rPr>
                <w:rFonts w:hint="eastAsia"/>
              </w:rPr>
              <w:t>（7）据采购需求，制定的质量承诺及质量保证措施简单，有质量保证方案的；得1分。</w:t>
            </w:r>
          </w:p>
        </w:tc>
        <w:tc>
          <w:tcPr>
            <w:tcW w:w="708" w:type="dxa"/>
            <w:tcBorders>
              <w:top w:val="single" w:color="auto" w:sz="4" w:space="0"/>
              <w:left w:val="nil"/>
              <w:bottom w:val="single" w:color="auto" w:sz="4" w:space="0"/>
              <w:right w:val="single" w:color="auto" w:sz="4" w:space="0"/>
            </w:tcBorders>
            <w:vAlign w:val="center"/>
          </w:tcPr>
          <w:p>
            <w:pPr>
              <w:pStyle w:val="9"/>
              <w:adjustRightInd w:val="0"/>
              <w:snapToGrid w:val="0"/>
              <w:spacing w:before="0" w:beforeAutospacing="0" w:after="0" w:afterAutospacing="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360" w:lineRule="auto"/>
              <w:jc w:val="center"/>
              <w:rPr>
                <w:rFonts w:hAnsi="宋体" w:cs="宋体"/>
                <w:kern w:val="2"/>
                <w:sz w:val="24"/>
                <w:szCs w:val="24"/>
                <w:lang w:val="en-US"/>
              </w:rPr>
            </w:pPr>
            <w:r>
              <w:rPr>
                <w:rFonts w:hint="eastAsia" w:hAnsi="宋体" w:cs="宋体"/>
                <w:kern w:val="2"/>
                <w:sz w:val="24"/>
                <w:szCs w:val="24"/>
                <w:lang w:val="en-US"/>
              </w:rPr>
              <w:t>售后服务</w:t>
            </w:r>
          </w:p>
        </w:tc>
        <w:tc>
          <w:tcPr>
            <w:tcW w:w="851" w:type="dxa"/>
            <w:tcBorders>
              <w:top w:val="single" w:color="auto" w:sz="4" w:space="0"/>
              <w:left w:val="nil"/>
              <w:bottom w:val="single" w:color="auto" w:sz="4" w:space="0"/>
              <w:right w:val="single" w:color="auto" w:sz="4" w:space="0"/>
            </w:tcBorders>
            <w:vAlign w:val="center"/>
          </w:tcPr>
          <w:p>
            <w:pPr>
              <w:pStyle w:val="3"/>
              <w:adjustRightInd w:val="0"/>
              <w:snapToGrid w:val="0"/>
              <w:spacing w:line="360" w:lineRule="auto"/>
              <w:jc w:val="center"/>
              <w:rPr>
                <w:rFonts w:hAnsi="宋体" w:cs="宋体"/>
                <w:kern w:val="2"/>
                <w:sz w:val="24"/>
                <w:szCs w:val="24"/>
                <w:lang w:val="en-US"/>
              </w:rPr>
            </w:pPr>
            <w:r>
              <w:rPr>
                <w:rFonts w:hint="eastAsia" w:hAnsi="宋体" w:cs="宋体"/>
                <w:kern w:val="2"/>
                <w:sz w:val="24"/>
                <w:szCs w:val="24"/>
                <w:lang w:val="en-US"/>
              </w:rPr>
              <w:t>15</w:t>
            </w:r>
          </w:p>
        </w:tc>
        <w:tc>
          <w:tcPr>
            <w:tcW w:w="7371" w:type="dxa"/>
            <w:tcBorders>
              <w:top w:val="single" w:color="auto" w:sz="4" w:space="0"/>
              <w:left w:val="nil"/>
              <w:bottom w:val="single" w:color="auto" w:sz="4" w:space="0"/>
              <w:right w:val="single" w:color="auto" w:sz="4" w:space="0"/>
            </w:tcBorders>
            <w:vAlign w:val="center"/>
          </w:tcPr>
          <w:p>
            <w:pPr>
              <w:pStyle w:val="10"/>
              <w:adjustRightInd w:val="0"/>
              <w:snapToGrid w:val="0"/>
              <w:spacing w:before="0" w:beforeAutospacing="0" w:after="0" w:afterAutospacing="0" w:line="360" w:lineRule="auto"/>
            </w:pPr>
            <w:r>
              <w:rPr>
                <w:rFonts w:hint="eastAsia"/>
              </w:rPr>
              <w:t>针对售后服务承诺及措施满足询比文件要求的详细程度、可行程度、响应时间（处理问题、质保期、响应时间等）、售后服务人员、技术支持人员等独立进行评分：</w:t>
            </w:r>
          </w:p>
          <w:p>
            <w:pPr>
              <w:pStyle w:val="10"/>
              <w:adjustRightInd w:val="0"/>
              <w:snapToGrid w:val="0"/>
              <w:spacing w:before="0" w:beforeAutospacing="0" w:after="0" w:afterAutospacing="0" w:line="360" w:lineRule="auto"/>
            </w:pPr>
            <w:r>
              <w:rPr>
                <w:rFonts w:hint="eastAsia"/>
              </w:rPr>
              <w:t xml:space="preserve">（1）针对本项目特点提供的售后服务及保证措施具体、详细；有具体的售后服务方案及服务内容；有对口的售后服务网点，有具体的响应时间及解决问题时间；有明确的产品质保期；服务机构、服务人员详细，能切实解决使用过程中可能发生的问题，承诺详细具体、合理可行、保障措施具体完善，有相应的处罚措施及违约处罚，处罚金额详细、明确的；得15分。 </w:t>
            </w:r>
          </w:p>
          <w:p>
            <w:pPr>
              <w:pStyle w:val="10"/>
              <w:adjustRightInd w:val="0"/>
              <w:snapToGrid w:val="0"/>
              <w:spacing w:before="0" w:beforeAutospacing="0" w:after="0" w:afterAutospacing="0" w:line="360" w:lineRule="auto"/>
            </w:pPr>
            <w:r>
              <w:rPr>
                <w:rFonts w:hint="eastAsia"/>
              </w:rPr>
              <w:t>（2）针对本项目特点提供售后服务及保证措施；有售后服务方案及服务内容；有售后服务网点，有响应时间及解决问题时间；有明确的质保期，有服务机构、服务人员，能解决使用过程中可能发生的问题，承诺合理、保障措施具体的，有相应的处罚措施及违约承诺的；得13分。</w:t>
            </w:r>
          </w:p>
          <w:p>
            <w:pPr>
              <w:pStyle w:val="10"/>
              <w:adjustRightInd w:val="0"/>
              <w:snapToGrid w:val="0"/>
              <w:spacing w:before="0" w:beforeAutospacing="0" w:after="0" w:afterAutospacing="0" w:line="360" w:lineRule="auto"/>
            </w:pPr>
            <w:r>
              <w:rPr>
                <w:rFonts w:hint="eastAsia"/>
              </w:rPr>
              <w:t>（3）针对本项目特点提供售后服务及保证措施；有售后服务方案及服务内容；有具体的响应时间及解决问题时间，服务机构、服务人员，基本能解决使用过程中可能发生的问题，但承诺粗略、保障措施基本可行，有处罚措施但不具体的；得10分。</w:t>
            </w:r>
          </w:p>
          <w:p>
            <w:pPr>
              <w:pStyle w:val="10"/>
              <w:adjustRightInd w:val="0"/>
              <w:snapToGrid w:val="0"/>
              <w:spacing w:before="0" w:beforeAutospacing="0" w:after="0" w:afterAutospacing="0" w:line="360" w:lineRule="auto"/>
            </w:pPr>
            <w:r>
              <w:rPr>
                <w:rFonts w:hint="eastAsia"/>
              </w:rPr>
              <w:t>（4）针对本项目特点提供售后服务保证措施；有售后服务方案及服务内容；有响应时间及解决问题时间，有售后服务保证措施及承诺，但承诺粗略、保障措施基本可行，无相应处罚措施的；得7分。</w:t>
            </w:r>
          </w:p>
          <w:p>
            <w:pPr>
              <w:pStyle w:val="10"/>
              <w:adjustRightInd w:val="0"/>
              <w:snapToGrid w:val="0"/>
              <w:spacing w:before="0" w:beforeAutospacing="0" w:after="0" w:afterAutospacing="0" w:line="360" w:lineRule="auto"/>
            </w:pPr>
            <w:r>
              <w:rPr>
                <w:rFonts w:hint="eastAsia"/>
              </w:rPr>
              <w:t>（5）针对本项目特点提供售后服务保证措施一般；售后服务方案及服务内容一般；有响应时间及解决问题时间的；得5分。</w:t>
            </w:r>
          </w:p>
          <w:p>
            <w:pPr>
              <w:pStyle w:val="10"/>
              <w:adjustRightInd w:val="0"/>
              <w:snapToGrid w:val="0"/>
              <w:spacing w:before="0" w:beforeAutospacing="0" w:after="0" w:afterAutospacing="0" w:line="360" w:lineRule="auto"/>
            </w:pPr>
            <w:r>
              <w:rPr>
                <w:rFonts w:hint="eastAsia"/>
              </w:rPr>
              <w:t>（6）针对本项目特点提供售后服务保证措施较差；有简单的售后服务方案及服务内容；有响应时间及解决问题时间的；得3分。</w:t>
            </w:r>
          </w:p>
          <w:p>
            <w:pPr>
              <w:pStyle w:val="10"/>
              <w:adjustRightInd w:val="0"/>
              <w:snapToGrid w:val="0"/>
              <w:spacing w:before="0" w:beforeAutospacing="0" w:after="0" w:afterAutospacing="0" w:line="360" w:lineRule="auto"/>
            </w:pPr>
            <w:r>
              <w:rPr>
                <w:rFonts w:hint="eastAsia"/>
              </w:rPr>
              <w:t>（7）针对本项目特点提供售后服务保证措施差的；得1分。</w:t>
            </w:r>
          </w:p>
        </w:tc>
        <w:tc>
          <w:tcPr>
            <w:tcW w:w="708" w:type="dxa"/>
            <w:tcBorders>
              <w:top w:val="single" w:color="auto" w:sz="4" w:space="0"/>
              <w:left w:val="nil"/>
              <w:bottom w:val="single" w:color="auto" w:sz="4" w:space="0"/>
              <w:right w:val="single" w:color="auto" w:sz="4" w:space="0"/>
            </w:tcBorders>
            <w:vAlign w:val="center"/>
          </w:tcPr>
          <w:p>
            <w:pPr>
              <w:pStyle w:val="9"/>
              <w:adjustRightInd w:val="0"/>
              <w:snapToGrid w:val="0"/>
              <w:spacing w:before="0" w:beforeAutospacing="0" w:after="0" w:afterAutospacing="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360" w:lineRule="auto"/>
              <w:jc w:val="center"/>
              <w:rPr>
                <w:rFonts w:hAnsi="宋体"/>
                <w:sz w:val="24"/>
                <w:szCs w:val="24"/>
              </w:rPr>
            </w:pPr>
            <w:r>
              <w:rPr>
                <w:rFonts w:hAnsi="宋体"/>
                <w:sz w:val="24"/>
                <w:szCs w:val="24"/>
              </w:rPr>
              <w:t>业绩</w:t>
            </w:r>
          </w:p>
        </w:tc>
        <w:tc>
          <w:tcPr>
            <w:tcW w:w="851" w:type="dxa"/>
            <w:tcBorders>
              <w:top w:val="single" w:color="auto" w:sz="4" w:space="0"/>
              <w:left w:val="nil"/>
              <w:bottom w:val="single" w:color="auto" w:sz="4" w:space="0"/>
              <w:right w:val="single" w:color="auto" w:sz="4" w:space="0"/>
            </w:tcBorders>
            <w:vAlign w:val="center"/>
          </w:tcPr>
          <w:p>
            <w:pPr>
              <w:pStyle w:val="3"/>
              <w:adjustRightInd w:val="0"/>
              <w:snapToGrid w:val="0"/>
              <w:spacing w:line="360" w:lineRule="auto"/>
              <w:jc w:val="center"/>
              <w:rPr>
                <w:rFonts w:hAnsi="宋体"/>
                <w:sz w:val="24"/>
                <w:szCs w:val="24"/>
              </w:rPr>
            </w:pPr>
            <w:r>
              <w:rPr>
                <w:rFonts w:hAnsi="宋体"/>
                <w:sz w:val="24"/>
                <w:szCs w:val="24"/>
              </w:rPr>
              <w:t>5</w:t>
            </w:r>
          </w:p>
        </w:tc>
        <w:tc>
          <w:tcPr>
            <w:tcW w:w="7371"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left"/>
              <w:rPr>
                <w:rFonts w:ascii="宋体" w:hAnsi="宋体"/>
                <w:sz w:val="24"/>
                <w:szCs w:val="24"/>
                <w:shd w:val="clear" w:color="auto" w:fill="FFFFFF"/>
              </w:rPr>
            </w:pPr>
            <w:r>
              <w:rPr>
                <w:rFonts w:ascii="宋体" w:hAnsi="宋体"/>
                <w:sz w:val="24"/>
                <w:szCs w:val="24"/>
                <w:shd w:val="clear" w:color="auto" w:fill="FFFFFF"/>
              </w:rPr>
              <w:t>提供类似供货业绩，每提供一个得1分，满分为5分；</w:t>
            </w:r>
          </w:p>
          <w:p>
            <w:pPr>
              <w:adjustRightInd w:val="0"/>
              <w:snapToGrid w:val="0"/>
              <w:spacing w:line="360" w:lineRule="auto"/>
              <w:rPr>
                <w:rFonts w:ascii="宋体" w:hAnsi="宋体"/>
                <w:bCs/>
                <w:kern w:val="0"/>
                <w:sz w:val="24"/>
                <w:szCs w:val="24"/>
              </w:rPr>
            </w:pPr>
            <w:r>
              <w:rPr>
                <w:rFonts w:ascii="宋体" w:hAnsi="宋体"/>
                <w:sz w:val="24"/>
                <w:szCs w:val="24"/>
                <w:shd w:val="clear" w:color="auto" w:fill="FFFFFF"/>
              </w:rPr>
              <w:t>注：响应文件需附成交通知书或合同书扫描件，否则不得分。</w:t>
            </w:r>
          </w:p>
        </w:tc>
        <w:tc>
          <w:tcPr>
            <w:tcW w:w="708" w:type="dxa"/>
            <w:tcBorders>
              <w:top w:val="single" w:color="auto" w:sz="4" w:space="0"/>
              <w:left w:val="nil"/>
              <w:bottom w:val="single" w:color="auto" w:sz="4" w:space="0"/>
              <w:right w:val="single" w:color="auto" w:sz="4" w:space="0"/>
            </w:tcBorders>
            <w:vAlign w:val="center"/>
          </w:tcPr>
          <w:p>
            <w:pPr>
              <w:pStyle w:val="9"/>
              <w:adjustRightInd w:val="0"/>
              <w:snapToGrid w:val="0"/>
              <w:spacing w:before="0" w:beforeAutospacing="0" w:after="0" w:afterAutospacing="0" w:line="360" w:lineRule="auto"/>
            </w:pPr>
          </w:p>
        </w:tc>
      </w:tr>
      <w:bookmarkEnd w:id="0"/>
    </w:tbl>
    <w:p>
      <w:bookmarkStart w:id="1" w:name="_GoBack"/>
      <w:bookmarkEnd w:id="1"/>
    </w:p>
    <w:sectPr>
      <w:footerReference r:id="rId3"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lang w:val="en-US"/>
      </w:rPr>
    </w:pPr>
    <w:r>
      <mc:AlternateContent>
        <mc:Choice Requires="wps">
          <w:drawing>
            <wp:anchor distT="0" distB="0" distL="114300" distR="114300" simplePos="0" relativeHeight="251659264" behindDoc="0" locked="0" layoutInCell="1" allowOverlap="1">
              <wp:simplePos x="0" y="0"/>
              <wp:positionH relativeFrom="margin">
                <wp:posOffset>2852420</wp:posOffset>
              </wp:positionH>
              <wp:positionV relativeFrom="paragraph">
                <wp:posOffset>69215</wp:posOffset>
              </wp:positionV>
              <wp:extent cx="563245" cy="1828800"/>
              <wp:effectExtent l="0" t="0" r="8255" b="0"/>
              <wp:wrapNone/>
              <wp:docPr id="3" name="文本框 3"/>
              <wp:cNvGraphicFramePr/>
              <a:graphic xmlns:a="http://schemas.openxmlformats.org/drawingml/2006/main">
                <a:graphicData uri="http://schemas.microsoft.com/office/word/2010/wordprocessingShape">
                  <wps:wsp>
                    <wps:cNvSpPr txBox="1"/>
                    <wps:spPr>
                      <a:xfrm>
                        <a:off x="0" y="0"/>
                        <a:ext cx="5635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6pt;margin-top:5.45pt;height:144pt;width:44.35pt;mso-position-horizontal-relative:margin;z-index:251659264;mso-width-relative:page;mso-height-relative:page;" filled="f" stroked="f" coordsize="21600,21600" o:gfxdata="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Ksy3LZAAAACgEAAA8AAAAAAAAAAQAgAAAAIgAAAGRycy9kb3ducmV2Lnht&#10;bFBLAQIUABQAAAAIAIdO4kCH0KLwMQIAAFYEAAAOAAAAAAAAAAEAIAAAACgBAABkcnMvZTJvRG9j&#10;LnhtbFBLBQYAAAAABgAGAFkBAADL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hint="eastAsia"/>
        <w:lang w:val="en-US"/>
      </w:rPr>
      <w:t>云南中诏项目管理有限公司                                                       联系电话：13187714881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37584B11"/>
    <w:rsid w:val="01706483"/>
    <w:rsid w:val="08CF5085"/>
    <w:rsid w:val="09D860F5"/>
    <w:rsid w:val="0A1913C5"/>
    <w:rsid w:val="0B7B4961"/>
    <w:rsid w:val="0BA86533"/>
    <w:rsid w:val="10646530"/>
    <w:rsid w:val="16286DA6"/>
    <w:rsid w:val="18355B9F"/>
    <w:rsid w:val="18FD5E4D"/>
    <w:rsid w:val="19FF7F51"/>
    <w:rsid w:val="1BF5027B"/>
    <w:rsid w:val="1DE8590F"/>
    <w:rsid w:val="22E7121D"/>
    <w:rsid w:val="25C56D7A"/>
    <w:rsid w:val="26872977"/>
    <w:rsid w:val="27A204D7"/>
    <w:rsid w:val="2A6207A8"/>
    <w:rsid w:val="2B7A7A8B"/>
    <w:rsid w:val="2CFA15D6"/>
    <w:rsid w:val="2D0A4DF3"/>
    <w:rsid w:val="2DAB63E2"/>
    <w:rsid w:val="2E436BB0"/>
    <w:rsid w:val="32BF60E2"/>
    <w:rsid w:val="32CD218A"/>
    <w:rsid w:val="33370FE5"/>
    <w:rsid w:val="34FF19E1"/>
    <w:rsid w:val="36547DFF"/>
    <w:rsid w:val="36A71A09"/>
    <w:rsid w:val="36BE6FB5"/>
    <w:rsid w:val="36F82CBC"/>
    <w:rsid w:val="37273727"/>
    <w:rsid w:val="37584B11"/>
    <w:rsid w:val="38717683"/>
    <w:rsid w:val="39740701"/>
    <w:rsid w:val="3AD6319D"/>
    <w:rsid w:val="3E2A762B"/>
    <w:rsid w:val="3F0D1FE1"/>
    <w:rsid w:val="3FC14F4B"/>
    <w:rsid w:val="416A6D6D"/>
    <w:rsid w:val="42396F0C"/>
    <w:rsid w:val="42F84DBD"/>
    <w:rsid w:val="448533B0"/>
    <w:rsid w:val="459026A0"/>
    <w:rsid w:val="468B1053"/>
    <w:rsid w:val="48276B56"/>
    <w:rsid w:val="49617964"/>
    <w:rsid w:val="496D7513"/>
    <w:rsid w:val="4B6C1770"/>
    <w:rsid w:val="4D0B3D7F"/>
    <w:rsid w:val="4EC95109"/>
    <w:rsid w:val="520009D5"/>
    <w:rsid w:val="57362CE4"/>
    <w:rsid w:val="5AAE35F8"/>
    <w:rsid w:val="5ACE2D5A"/>
    <w:rsid w:val="5CC46D69"/>
    <w:rsid w:val="5D0B4B11"/>
    <w:rsid w:val="5EB36BCC"/>
    <w:rsid w:val="604E3635"/>
    <w:rsid w:val="64246C69"/>
    <w:rsid w:val="68D91490"/>
    <w:rsid w:val="691224AF"/>
    <w:rsid w:val="69967BA2"/>
    <w:rsid w:val="69DA30ED"/>
    <w:rsid w:val="6A3873C2"/>
    <w:rsid w:val="6B0A2146"/>
    <w:rsid w:val="6D4B1915"/>
    <w:rsid w:val="6F593F8C"/>
    <w:rsid w:val="70B83A5A"/>
    <w:rsid w:val="71725648"/>
    <w:rsid w:val="72026D30"/>
    <w:rsid w:val="74CB0FD2"/>
    <w:rsid w:val="76947324"/>
    <w:rsid w:val="769C4E9B"/>
    <w:rsid w:val="76EA1759"/>
    <w:rsid w:val="775B7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lang w:val="zh-CN"/>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kern w:val="0"/>
      <w:sz w:val="20"/>
      <w:szCs w:val="21"/>
      <w:lang w:val="zh-CN"/>
    </w:rPr>
  </w:style>
  <w:style w:type="paragraph" w:styleId="4">
    <w:name w:val="Body Text Indent 2"/>
    <w:basedOn w:val="1"/>
    <w:qFormat/>
    <w:uiPriority w:val="0"/>
    <w:pPr>
      <w:spacing w:after="120" w:line="480" w:lineRule="auto"/>
      <w:ind w:left="420" w:leftChars="200"/>
    </w:pPr>
    <w:rPr>
      <w:rFonts w:ascii="Times New Roman" w:hAnsi="Times New Roman"/>
      <w:lang w:val="zh-CN"/>
    </w:rPr>
  </w:style>
  <w:style w:type="paragraph" w:styleId="5">
    <w:name w:val="footer"/>
    <w:basedOn w:val="1"/>
    <w:qFormat/>
    <w:uiPriority w:val="0"/>
    <w:pPr>
      <w:pBdr>
        <w:top w:val="single" w:color="auto" w:sz="4" w:space="1"/>
      </w:pBdr>
      <w:tabs>
        <w:tab w:val="center" w:pos="4153"/>
        <w:tab w:val="right" w:pos="8306"/>
      </w:tabs>
      <w:snapToGrid w:val="0"/>
      <w:jc w:val="center"/>
    </w:pPr>
    <w:rPr>
      <w:rFonts w:ascii="Times New Roman" w:hAnsi="Times New Roman"/>
      <w:sz w:val="18"/>
      <w:szCs w:val="18"/>
      <w:lang w:val="zh-CN"/>
    </w:rPr>
  </w:style>
  <w:style w:type="paragraph" w:customStyle="1" w:styleId="8">
    <w:name w:val="msoplaintext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
    <w:name w:val="msoplaintextcxspla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
    <w:name w:val="msonormalcxsplast"/>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2024-07-12T02:12:00Z</dcterms:created>
  <dc:creator>Reachal</dc:creator>
  <cp:lastModifiedBy>Reachal</cp:lastModifiedBy>
  <dcterms:modified xsi:type="dcterms:W3CDTF">2024-07-12T02:13:11Z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AA38B721EA2E4C7CA04C42D763AA68B8_11</vt:lpwstr>
  </property>
</Properties>
</file>