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outlineLvl w:val="0"/>
        <w:rPr>
          <w:rFonts w:ascii="宋体" w:hAnsi="宋体"/>
          <w:b/>
          <w:bCs/>
          <w:color w:val="auto"/>
          <w:sz w:val="30"/>
          <w:szCs w:val="30"/>
          <w:highlight w:val="none"/>
        </w:rPr>
      </w:pPr>
      <w:bookmarkStart w:id="0" w:name="_Toc32004"/>
      <w:bookmarkStart w:id="1" w:name="_Toc12318"/>
      <w:r>
        <w:rPr>
          <w:rFonts w:ascii="宋体" w:hAnsi="宋体"/>
          <w:b/>
          <w:bCs/>
          <w:color w:val="auto"/>
          <w:sz w:val="30"/>
          <w:szCs w:val="30"/>
          <w:highlight w:val="none"/>
        </w:rPr>
        <w:t xml:space="preserve">第六章  </w:t>
      </w:r>
      <w:r>
        <w:rPr>
          <w:rFonts w:hint="eastAsia" w:ascii="宋体" w:hAnsi="宋体"/>
          <w:b/>
          <w:bCs/>
          <w:color w:val="auto"/>
          <w:sz w:val="30"/>
          <w:szCs w:val="30"/>
          <w:highlight w:val="none"/>
          <w:lang w:eastAsia="zh-CN"/>
        </w:rPr>
        <w:t>评审方法</w:t>
      </w:r>
      <w:bookmarkEnd w:id="0"/>
      <w:bookmarkEnd w:id="1"/>
    </w:p>
    <w:p>
      <w:pPr>
        <w:pStyle w:val="2"/>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643" w:firstLineChars="0"/>
        <w:jc w:val="center"/>
        <w:textAlignment w:val="auto"/>
        <w:outlineLvl w:val="1"/>
        <w:rPr>
          <w:rFonts w:hint="eastAsia" w:ascii="宋体" w:hAnsi="宋体" w:eastAsia="宋体" w:cs="宋体"/>
          <w:b/>
          <w:bCs/>
          <w:color w:val="auto"/>
          <w:sz w:val="28"/>
          <w:szCs w:val="24"/>
          <w:highlight w:val="none"/>
        </w:rPr>
      </w:pPr>
      <w:r>
        <w:rPr>
          <w:rFonts w:hint="eastAsia" w:ascii="宋体" w:hAnsi="宋体" w:eastAsia="宋体" w:cs="宋体"/>
          <w:b/>
          <w:bCs/>
          <w:color w:val="auto"/>
          <w:sz w:val="28"/>
          <w:szCs w:val="24"/>
          <w:highlight w:val="none"/>
          <w:lang w:eastAsia="zh-CN"/>
        </w:rPr>
        <w:t>评审方法</w:t>
      </w:r>
      <w:r>
        <w:rPr>
          <w:rFonts w:hint="eastAsia" w:ascii="宋体" w:hAnsi="宋体" w:eastAsia="宋体" w:cs="宋体"/>
          <w:b/>
          <w:bCs/>
          <w:color w:val="auto"/>
          <w:sz w:val="28"/>
          <w:szCs w:val="24"/>
          <w:highlight w:val="none"/>
        </w:rPr>
        <w:t>前附表</w:t>
      </w:r>
    </w:p>
    <w:tbl>
      <w:tblPr>
        <w:tblStyle w:val="7"/>
        <w:tblW w:w="9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193"/>
        <w:gridCol w:w="576"/>
        <w:gridCol w:w="663"/>
        <w:gridCol w:w="2083"/>
        <w:gridCol w:w="3214"/>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31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0" w:firstLine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p>
        </w:tc>
        <w:tc>
          <w:tcPr>
            <w:tcW w:w="596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0" w:firstLine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评审因素</w:t>
            </w:r>
          </w:p>
        </w:tc>
        <w:tc>
          <w:tcPr>
            <w:tcW w:w="21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0" w:firstLine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549" w:type="dxa"/>
            <w:vMerge w:val="restart"/>
            <w:noWrap w:val="0"/>
            <w:vAlign w:val="center"/>
          </w:tcPr>
          <w:p>
            <w:pPr>
              <w:keepNext w:val="0"/>
              <w:keepLines w:val="0"/>
              <w:pageBreakBefore w:val="0"/>
              <w:widowControl w:val="0"/>
              <w:kinsoku/>
              <w:wordWrap/>
              <w:overflowPunct/>
              <w:topLinePunct w:val="0"/>
              <w:autoSpaceDE/>
              <w:autoSpaceDN/>
              <w:bidi w:val="0"/>
              <w:snapToGrid w:val="0"/>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769" w:type="dxa"/>
            <w:gridSpan w:val="2"/>
            <w:vMerge w:val="restart"/>
            <w:noWrap w:val="0"/>
            <w:vAlign w:val="center"/>
          </w:tcPr>
          <w:p>
            <w:pPr>
              <w:keepNext w:val="0"/>
              <w:keepLines w:val="0"/>
              <w:pageBreakBefore w:val="0"/>
              <w:widowControl w:val="0"/>
              <w:kinsoku/>
              <w:wordWrap/>
              <w:overflowPunct/>
              <w:topLinePunct w:val="0"/>
              <w:autoSpaceDE/>
              <w:autoSpaceDN/>
              <w:bidi w:val="0"/>
              <w:snapToGrid w:val="0"/>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资格评审标准</w:t>
            </w:r>
          </w:p>
        </w:tc>
        <w:tc>
          <w:tcPr>
            <w:tcW w:w="5960" w:type="dxa"/>
            <w:gridSpan w:val="3"/>
            <w:noWrap w:val="0"/>
            <w:vAlign w:val="center"/>
          </w:tcPr>
          <w:p>
            <w:pPr>
              <w:keepNext w:val="0"/>
              <w:keepLines w:val="0"/>
              <w:pageBreakBefore w:val="0"/>
              <w:widowControl w:val="0"/>
              <w:kinsoku/>
              <w:wordWrap/>
              <w:overflowPunct/>
              <w:topLinePunct w:val="0"/>
              <w:autoSpaceDE/>
              <w:autoSpaceDN/>
              <w:bidi w:val="0"/>
              <w:spacing w:line="480" w:lineRule="exact"/>
              <w:ind w:left="0" w:leftChars="0" w:right="0" w:rightChars="0" w:firstLine="0" w:firstLineChars="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供应商自行承诺符合《中华人民共和国政府采购法》第二十二条规定及《中华人民共和国政府采购法实施条例》第十七条的相关要求。</w:t>
            </w:r>
          </w:p>
        </w:tc>
        <w:tc>
          <w:tcPr>
            <w:tcW w:w="2156" w:type="dxa"/>
            <w:noWrap w:val="0"/>
            <w:vAlign w:val="center"/>
          </w:tcPr>
          <w:p>
            <w:pPr>
              <w:keepNext w:val="0"/>
              <w:keepLines w:val="0"/>
              <w:pageBreakBefore w:val="0"/>
              <w:widowControl w:val="0"/>
              <w:kinsoku/>
              <w:wordWrap/>
              <w:overflowPunct/>
              <w:topLinePunct w:val="0"/>
              <w:autoSpaceDE/>
              <w:autoSpaceDN/>
              <w:bidi w:val="0"/>
              <w:spacing w:line="48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审查</w:t>
            </w:r>
            <w:r>
              <w:rPr>
                <w:rFonts w:hint="eastAsia" w:ascii="宋体" w:hAnsi="宋体" w:eastAsia="宋体" w:cs="宋体"/>
                <w:b w:val="0"/>
                <w:bCs w:val="0"/>
                <w:color w:val="auto"/>
                <w:sz w:val="24"/>
                <w:szCs w:val="24"/>
                <w:highlight w:val="none"/>
              </w:rPr>
              <w:t>响应文件中附声明函/承诺书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549" w:type="dxa"/>
            <w:vMerge w:val="continue"/>
            <w:noWrap w:val="0"/>
            <w:vAlign w:val="center"/>
          </w:tcPr>
          <w:p>
            <w:pPr>
              <w:keepNext w:val="0"/>
              <w:keepLines w:val="0"/>
              <w:pageBreakBefore w:val="0"/>
              <w:widowControl w:val="0"/>
              <w:kinsoku/>
              <w:wordWrap/>
              <w:overflowPunct/>
              <w:topLinePunct w:val="0"/>
              <w:autoSpaceDE/>
              <w:autoSpaceDN/>
              <w:bidi w:val="0"/>
              <w:snapToGrid w:val="0"/>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769" w:type="dxa"/>
            <w:gridSpan w:val="2"/>
            <w:vMerge w:val="continue"/>
            <w:noWrap w:val="0"/>
            <w:vAlign w:val="center"/>
          </w:tcPr>
          <w:p>
            <w:pPr>
              <w:keepNext w:val="0"/>
              <w:keepLines w:val="0"/>
              <w:pageBreakBefore w:val="0"/>
              <w:widowControl w:val="0"/>
              <w:kinsoku/>
              <w:wordWrap/>
              <w:overflowPunct/>
              <w:topLinePunct w:val="0"/>
              <w:autoSpaceDE/>
              <w:autoSpaceDN/>
              <w:bidi w:val="0"/>
              <w:snapToGrid w:val="0"/>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5960" w:type="dxa"/>
            <w:gridSpan w:val="3"/>
            <w:noWrap w:val="0"/>
            <w:vAlign w:val="center"/>
          </w:tcPr>
          <w:p>
            <w:pPr>
              <w:keepNext w:val="0"/>
              <w:keepLines w:val="0"/>
              <w:pageBreakBefore w:val="0"/>
              <w:widowControl w:val="0"/>
              <w:kinsoku/>
              <w:wordWrap/>
              <w:overflowPunct/>
              <w:topLinePunct w:val="0"/>
              <w:autoSpaceDE/>
              <w:autoSpaceDN/>
              <w:bidi w:val="0"/>
              <w:spacing w:line="480" w:lineRule="exact"/>
              <w:ind w:left="0" w:leftChars="0" w:right="0" w:rightChars="0" w:firstLine="0" w:firstLineChars="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highlight w:val="none"/>
                <w:lang w:val="en-US" w:eastAsia="zh-CN"/>
              </w:rPr>
              <w:t>供应商在中国境内注册登记具有独立承担民事责任的能力，提供有效的营业执照或者其他主体资格证明文件</w:t>
            </w:r>
            <w:r>
              <w:rPr>
                <w:rFonts w:hint="eastAsia" w:ascii="宋体" w:hAnsi="宋体" w:eastAsia="宋体" w:cs="宋体"/>
                <w:b w:val="0"/>
                <w:bCs w:val="0"/>
                <w:color w:val="auto"/>
                <w:kern w:val="0"/>
                <w:sz w:val="24"/>
                <w:szCs w:val="24"/>
                <w:highlight w:val="none"/>
              </w:rPr>
              <w:t>；</w:t>
            </w:r>
          </w:p>
        </w:tc>
        <w:tc>
          <w:tcPr>
            <w:tcW w:w="2156" w:type="dxa"/>
            <w:noWrap w:val="0"/>
            <w:vAlign w:val="center"/>
          </w:tcPr>
          <w:p>
            <w:pPr>
              <w:keepNext w:val="0"/>
              <w:keepLines w:val="0"/>
              <w:pageBreakBefore w:val="0"/>
              <w:widowControl w:val="0"/>
              <w:kinsoku/>
              <w:wordWrap/>
              <w:overflowPunct/>
              <w:topLinePunct w:val="0"/>
              <w:autoSpaceDE/>
              <w:autoSpaceDN/>
              <w:bidi w:val="0"/>
              <w:spacing w:line="48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审查响应文件中的证明材料的复印件或扫描件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549" w:type="dxa"/>
            <w:vMerge w:val="continue"/>
            <w:noWrap w:val="0"/>
            <w:vAlign w:val="center"/>
          </w:tcPr>
          <w:p>
            <w:pPr>
              <w:keepNext w:val="0"/>
              <w:keepLines w:val="0"/>
              <w:pageBreakBefore w:val="0"/>
              <w:widowControl w:val="0"/>
              <w:kinsoku/>
              <w:wordWrap/>
              <w:overflowPunct/>
              <w:topLinePunct w:val="0"/>
              <w:autoSpaceDE/>
              <w:autoSpaceDN/>
              <w:bidi w:val="0"/>
              <w:snapToGrid w:val="0"/>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769" w:type="dxa"/>
            <w:gridSpan w:val="2"/>
            <w:vMerge w:val="continue"/>
            <w:noWrap w:val="0"/>
            <w:vAlign w:val="center"/>
          </w:tcPr>
          <w:p>
            <w:pPr>
              <w:keepNext w:val="0"/>
              <w:keepLines w:val="0"/>
              <w:pageBreakBefore w:val="0"/>
              <w:widowControl w:val="0"/>
              <w:kinsoku/>
              <w:wordWrap/>
              <w:overflowPunct/>
              <w:topLinePunct w:val="0"/>
              <w:autoSpaceDE/>
              <w:autoSpaceDN/>
              <w:bidi w:val="0"/>
              <w:snapToGrid w:val="0"/>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5960" w:type="dxa"/>
            <w:gridSpan w:val="3"/>
            <w:noWrap w:val="0"/>
            <w:vAlign w:val="center"/>
          </w:tcPr>
          <w:p>
            <w:pPr>
              <w:keepNext w:val="0"/>
              <w:keepLines w:val="0"/>
              <w:pageBreakBefore w:val="0"/>
              <w:widowControl w:val="0"/>
              <w:kinsoku/>
              <w:wordWrap/>
              <w:overflowPunct/>
              <w:topLinePunct w:val="0"/>
              <w:autoSpaceDE/>
              <w:autoSpaceDN/>
              <w:bidi w:val="0"/>
              <w:spacing w:line="480" w:lineRule="exact"/>
              <w:ind w:left="0" w:leftChars="0" w:right="0" w:rightChars="0" w:firstLine="0" w:firstLineChars="0"/>
              <w:textAlignment w:val="auto"/>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color w:val="auto"/>
                <w:sz w:val="24"/>
                <w:highlight w:val="none"/>
                <w:lang w:val="en-US" w:eastAsia="zh-CN"/>
              </w:rPr>
              <w:t>供应商如为生产厂家进行询比的，须提供有效的《医疗器械生产许可证》、《医疗器械经营许可证》或备案凭证；供应商如为代理商或经销商进行询比的，须提供有效的《医疗器械经营许可证》或备案凭证。（注：对一类医疗器械或不在《医疗器械分类目录》内的不作强行要求，按照《医疗器械监督管理条例》的要求提供）</w:t>
            </w:r>
            <w:r>
              <w:rPr>
                <w:rFonts w:hint="eastAsia" w:ascii="宋体" w:hAnsi="宋体" w:eastAsia="宋体" w:cs="宋体"/>
                <w:b w:val="0"/>
                <w:bCs w:val="0"/>
                <w:color w:val="auto"/>
                <w:kern w:val="0"/>
                <w:sz w:val="24"/>
                <w:szCs w:val="24"/>
                <w:highlight w:val="none"/>
                <w:lang w:val="en-US" w:eastAsia="zh-CN"/>
              </w:rPr>
              <w:t>。</w:t>
            </w:r>
          </w:p>
        </w:tc>
        <w:tc>
          <w:tcPr>
            <w:tcW w:w="2156" w:type="dxa"/>
            <w:noWrap w:val="0"/>
            <w:vAlign w:val="center"/>
          </w:tcPr>
          <w:p>
            <w:pPr>
              <w:keepNext w:val="0"/>
              <w:keepLines w:val="0"/>
              <w:pageBreakBefore w:val="0"/>
              <w:widowControl w:val="0"/>
              <w:kinsoku/>
              <w:wordWrap/>
              <w:overflowPunct/>
              <w:topLinePunct w:val="0"/>
              <w:autoSpaceDE/>
              <w:autoSpaceDN/>
              <w:bidi w:val="0"/>
              <w:spacing w:line="48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审查响应文件中的证明材料的复印件或扫描件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549" w:type="dxa"/>
            <w:vMerge w:val="continue"/>
            <w:noWrap w:val="0"/>
            <w:vAlign w:val="center"/>
          </w:tcPr>
          <w:p>
            <w:pPr>
              <w:keepNext w:val="0"/>
              <w:keepLines w:val="0"/>
              <w:pageBreakBefore w:val="0"/>
              <w:widowControl w:val="0"/>
              <w:kinsoku/>
              <w:wordWrap/>
              <w:overflowPunct/>
              <w:topLinePunct w:val="0"/>
              <w:autoSpaceDE/>
              <w:autoSpaceDN/>
              <w:bidi w:val="0"/>
              <w:snapToGrid w:val="0"/>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769" w:type="dxa"/>
            <w:gridSpan w:val="2"/>
            <w:vMerge w:val="continue"/>
            <w:noWrap w:val="0"/>
            <w:vAlign w:val="center"/>
          </w:tcPr>
          <w:p>
            <w:pPr>
              <w:keepNext w:val="0"/>
              <w:keepLines w:val="0"/>
              <w:pageBreakBefore w:val="0"/>
              <w:widowControl w:val="0"/>
              <w:kinsoku/>
              <w:wordWrap/>
              <w:overflowPunct/>
              <w:topLinePunct w:val="0"/>
              <w:autoSpaceDE/>
              <w:autoSpaceDN/>
              <w:bidi w:val="0"/>
              <w:snapToGrid w:val="0"/>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5960" w:type="dxa"/>
            <w:gridSpan w:val="3"/>
            <w:noWrap w:val="0"/>
            <w:vAlign w:val="center"/>
          </w:tcPr>
          <w:p>
            <w:pPr>
              <w:keepNext w:val="0"/>
              <w:keepLines w:val="0"/>
              <w:pageBreakBefore w:val="0"/>
              <w:widowControl w:val="0"/>
              <w:kinsoku/>
              <w:wordWrap/>
              <w:overflowPunct/>
              <w:topLinePunct w:val="0"/>
              <w:autoSpaceDE/>
              <w:autoSpaceDN/>
              <w:bidi w:val="0"/>
              <w:spacing w:line="480" w:lineRule="exact"/>
              <w:ind w:left="0" w:leftChars="0" w:right="0" w:rightChars="0" w:firstLine="0" w:firstLineChars="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highlight w:val="none"/>
                <w:lang w:val="en-US" w:eastAsia="zh-CN"/>
              </w:rPr>
              <w:t>响应文件递交截止时间前供应商在“信用中国”网站(www.creditchina.gov.cn) 中未被列入：失信被执行人、重大税收违法失信主体、政府采购严重违法失信行为记录名单；在“中国政府采购网”(www.ccgp.gov.cn) 中未被列入：政府采购严重违法失信行为记录名单</w:t>
            </w:r>
            <w:r>
              <w:rPr>
                <w:rFonts w:hint="eastAsia" w:ascii="宋体" w:hAnsi="宋体" w:eastAsia="宋体" w:cs="宋体"/>
                <w:b w:val="0"/>
                <w:bCs w:val="0"/>
                <w:color w:val="auto"/>
                <w:sz w:val="24"/>
                <w:szCs w:val="24"/>
                <w:highlight w:val="none"/>
              </w:rPr>
              <w:t>。</w:t>
            </w:r>
          </w:p>
        </w:tc>
        <w:tc>
          <w:tcPr>
            <w:tcW w:w="2156" w:type="dxa"/>
            <w:noWrap w:val="0"/>
            <w:vAlign w:val="center"/>
          </w:tcPr>
          <w:p>
            <w:pPr>
              <w:keepNext w:val="0"/>
              <w:keepLines w:val="0"/>
              <w:pageBreakBefore w:val="0"/>
              <w:widowControl w:val="0"/>
              <w:kinsoku/>
              <w:wordWrap/>
              <w:overflowPunct/>
              <w:topLinePunct w:val="0"/>
              <w:autoSpaceDE/>
              <w:autoSpaceDN/>
              <w:bidi w:val="0"/>
              <w:spacing w:line="480" w:lineRule="exact"/>
              <w:ind w:left="0" w:leftChars="0" w:right="0" w:rightChars="0" w:firstLine="0" w:firstLineChars="0"/>
              <w:jc w:val="center"/>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highlight w:val="none"/>
                <w:lang w:val="en-US" w:eastAsia="zh-CN"/>
              </w:rPr>
              <w:t>由采购人或采购代理机构在评审前进行查询并交由询比小组审查，查询记录为上述网站查询结果的网页截图或网页打印稿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434" w:type="dxa"/>
            <w:gridSpan w:val="7"/>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以上资格评审内容</w:t>
            </w:r>
            <w:r>
              <w:rPr>
                <w:rFonts w:hint="eastAsia" w:ascii="宋体" w:hAnsi="宋体" w:eastAsia="宋体" w:cs="宋体"/>
                <w:color w:val="auto"/>
                <w:sz w:val="24"/>
                <w:szCs w:val="24"/>
                <w:highlight w:val="none"/>
              </w:rPr>
              <w:t>对应为“</w:t>
            </w:r>
            <w:r>
              <w:rPr>
                <w:rFonts w:hint="eastAsia" w:ascii="宋体" w:hAnsi="宋体" w:eastAsia="宋体" w:cs="宋体"/>
                <w:color w:val="auto"/>
                <w:sz w:val="24"/>
                <w:szCs w:val="24"/>
                <w:highlight w:val="none"/>
                <w:lang w:val="en-US" w:eastAsia="zh-CN"/>
              </w:rPr>
              <w:t>合格</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val="en-US" w:eastAsia="zh-CN"/>
              </w:rPr>
              <w:t>不合格</w:t>
            </w:r>
            <w:r>
              <w:rPr>
                <w:rFonts w:hint="eastAsia" w:ascii="宋体" w:hAnsi="宋体" w:eastAsia="宋体" w:cs="宋体"/>
                <w:color w:val="auto"/>
                <w:sz w:val="24"/>
                <w:szCs w:val="24"/>
                <w:highlight w:val="none"/>
              </w:rPr>
              <w:t>”；评审结论对应为“</w:t>
            </w:r>
            <w:r>
              <w:rPr>
                <w:rFonts w:hint="eastAsia" w:ascii="宋体" w:hAnsi="宋体" w:eastAsia="宋体" w:cs="宋体"/>
                <w:color w:val="auto"/>
                <w:sz w:val="24"/>
                <w:szCs w:val="24"/>
                <w:highlight w:val="none"/>
                <w:lang w:val="en-US" w:eastAsia="zh-CN"/>
              </w:rPr>
              <w:t>合格</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val="en-US" w:eastAsia="zh-CN"/>
              </w:rPr>
              <w:t>不合格</w:t>
            </w:r>
            <w:r>
              <w:rPr>
                <w:rFonts w:hint="eastAsia" w:ascii="宋体" w:hAnsi="宋体" w:eastAsia="宋体" w:cs="宋体"/>
                <w:color w:val="auto"/>
                <w:sz w:val="24"/>
                <w:szCs w:val="24"/>
                <w:highlight w:val="none"/>
              </w:rPr>
              <w:t>”。若有一项评审内容为“</w:t>
            </w:r>
            <w:r>
              <w:rPr>
                <w:rFonts w:hint="eastAsia" w:ascii="宋体" w:hAnsi="宋体" w:eastAsia="宋体" w:cs="宋体"/>
                <w:color w:val="auto"/>
                <w:sz w:val="24"/>
                <w:szCs w:val="24"/>
                <w:highlight w:val="none"/>
                <w:lang w:val="en-US" w:eastAsia="zh-CN"/>
              </w:rPr>
              <w:t>不合格</w:t>
            </w:r>
            <w:r>
              <w:rPr>
                <w:rFonts w:hint="eastAsia" w:ascii="宋体" w:hAnsi="宋体" w:eastAsia="宋体" w:cs="宋体"/>
                <w:color w:val="auto"/>
                <w:sz w:val="24"/>
                <w:szCs w:val="24"/>
                <w:highlight w:val="none"/>
              </w:rPr>
              <w:t>”则评审结</w:t>
            </w:r>
            <w:r>
              <w:rPr>
                <w:rFonts w:hint="eastAsia" w:ascii="宋体" w:hAnsi="宋体" w:eastAsia="宋体" w:cs="宋体"/>
                <w:color w:val="auto"/>
                <w:sz w:val="24"/>
                <w:szCs w:val="24"/>
                <w:highlight w:val="none"/>
                <w:lang w:val="en-US" w:eastAsia="zh-CN"/>
              </w:rPr>
              <w:t>果</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val="en-US" w:eastAsia="zh-CN"/>
              </w:rPr>
              <w:t>不合格</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318" w:type="dxa"/>
            <w:gridSpan w:val="3"/>
            <w:noWrap w:val="0"/>
            <w:vAlign w:val="center"/>
          </w:tcPr>
          <w:p>
            <w:pPr>
              <w:keepNext w:val="0"/>
              <w:keepLines w:val="0"/>
              <w:pageBreakBefore w:val="0"/>
              <w:widowControl w:val="0"/>
              <w:kinsoku/>
              <w:wordWrap/>
              <w:overflowPunct/>
              <w:topLinePunct w:val="0"/>
              <w:autoSpaceDE/>
              <w:autoSpaceDN/>
              <w:bidi w:val="0"/>
              <w:snapToGrid w:val="0"/>
              <w:spacing w:line="480" w:lineRule="exact"/>
              <w:ind w:left="0" w:leftChars="0" w:right="0" w:rightChars="0" w:firstLine="0" w:firstLine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p>
        </w:tc>
        <w:tc>
          <w:tcPr>
            <w:tcW w:w="274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0" w:firstLine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评审因素</w:t>
            </w:r>
          </w:p>
        </w:tc>
        <w:tc>
          <w:tcPr>
            <w:tcW w:w="537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0" w:firstLine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9" w:type="dxa"/>
            <w:vMerge w:val="restart"/>
            <w:noWrap w:val="0"/>
            <w:vAlign w:val="center"/>
          </w:tcPr>
          <w:p>
            <w:pPr>
              <w:keepNext w:val="0"/>
              <w:keepLines w:val="0"/>
              <w:pageBreakBefore w:val="0"/>
              <w:widowControl w:val="0"/>
              <w:kinsoku/>
              <w:wordWrap/>
              <w:overflowPunct/>
              <w:topLinePunct w:val="0"/>
              <w:autoSpaceDE/>
              <w:autoSpaceDN/>
              <w:bidi w:val="0"/>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769" w:type="dxa"/>
            <w:gridSpan w:val="2"/>
            <w:vMerge w:val="restart"/>
            <w:noWrap w:val="0"/>
            <w:vAlign w:val="center"/>
          </w:tcPr>
          <w:p>
            <w:pPr>
              <w:keepNext w:val="0"/>
              <w:keepLines w:val="0"/>
              <w:pageBreakBefore w:val="0"/>
              <w:widowControl w:val="0"/>
              <w:kinsoku/>
              <w:wordWrap/>
              <w:overflowPunct/>
              <w:topLinePunct w:val="0"/>
              <w:autoSpaceDE/>
              <w:autoSpaceDN/>
              <w:bidi w:val="0"/>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符合性评审标准</w:t>
            </w:r>
          </w:p>
        </w:tc>
        <w:tc>
          <w:tcPr>
            <w:tcW w:w="274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法人身份证明书、授权委托书</w:t>
            </w:r>
          </w:p>
        </w:tc>
        <w:tc>
          <w:tcPr>
            <w:tcW w:w="537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法人身份证明书、授权委托书不符合</w:t>
            </w:r>
            <w:r>
              <w:rPr>
                <w:rFonts w:hint="eastAsia" w:ascii="宋体" w:hAnsi="宋体" w:eastAsia="宋体" w:cs="宋体"/>
                <w:color w:val="auto"/>
                <w:sz w:val="24"/>
                <w:szCs w:val="24"/>
                <w:highlight w:val="none"/>
                <w:lang w:eastAsia="zh-CN"/>
              </w:rPr>
              <w:t>询比采购文件</w:t>
            </w:r>
            <w:r>
              <w:rPr>
                <w:rFonts w:hint="eastAsia" w:ascii="宋体" w:hAnsi="宋体" w:eastAsia="宋体" w:cs="宋体"/>
                <w:color w:val="auto"/>
                <w:sz w:val="24"/>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9" w:type="dxa"/>
            <w:vMerge w:val="continue"/>
            <w:noWrap w:val="0"/>
            <w:vAlign w:val="center"/>
          </w:tcPr>
          <w:p>
            <w:pPr>
              <w:keepNext w:val="0"/>
              <w:keepLines w:val="0"/>
              <w:pageBreakBefore w:val="0"/>
              <w:widowControl w:val="0"/>
              <w:kinsoku/>
              <w:wordWrap/>
              <w:overflowPunct/>
              <w:topLinePunct w:val="0"/>
              <w:autoSpaceDE/>
              <w:autoSpaceDN/>
              <w:bidi w:val="0"/>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769" w:type="dxa"/>
            <w:gridSpan w:val="2"/>
            <w:vMerge w:val="continue"/>
            <w:noWrap w:val="0"/>
            <w:vAlign w:val="center"/>
          </w:tcPr>
          <w:p>
            <w:pPr>
              <w:keepNext w:val="0"/>
              <w:keepLines w:val="0"/>
              <w:pageBreakBefore w:val="0"/>
              <w:widowControl w:val="0"/>
              <w:kinsoku/>
              <w:wordWrap/>
              <w:overflowPunct/>
              <w:topLinePunct w:val="0"/>
              <w:autoSpaceDE/>
              <w:autoSpaceDN/>
              <w:bidi w:val="0"/>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2746" w:type="dxa"/>
            <w:gridSpan w:val="2"/>
            <w:noWrap w:val="0"/>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保证金</w:t>
            </w:r>
          </w:p>
        </w:tc>
        <w:tc>
          <w:tcPr>
            <w:tcW w:w="537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未能按照</w:t>
            </w:r>
            <w:r>
              <w:rPr>
                <w:rFonts w:hint="eastAsia" w:ascii="宋体" w:hAnsi="宋体" w:eastAsia="宋体" w:cs="宋体"/>
                <w:color w:val="auto"/>
                <w:sz w:val="24"/>
                <w:szCs w:val="24"/>
                <w:highlight w:val="none"/>
                <w:lang w:eastAsia="zh-CN"/>
              </w:rPr>
              <w:t>询比采购文件</w:t>
            </w:r>
            <w:r>
              <w:rPr>
                <w:rFonts w:hint="eastAsia" w:ascii="宋体" w:hAnsi="宋体" w:eastAsia="宋体" w:cs="宋体"/>
                <w:color w:val="auto"/>
                <w:sz w:val="24"/>
                <w:szCs w:val="24"/>
                <w:highlight w:val="none"/>
              </w:rPr>
              <w:t>要求提交</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保证金或者所提供的</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保证金有瑕疵的；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9" w:type="dxa"/>
            <w:vMerge w:val="continue"/>
            <w:noWrap w:val="0"/>
            <w:vAlign w:val="center"/>
          </w:tcPr>
          <w:p>
            <w:pPr>
              <w:keepNext w:val="0"/>
              <w:keepLines w:val="0"/>
              <w:pageBreakBefore w:val="0"/>
              <w:widowControl w:val="0"/>
              <w:kinsoku/>
              <w:wordWrap/>
              <w:overflowPunct/>
              <w:topLinePunct w:val="0"/>
              <w:autoSpaceDE/>
              <w:autoSpaceDN/>
              <w:bidi w:val="0"/>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769" w:type="dxa"/>
            <w:gridSpan w:val="2"/>
            <w:vMerge w:val="continue"/>
            <w:noWrap w:val="0"/>
            <w:vAlign w:val="center"/>
          </w:tcPr>
          <w:p>
            <w:pPr>
              <w:keepNext w:val="0"/>
              <w:keepLines w:val="0"/>
              <w:pageBreakBefore w:val="0"/>
              <w:widowControl w:val="0"/>
              <w:kinsoku/>
              <w:wordWrap/>
              <w:overflowPunct/>
              <w:topLinePunct w:val="0"/>
              <w:autoSpaceDE/>
              <w:autoSpaceDN/>
              <w:bidi w:val="0"/>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2746" w:type="dxa"/>
            <w:gridSpan w:val="2"/>
            <w:noWrap w:val="0"/>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采购预算价</w:t>
            </w:r>
          </w:p>
        </w:tc>
        <w:tc>
          <w:tcPr>
            <w:tcW w:w="537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供应商的报价超过采购人预算价，采购人不能支付的；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9" w:type="dxa"/>
            <w:vMerge w:val="continue"/>
            <w:noWrap w:val="0"/>
            <w:vAlign w:val="center"/>
          </w:tcPr>
          <w:p>
            <w:pPr>
              <w:keepNext w:val="0"/>
              <w:keepLines w:val="0"/>
              <w:pageBreakBefore w:val="0"/>
              <w:widowControl w:val="0"/>
              <w:kinsoku/>
              <w:wordWrap/>
              <w:overflowPunct/>
              <w:topLinePunct w:val="0"/>
              <w:autoSpaceDE/>
              <w:autoSpaceDN/>
              <w:bidi w:val="0"/>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769" w:type="dxa"/>
            <w:gridSpan w:val="2"/>
            <w:vMerge w:val="continue"/>
            <w:noWrap w:val="0"/>
            <w:vAlign w:val="center"/>
          </w:tcPr>
          <w:p>
            <w:pPr>
              <w:keepNext w:val="0"/>
              <w:keepLines w:val="0"/>
              <w:pageBreakBefore w:val="0"/>
              <w:widowControl w:val="0"/>
              <w:kinsoku/>
              <w:wordWrap/>
              <w:overflowPunct/>
              <w:topLinePunct w:val="0"/>
              <w:autoSpaceDE/>
              <w:autoSpaceDN/>
              <w:bidi w:val="0"/>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2746" w:type="dxa"/>
            <w:gridSpan w:val="2"/>
            <w:noWrap w:val="0"/>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响应文件格式</w:t>
            </w:r>
          </w:p>
        </w:tc>
        <w:tc>
          <w:tcPr>
            <w:tcW w:w="537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响应文件内容不全或关键字模糊、无法辨认的；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9" w:type="dxa"/>
            <w:vMerge w:val="continue"/>
            <w:noWrap w:val="0"/>
            <w:vAlign w:val="center"/>
          </w:tcPr>
          <w:p>
            <w:pPr>
              <w:keepNext w:val="0"/>
              <w:keepLines w:val="0"/>
              <w:pageBreakBefore w:val="0"/>
              <w:widowControl w:val="0"/>
              <w:kinsoku/>
              <w:wordWrap/>
              <w:overflowPunct/>
              <w:topLinePunct w:val="0"/>
              <w:autoSpaceDE/>
              <w:autoSpaceDN/>
              <w:bidi w:val="0"/>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769" w:type="dxa"/>
            <w:gridSpan w:val="2"/>
            <w:vMerge w:val="continue"/>
            <w:noWrap w:val="0"/>
            <w:vAlign w:val="center"/>
          </w:tcPr>
          <w:p>
            <w:pPr>
              <w:keepNext w:val="0"/>
              <w:keepLines w:val="0"/>
              <w:pageBreakBefore w:val="0"/>
              <w:widowControl w:val="0"/>
              <w:kinsoku/>
              <w:wordWrap/>
              <w:overflowPunct/>
              <w:topLinePunct w:val="0"/>
              <w:autoSpaceDE/>
              <w:autoSpaceDN/>
              <w:bidi w:val="0"/>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2746" w:type="dxa"/>
            <w:gridSpan w:val="2"/>
            <w:noWrap w:val="0"/>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响应文件盖章、签字</w:t>
            </w:r>
          </w:p>
        </w:tc>
        <w:tc>
          <w:tcPr>
            <w:tcW w:w="537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响应文件未按规定盖章、签字的；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9" w:type="dxa"/>
            <w:vMerge w:val="continue"/>
            <w:noWrap w:val="0"/>
            <w:vAlign w:val="center"/>
          </w:tcPr>
          <w:p>
            <w:pPr>
              <w:keepNext w:val="0"/>
              <w:keepLines w:val="0"/>
              <w:pageBreakBefore w:val="0"/>
              <w:widowControl w:val="0"/>
              <w:kinsoku/>
              <w:wordWrap/>
              <w:overflowPunct/>
              <w:topLinePunct w:val="0"/>
              <w:autoSpaceDE/>
              <w:autoSpaceDN/>
              <w:bidi w:val="0"/>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769" w:type="dxa"/>
            <w:gridSpan w:val="2"/>
            <w:vMerge w:val="continue"/>
            <w:noWrap w:val="0"/>
            <w:vAlign w:val="center"/>
          </w:tcPr>
          <w:p>
            <w:pPr>
              <w:keepNext w:val="0"/>
              <w:keepLines w:val="0"/>
              <w:pageBreakBefore w:val="0"/>
              <w:widowControl w:val="0"/>
              <w:kinsoku/>
              <w:wordWrap/>
              <w:overflowPunct/>
              <w:topLinePunct w:val="0"/>
              <w:autoSpaceDE/>
              <w:autoSpaceDN/>
              <w:bidi w:val="0"/>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2746" w:type="dxa"/>
            <w:gridSpan w:val="2"/>
            <w:noWrap w:val="0"/>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采购人不能接受的条件</w:t>
            </w:r>
          </w:p>
        </w:tc>
        <w:tc>
          <w:tcPr>
            <w:tcW w:w="5370" w:type="dxa"/>
            <w:gridSpan w:val="2"/>
            <w:noWrap w:val="0"/>
            <w:vAlign w:val="center"/>
          </w:tcPr>
          <w:p>
            <w:pPr>
              <w:keepNext w:val="0"/>
              <w:keepLines w:val="0"/>
              <w:pageBreakBefore w:val="0"/>
              <w:widowControl w:val="0"/>
              <w:kinsoku/>
              <w:wordWrap/>
              <w:overflowPunct/>
              <w:topLinePunct w:val="0"/>
              <w:autoSpaceDE/>
              <w:autoSpaceDN/>
              <w:bidi w:val="0"/>
              <w:spacing w:line="48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响应文件中附有采购人不能接受的条件的；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9" w:type="dxa"/>
            <w:vMerge w:val="continue"/>
            <w:noWrap w:val="0"/>
            <w:vAlign w:val="center"/>
          </w:tcPr>
          <w:p>
            <w:pPr>
              <w:keepNext w:val="0"/>
              <w:keepLines w:val="0"/>
              <w:pageBreakBefore w:val="0"/>
              <w:widowControl w:val="0"/>
              <w:kinsoku/>
              <w:wordWrap/>
              <w:overflowPunct/>
              <w:topLinePunct w:val="0"/>
              <w:autoSpaceDE/>
              <w:autoSpaceDN/>
              <w:bidi w:val="0"/>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769" w:type="dxa"/>
            <w:gridSpan w:val="2"/>
            <w:vMerge w:val="continue"/>
            <w:noWrap w:val="0"/>
            <w:vAlign w:val="center"/>
          </w:tcPr>
          <w:p>
            <w:pPr>
              <w:keepNext w:val="0"/>
              <w:keepLines w:val="0"/>
              <w:pageBreakBefore w:val="0"/>
              <w:widowControl w:val="0"/>
              <w:kinsoku/>
              <w:wordWrap/>
              <w:overflowPunct/>
              <w:topLinePunct w:val="0"/>
              <w:autoSpaceDE/>
              <w:autoSpaceDN/>
              <w:bidi w:val="0"/>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2746" w:type="dxa"/>
            <w:gridSpan w:val="2"/>
            <w:noWrap w:val="0"/>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实质性要求</w:t>
            </w:r>
          </w:p>
        </w:tc>
        <w:tc>
          <w:tcPr>
            <w:tcW w:w="5370" w:type="dxa"/>
            <w:gridSpan w:val="2"/>
            <w:noWrap w:val="0"/>
            <w:vAlign w:val="center"/>
          </w:tcPr>
          <w:p>
            <w:pPr>
              <w:keepNext w:val="0"/>
              <w:keepLines w:val="0"/>
              <w:pageBreakBefore w:val="0"/>
              <w:widowControl w:val="0"/>
              <w:kinsoku/>
              <w:wordWrap/>
              <w:overflowPunct/>
              <w:topLinePunct w:val="0"/>
              <w:autoSpaceDE/>
              <w:autoSpaceDN/>
              <w:bidi w:val="0"/>
              <w:spacing w:line="48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不符合本次</w:t>
            </w:r>
            <w:r>
              <w:rPr>
                <w:rFonts w:hint="eastAsia" w:ascii="宋体" w:hAnsi="宋体" w:eastAsia="宋体" w:cs="宋体"/>
                <w:color w:val="auto"/>
                <w:sz w:val="24"/>
                <w:szCs w:val="24"/>
                <w:highlight w:val="none"/>
                <w:lang w:eastAsia="zh-CN"/>
              </w:rPr>
              <w:t>询比采购文件</w:t>
            </w:r>
            <w:r>
              <w:rPr>
                <w:rFonts w:hint="eastAsia" w:ascii="宋体" w:hAnsi="宋体" w:eastAsia="宋体" w:cs="宋体"/>
                <w:color w:val="auto"/>
                <w:sz w:val="24"/>
                <w:szCs w:val="24"/>
                <w:highlight w:val="none"/>
                <w:lang w:val="en-US" w:eastAsia="zh-CN"/>
              </w:rPr>
              <w:t>规定</w:t>
            </w:r>
            <w:r>
              <w:rPr>
                <w:rFonts w:hint="eastAsia" w:ascii="宋体" w:hAnsi="宋体" w:eastAsia="宋体" w:cs="宋体"/>
                <w:color w:val="auto"/>
                <w:sz w:val="24"/>
                <w:szCs w:val="24"/>
                <w:highlight w:val="none"/>
              </w:rPr>
              <w:t>的其他实质性要求的。</w:t>
            </w:r>
            <w:r>
              <w:rPr>
                <w:rFonts w:hint="eastAsia" w:ascii="宋体" w:hAnsi="宋体" w:eastAsia="宋体" w:cs="宋体"/>
                <w:color w:val="auto"/>
                <w:sz w:val="24"/>
                <w:szCs w:val="24"/>
                <w:highlight w:val="none"/>
                <w:lang w:eastAsia="zh-CN"/>
              </w:rPr>
              <w:t>不满足询比采购文件标注“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”号条款的实质性要求。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434" w:type="dxa"/>
            <w:gridSpan w:val="7"/>
            <w:noWrap w:val="0"/>
            <w:vAlign w:val="center"/>
          </w:tcPr>
          <w:p>
            <w:pPr>
              <w:keepNext w:val="0"/>
              <w:keepLines w:val="0"/>
              <w:pageBreakBefore w:val="0"/>
              <w:widowControl w:val="0"/>
              <w:kinsoku/>
              <w:wordWrap/>
              <w:overflowPunct/>
              <w:topLinePunct w:val="0"/>
              <w:autoSpaceDE/>
              <w:autoSpaceDN/>
              <w:bidi w:val="0"/>
              <w:spacing w:line="48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以上符合性评审</w:t>
            </w:r>
            <w:r>
              <w:rPr>
                <w:rFonts w:hint="eastAsia" w:ascii="宋体" w:hAnsi="宋体" w:eastAsia="宋体" w:cs="宋体"/>
                <w:color w:val="auto"/>
                <w:sz w:val="24"/>
                <w:szCs w:val="24"/>
                <w:highlight w:val="none"/>
              </w:rPr>
              <w:t>内</w:t>
            </w:r>
            <w:r>
              <w:rPr>
                <w:rFonts w:hint="eastAsia" w:ascii="宋体" w:hAnsi="宋体" w:eastAsia="宋体" w:cs="宋体"/>
                <w:color w:val="auto"/>
                <w:sz w:val="24"/>
                <w:szCs w:val="24"/>
                <w:highlight w:val="none"/>
                <w:lang w:val="en-US" w:eastAsia="zh-CN"/>
              </w:rPr>
              <w:t>容评审</w:t>
            </w:r>
            <w:r>
              <w:rPr>
                <w:rFonts w:hint="eastAsia" w:ascii="宋体" w:hAnsi="宋体" w:eastAsia="宋体" w:cs="宋体"/>
                <w:color w:val="auto"/>
                <w:sz w:val="24"/>
                <w:szCs w:val="24"/>
                <w:highlight w:val="none"/>
              </w:rPr>
              <w:t>对应为“是”或“否”；评审结论对应为“不通过”或“通过”。若有一项评审内容为“</w:t>
            </w:r>
            <w:r>
              <w:rPr>
                <w:rFonts w:hint="eastAsia" w:ascii="宋体" w:hAnsi="宋体" w:eastAsia="宋体" w:cs="宋体"/>
                <w:color w:val="auto"/>
                <w:sz w:val="24"/>
                <w:szCs w:val="24"/>
                <w:highlight w:val="none"/>
                <w:lang w:val="en-US" w:eastAsia="zh-CN"/>
              </w:rPr>
              <w:t>是</w:t>
            </w:r>
            <w:r>
              <w:rPr>
                <w:rFonts w:hint="eastAsia" w:ascii="宋体" w:hAnsi="宋体" w:eastAsia="宋体" w:cs="宋体"/>
                <w:color w:val="auto"/>
                <w:sz w:val="24"/>
                <w:szCs w:val="24"/>
                <w:highlight w:val="none"/>
              </w:rPr>
              <w:t>”则评审结</w:t>
            </w:r>
            <w:r>
              <w:rPr>
                <w:rFonts w:hint="eastAsia" w:ascii="宋体" w:hAnsi="宋体" w:eastAsia="宋体" w:cs="宋体"/>
                <w:color w:val="auto"/>
                <w:sz w:val="24"/>
                <w:szCs w:val="24"/>
                <w:highlight w:val="none"/>
                <w:lang w:val="en-US" w:eastAsia="zh-CN"/>
              </w:rPr>
              <w:t>果</w:t>
            </w:r>
            <w:r>
              <w:rPr>
                <w:rFonts w:hint="eastAsia" w:ascii="宋体" w:hAnsi="宋体" w:eastAsia="宋体" w:cs="宋体"/>
                <w:color w:val="auto"/>
                <w:sz w:val="24"/>
                <w:szCs w:val="24"/>
                <w:highlight w:val="none"/>
              </w:rPr>
              <w:t>为“不通过”。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981" w:type="dxa"/>
            <w:gridSpan w:val="4"/>
            <w:noWrap w:val="0"/>
            <w:vAlign w:val="center"/>
          </w:tcPr>
          <w:p>
            <w:pPr>
              <w:keepNext w:val="0"/>
              <w:keepLines w:val="0"/>
              <w:pageBreakBefore w:val="0"/>
              <w:widowControl w:val="0"/>
              <w:kinsoku/>
              <w:wordWrap/>
              <w:overflowPunct/>
              <w:topLinePunct w:val="0"/>
              <w:autoSpaceDE/>
              <w:autoSpaceDN/>
              <w:bidi w:val="0"/>
              <w:snapToGrid w:val="0"/>
              <w:spacing w:line="480" w:lineRule="exact"/>
              <w:ind w:left="0" w:leftChars="0" w:right="0" w:rightChars="0" w:firstLine="0" w:firstLine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p>
        </w:tc>
        <w:tc>
          <w:tcPr>
            <w:tcW w:w="745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0" w:firstLine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981" w:type="dxa"/>
            <w:gridSpan w:val="4"/>
            <w:noWrap w:val="0"/>
            <w:vAlign w:val="center"/>
          </w:tcPr>
          <w:p>
            <w:pPr>
              <w:keepNext w:val="0"/>
              <w:keepLines w:val="0"/>
              <w:pageBreakBefore w:val="0"/>
              <w:widowControl w:val="0"/>
              <w:kinsoku/>
              <w:wordWrap/>
              <w:overflowPunct/>
              <w:topLinePunct w:val="0"/>
              <w:autoSpaceDE/>
              <w:autoSpaceDN/>
              <w:bidi w:val="0"/>
              <w:snapToGrid w:val="0"/>
              <w:spacing w:line="480" w:lineRule="exact"/>
              <w:ind w:left="0" w:leftChars="0" w:right="0" w:rightChars="0" w:firstLine="0" w:firstLine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三</w:t>
            </w:r>
          </w:p>
        </w:tc>
        <w:tc>
          <w:tcPr>
            <w:tcW w:w="7453" w:type="dxa"/>
            <w:gridSpan w:val="3"/>
            <w:noWrap w:val="0"/>
            <w:vAlign w:val="center"/>
          </w:tcPr>
          <w:p>
            <w:pPr>
              <w:keepNext w:val="0"/>
              <w:keepLines w:val="0"/>
              <w:pageBreakBefore w:val="0"/>
              <w:kinsoku/>
              <w:wordWrap/>
              <w:overflowPunct/>
              <w:topLinePunct w:val="0"/>
              <w:autoSpaceDE/>
              <w:autoSpaceDN/>
              <w:bidi w:val="0"/>
              <w:spacing w:line="4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本项目采用综合评分法。</w:t>
            </w:r>
            <w:r>
              <w:rPr>
                <w:rFonts w:hint="eastAsia" w:ascii="宋体" w:hAnsi="宋体" w:eastAsia="宋体" w:cs="宋体"/>
                <w:color w:val="auto"/>
                <w:sz w:val="24"/>
                <w:szCs w:val="24"/>
                <w:highlight w:val="none"/>
                <w:lang w:val="en-US" w:eastAsia="zh-CN"/>
              </w:rPr>
              <w:t>询比</w:t>
            </w:r>
            <w:r>
              <w:rPr>
                <w:rFonts w:hint="eastAsia" w:ascii="宋体" w:hAnsi="宋体" w:eastAsia="宋体" w:cs="宋体"/>
                <w:color w:val="auto"/>
                <w:sz w:val="24"/>
                <w:szCs w:val="24"/>
                <w:highlight w:val="none"/>
              </w:rPr>
              <w:t>总分值由</w:t>
            </w:r>
            <w:r>
              <w:rPr>
                <w:rFonts w:hint="eastAsia" w:ascii="宋体" w:hAnsi="宋体" w:eastAsia="宋体" w:cs="宋体"/>
                <w:color w:val="auto"/>
                <w:sz w:val="24"/>
                <w:szCs w:val="24"/>
                <w:highlight w:val="none"/>
                <w:lang w:val="en-US" w:eastAsia="zh-CN"/>
              </w:rPr>
              <w:t>询比</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部分、</w:t>
            </w:r>
            <w:r>
              <w:rPr>
                <w:rFonts w:hint="eastAsia" w:ascii="宋体" w:hAnsi="宋体" w:eastAsia="宋体" w:cs="宋体"/>
                <w:color w:val="auto"/>
                <w:sz w:val="24"/>
                <w:szCs w:val="24"/>
                <w:highlight w:val="none"/>
              </w:rPr>
              <w:t>技术部分</w:t>
            </w:r>
            <w:r>
              <w:rPr>
                <w:rFonts w:hint="eastAsia" w:ascii="宋体" w:hAnsi="宋体" w:eastAsia="宋体" w:cs="宋体"/>
                <w:color w:val="auto"/>
                <w:sz w:val="24"/>
                <w:szCs w:val="24"/>
                <w:highlight w:val="none"/>
                <w:lang w:eastAsia="zh-CN"/>
              </w:rPr>
              <w:t>、商务部分</w:t>
            </w:r>
            <w:r>
              <w:rPr>
                <w:rFonts w:hint="eastAsia" w:ascii="宋体" w:hAnsi="宋体" w:eastAsia="宋体" w:cs="宋体"/>
                <w:color w:val="auto"/>
                <w:sz w:val="24"/>
                <w:szCs w:val="24"/>
                <w:highlight w:val="none"/>
              </w:rPr>
              <w:t>组成，总分值100分</w:t>
            </w:r>
          </w:p>
          <w:p>
            <w:pPr>
              <w:keepNext w:val="0"/>
              <w:keepLines w:val="0"/>
              <w:pageBreakBefore w:val="0"/>
              <w:kinsoku/>
              <w:wordWrap/>
              <w:overflowPunct/>
              <w:topLinePunct w:val="0"/>
              <w:autoSpaceDE/>
              <w:autoSpaceDN/>
              <w:bidi w:val="0"/>
              <w:spacing w:line="4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询比</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部分</w:t>
            </w:r>
            <w:r>
              <w:rPr>
                <w:rFonts w:hint="eastAsia" w:ascii="宋体" w:hAnsi="宋体" w:eastAsia="宋体" w:cs="宋体"/>
                <w:color w:val="auto"/>
                <w:sz w:val="24"/>
                <w:szCs w:val="24"/>
                <w:highlight w:val="none"/>
              </w:rPr>
              <w:t>F1：满分</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pPr>
              <w:keepNext w:val="0"/>
              <w:keepLines w:val="0"/>
              <w:pageBreakBefore w:val="0"/>
              <w:kinsoku/>
              <w:wordWrap/>
              <w:overflowPunct/>
              <w:topLinePunct w:val="0"/>
              <w:autoSpaceDE/>
              <w:autoSpaceDN/>
              <w:bidi w:val="0"/>
              <w:spacing w:line="4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技术部分F2：满分</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rPr>
              <w:t>分</w:t>
            </w:r>
          </w:p>
          <w:p>
            <w:pPr>
              <w:keepNext w:val="0"/>
              <w:keepLines w:val="0"/>
              <w:pageBreakBefore w:val="0"/>
              <w:kinsoku/>
              <w:wordWrap/>
              <w:overflowPunct/>
              <w:topLinePunct w:val="0"/>
              <w:autoSpaceDE/>
              <w:autoSpaceDN/>
              <w:bidi w:val="0"/>
              <w:spacing w:line="4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商务部分F</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：满分</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0" w:firstLineChars="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总得分＝F1＋F2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F</w:t>
            </w:r>
            <w:r>
              <w:rPr>
                <w:rFonts w:hint="eastAsia" w:ascii="宋体" w:hAnsi="宋体" w:eastAsia="宋体" w:cs="宋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981" w:type="dxa"/>
            <w:gridSpan w:val="4"/>
            <w:noWrap w:val="0"/>
            <w:vAlign w:val="center"/>
          </w:tcPr>
          <w:p>
            <w:pPr>
              <w:keepNext w:val="0"/>
              <w:keepLines w:val="0"/>
              <w:pageBreakBefore w:val="0"/>
              <w:widowControl w:val="0"/>
              <w:kinsoku/>
              <w:wordWrap/>
              <w:overflowPunct/>
              <w:topLinePunct w:val="0"/>
              <w:autoSpaceDE/>
              <w:autoSpaceDN/>
              <w:bidi w:val="0"/>
              <w:snapToGrid w:val="0"/>
              <w:spacing w:line="480" w:lineRule="exact"/>
              <w:ind w:left="0" w:leftChars="0" w:right="0" w:rightChars="0" w:firstLine="0" w:firstLine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p>
        </w:tc>
        <w:tc>
          <w:tcPr>
            <w:tcW w:w="7453"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0" w:firstLine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42" w:type="dxa"/>
            <w:gridSpan w:val="2"/>
            <w:noWrap w:val="0"/>
            <w:vAlign w:val="center"/>
          </w:tcPr>
          <w:p>
            <w:pPr>
              <w:keepNext w:val="0"/>
              <w:keepLines w:val="0"/>
              <w:pageBreakBefore w:val="0"/>
              <w:widowControl w:val="0"/>
              <w:kinsoku/>
              <w:wordWrap/>
              <w:overflowPunct/>
              <w:topLinePunct w:val="0"/>
              <w:autoSpaceDE/>
              <w:autoSpaceDN/>
              <w:bidi w:val="0"/>
              <w:snapToGrid w:val="0"/>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F1</w:t>
            </w:r>
          </w:p>
        </w:tc>
        <w:tc>
          <w:tcPr>
            <w:tcW w:w="1239" w:type="dxa"/>
            <w:gridSpan w:val="2"/>
            <w:noWrap w:val="0"/>
            <w:vAlign w:val="center"/>
          </w:tcPr>
          <w:p>
            <w:pPr>
              <w:keepNext w:val="0"/>
              <w:keepLines w:val="0"/>
              <w:pageBreakBefore w:val="0"/>
              <w:widowControl w:val="0"/>
              <w:kinsoku/>
              <w:wordWrap/>
              <w:overflowPunct/>
              <w:topLinePunct w:val="0"/>
              <w:autoSpaceDE/>
              <w:autoSpaceDN/>
              <w:bidi w:val="0"/>
              <w:snapToGrid w:val="0"/>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询比</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部分</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2083" w:type="dxa"/>
            <w:noWrap w:val="0"/>
            <w:vAlign w:val="center"/>
          </w:tcPr>
          <w:p>
            <w:pPr>
              <w:keepNext w:val="0"/>
              <w:keepLines w:val="0"/>
              <w:pageBreakBefore w:val="0"/>
              <w:widowControl w:val="0"/>
              <w:kinsoku/>
              <w:wordWrap/>
              <w:overflowPunct/>
              <w:topLinePunct w:val="0"/>
              <w:autoSpaceDE/>
              <w:autoSpaceDN/>
              <w:bidi w:val="0"/>
              <w:snapToGrid w:val="0"/>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询比报价评分</w:t>
            </w:r>
          </w:p>
          <w:p>
            <w:pPr>
              <w:keepNext w:val="0"/>
              <w:keepLines w:val="0"/>
              <w:pageBreakBefore w:val="0"/>
              <w:widowControl w:val="0"/>
              <w:kinsoku/>
              <w:wordWrap/>
              <w:overflowPunct/>
              <w:topLinePunct w:val="0"/>
              <w:autoSpaceDE/>
              <w:autoSpaceDN/>
              <w:bidi w:val="0"/>
              <w:snapToGrid w:val="0"/>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（满分30分）</w:t>
            </w:r>
          </w:p>
        </w:tc>
        <w:tc>
          <w:tcPr>
            <w:tcW w:w="537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价格分统一采用低价优先法计算，即满足</w:t>
            </w:r>
            <w:r>
              <w:rPr>
                <w:rFonts w:hint="eastAsia" w:ascii="宋体" w:hAnsi="宋体" w:eastAsia="宋体" w:cs="宋体"/>
                <w:color w:val="auto"/>
                <w:sz w:val="24"/>
                <w:szCs w:val="24"/>
                <w:highlight w:val="none"/>
                <w:lang w:eastAsia="zh-CN"/>
              </w:rPr>
              <w:t>询比采购文件</w:t>
            </w:r>
            <w:r>
              <w:rPr>
                <w:rFonts w:hint="eastAsia" w:ascii="宋体" w:hAnsi="宋体" w:eastAsia="宋体" w:cs="宋体"/>
                <w:color w:val="auto"/>
                <w:sz w:val="24"/>
                <w:szCs w:val="24"/>
                <w:highlight w:val="none"/>
              </w:rPr>
              <w:t>要求且报价最低的供应商的价格为</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基准价，其价格分为满分。其他供应商的价格分统一按照下列公式计算：</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报价得分＝（</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基准价/</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通过符合性评审</w:t>
            </w:r>
            <w:r>
              <w:rPr>
                <w:rFonts w:hint="eastAsia" w:ascii="宋体" w:hAnsi="宋体" w:eastAsia="宋体" w:cs="宋体"/>
                <w:color w:val="auto"/>
                <w:sz w:val="24"/>
                <w:szCs w:val="24"/>
                <w:highlight w:val="none"/>
              </w:rPr>
              <w:t>的供应商才能进入有效评分）</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注：①</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 xml:space="preserve">过程中，不得去掉报价中的最高报价和最低报价。   </w:t>
            </w:r>
          </w:p>
          <w:p>
            <w:pPr>
              <w:keepNext w:val="0"/>
              <w:keepLines w:val="0"/>
              <w:pageBreakBefore w:val="0"/>
              <w:widowControl w:val="0"/>
              <w:kinsoku/>
              <w:wordWrap/>
              <w:overflowPunct/>
              <w:topLinePunct w:val="0"/>
              <w:autoSpaceDE/>
              <w:autoSpaceDN/>
              <w:bidi w:val="0"/>
              <w:spacing w:line="480" w:lineRule="exact"/>
              <w:ind w:left="0" w:leftChars="0" w:right="0" w:rightChars="0" w:firstLine="0" w:firstLineChars="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②因落实政府采购政策进行价格调整的，以调整后的评审价格计算</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基准价和最后</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报价得分。</w:t>
            </w:r>
            <w:r>
              <w:rPr>
                <w:rFonts w:hint="eastAsia" w:ascii="宋体" w:hAnsi="宋体" w:eastAsia="宋体" w:cs="宋体"/>
                <w:b/>
                <w:bCs/>
                <w:color w:val="auto"/>
                <w:sz w:val="24"/>
                <w:szCs w:val="24"/>
                <w:highlight w:val="none"/>
              </w:rPr>
              <w:t>若供应商符合本项目</w:t>
            </w:r>
            <w:r>
              <w:rPr>
                <w:rFonts w:hint="eastAsia" w:ascii="宋体" w:hAnsi="宋体" w:eastAsia="宋体" w:cs="宋体"/>
                <w:b/>
                <w:bCs/>
                <w:color w:val="auto"/>
                <w:sz w:val="24"/>
                <w:szCs w:val="24"/>
                <w:highlight w:val="none"/>
                <w:lang w:eastAsia="zh-CN"/>
              </w:rPr>
              <w:t>询比采购文件</w:t>
            </w:r>
            <w:r>
              <w:rPr>
                <w:rFonts w:hint="eastAsia" w:ascii="宋体" w:hAnsi="宋体" w:eastAsia="宋体" w:cs="宋体"/>
                <w:b/>
                <w:bCs/>
                <w:color w:val="auto"/>
                <w:sz w:val="24"/>
                <w:szCs w:val="24"/>
                <w:highlight w:val="none"/>
              </w:rPr>
              <w:t>第二章《</w:t>
            </w:r>
            <w:r>
              <w:rPr>
                <w:rFonts w:hint="eastAsia" w:ascii="宋体" w:hAnsi="宋体" w:eastAsia="宋体" w:cs="宋体"/>
                <w:b/>
                <w:bCs/>
                <w:color w:val="auto"/>
                <w:sz w:val="24"/>
                <w:szCs w:val="24"/>
                <w:highlight w:val="none"/>
                <w:lang w:val="en-US" w:eastAsia="zh-CN"/>
              </w:rPr>
              <w:t>供应商须知前附表</w:t>
            </w: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val="en-US" w:eastAsia="zh-CN"/>
              </w:rPr>
              <w:t>24</w:t>
            </w:r>
            <w:r>
              <w:rPr>
                <w:rFonts w:hint="eastAsia" w:ascii="宋体" w:hAnsi="宋体" w:eastAsia="宋体" w:cs="宋体"/>
                <w:b/>
                <w:bCs/>
                <w:color w:val="auto"/>
                <w:sz w:val="24"/>
                <w:szCs w:val="24"/>
                <w:highlight w:val="none"/>
              </w:rPr>
              <w:t>条中（1）、（2）、（3）相关规定的，其</w:t>
            </w:r>
            <w:r>
              <w:rPr>
                <w:rFonts w:hint="eastAsia" w:ascii="宋体" w:hAnsi="宋体" w:eastAsia="宋体" w:cs="宋体"/>
                <w:b/>
                <w:bCs/>
                <w:color w:val="auto"/>
                <w:sz w:val="24"/>
                <w:szCs w:val="24"/>
                <w:highlight w:val="none"/>
                <w:lang w:eastAsia="zh-CN"/>
              </w:rPr>
              <w:t>询比</w:t>
            </w:r>
            <w:r>
              <w:rPr>
                <w:rFonts w:hint="eastAsia" w:ascii="宋体" w:hAnsi="宋体" w:eastAsia="宋体" w:cs="宋体"/>
                <w:b/>
                <w:bCs/>
                <w:color w:val="auto"/>
                <w:sz w:val="24"/>
                <w:szCs w:val="24"/>
                <w:highlight w:val="none"/>
              </w:rPr>
              <w:t>报价给以10%的价格扣除，用扣除后的价格参加评审。评审价格=最后</w:t>
            </w:r>
            <w:r>
              <w:rPr>
                <w:rFonts w:hint="eastAsia" w:ascii="宋体" w:hAnsi="宋体" w:eastAsia="宋体" w:cs="宋体"/>
                <w:b/>
                <w:bCs/>
                <w:color w:val="auto"/>
                <w:sz w:val="24"/>
                <w:szCs w:val="24"/>
                <w:highlight w:val="none"/>
                <w:lang w:eastAsia="zh-CN"/>
              </w:rPr>
              <w:t>询比</w:t>
            </w:r>
            <w:r>
              <w:rPr>
                <w:rFonts w:hint="eastAsia" w:ascii="宋体" w:hAnsi="宋体" w:eastAsia="宋体" w:cs="宋体"/>
                <w:b/>
                <w:bCs/>
                <w:color w:val="auto"/>
                <w:sz w:val="24"/>
                <w:szCs w:val="24"/>
                <w:highlight w:val="none"/>
              </w:rPr>
              <w:t>报价*90%</w:t>
            </w:r>
          </w:p>
          <w:p>
            <w:pPr>
              <w:pStyle w:val="4"/>
              <w:keepNext w:val="0"/>
              <w:keepLines w:val="0"/>
              <w:pageBreakBefore w:val="0"/>
              <w:widowControl w:val="0"/>
              <w:kinsoku/>
              <w:wordWrap/>
              <w:overflowPunct/>
              <w:topLinePunct w:val="0"/>
              <w:autoSpaceDE/>
              <w:autoSpaceDN/>
              <w:bidi w:val="0"/>
              <w:adjustRightInd/>
              <w:snapToGrid/>
              <w:spacing w:after="0" w:line="480" w:lineRule="exact"/>
              <w:ind w:left="0" w:leftChars="0" w:right="0" w:rightChars="0" w:firstLine="0" w:firstLineChars="0"/>
              <w:jc w:val="both"/>
              <w:textAlignment w:val="auto"/>
              <w:outlineLvl w:val="9"/>
              <w:rPr>
                <w:rFonts w:hint="eastAsia" w:ascii="宋体" w:hAnsi="宋体" w:eastAsia="宋体" w:cs="宋体"/>
                <w:b/>
                <w:bCs w:val="0"/>
                <w:color w:val="auto"/>
                <w:sz w:val="24"/>
                <w:szCs w:val="24"/>
                <w:highlight w:val="none"/>
                <w:lang w:eastAsia="zh-Hans"/>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rPr>
              <w:t>计算结果保留小数点后 2 位，第3位四舍五入。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42" w:type="dxa"/>
            <w:gridSpan w:val="2"/>
            <w:vMerge w:val="restart"/>
            <w:noWrap w:val="0"/>
            <w:vAlign w:val="center"/>
          </w:tcPr>
          <w:p>
            <w:pPr>
              <w:keepNext w:val="0"/>
              <w:keepLines w:val="0"/>
              <w:pageBreakBefore w:val="0"/>
              <w:widowControl w:val="0"/>
              <w:kinsoku/>
              <w:wordWrap/>
              <w:overflowPunct/>
              <w:topLinePunct w:val="0"/>
              <w:autoSpaceDE/>
              <w:autoSpaceDN/>
              <w:bidi w:val="0"/>
              <w:snapToGrid w:val="0"/>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F2</w:t>
            </w:r>
          </w:p>
        </w:tc>
        <w:tc>
          <w:tcPr>
            <w:tcW w:w="1239" w:type="dxa"/>
            <w:gridSpan w:val="2"/>
            <w:vMerge w:val="restart"/>
            <w:noWrap w:val="0"/>
            <w:vAlign w:val="center"/>
          </w:tcPr>
          <w:p>
            <w:pPr>
              <w:keepNext w:val="0"/>
              <w:keepLines w:val="0"/>
              <w:pageBreakBefore w:val="0"/>
              <w:kinsoku/>
              <w:wordWrap/>
              <w:overflowPunct/>
              <w:topLinePunct w:val="0"/>
              <w:autoSpaceDE/>
              <w:autoSpaceDN/>
              <w:bidi w:val="0"/>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rPr>
              <w:t>分）</w:t>
            </w:r>
          </w:p>
        </w:tc>
        <w:tc>
          <w:tcPr>
            <w:tcW w:w="2083" w:type="dxa"/>
            <w:vMerge w:val="restart"/>
            <w:noWrap w:val="0"/>
            <w:vAlign w:val="center"/>
          </w:tcPr>
          <w:p>
            <w:pPr>
              <w:keepNext w:val="0"/>
              <w:keepLines w:val="0"/>
              <w:pageBreakBefore w:val="0"/>
              <w:kinsoku/>
              <w:wordWrap/>
              <w:overflowPunct/>
              <w:topLinePunct w:val="0"/>
              <w:autoSpaceDE/>
              <w:autoSpaceDN/>
              <w:bidi w:val="0"/>
              <w:adjustRightInd w:val="0"/>
              <w:snapToGrid w:val="0"/>
              <w:spacing w:line="480" w:lineRule="exact"/>
              <w:ind w:left="0" w:leftChars="0" w:right="0" w:rightChars="0" w:firstLine="0" w:firstLineChars="0"/>
              <w:jc w:val="center"/>
              <w:textAlignment w:val="auto"/>
              <w:outlineLvl w:val="9"/>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技术要求响应程度</w:t>
            </w:r>
          </w:p>
          <w:p>
            <w:pPr>
              <w:keepNext w:val="0"/>
              <w:keepLines w:val="0"/>
              <w:pageBreakBefore w:val="0"/>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color w:val="auto"/>
                <w:kern w:val="0"/>
                <w:sz w:val="24"/>
                <w:szCs w:val="24"/>
                <w:highlight w:val="none"/>
              </w:rPr>
              <w:t>（满分</w:t>
            </w:r>
            <w:r>
              <w:rPr>
                <w:rFonts w:hint="eastAsia" w:ascii="宋体" w:hAnsi="宋体" w:eastAsia="宋体" w:cs="宋体"/>
                <w:b w:val="0"/>
                <w:bCs/>
                <w:color w:val="auto"/>
                <w:kern w:val="0"/>
                <w:sz w:val="24"/>
                <w:szCs w:val="24"/>
                <w:highlight w:val="none"/>
                <w:lang w:val="en-US" w:eastAsia="zh-CN"/>
              </w:rPr>
              <w:t>40</w:t>
            </w:r>
            <w:r>
              <w:rPr>
                <w:rFonts w:hint="eastAsia" w:ascii="宋体" w:hAnsi="宋体" w:eastAsia="宋体" w:cs="宋体"/>
                <w:b w:val="0"/>
                <w:bCs/>
                <w:color w:val="auto"/>
                <w:kern w:val="0"/>
                <w:sz w:val="24"/>
                <w:szCs w:val="24"/>
                <w:highlight w:val="none"/>
              </w:rPr>
              <w:t>分）</w:t>
            </w:r>
          </w:p>
        </w:tc>
        <w:tc>
          <w:tcPr>
            <w:tcW w:w="5370" w:type="dxa"/>
            <w:gridSpan w:val="2"/>
            <w:noWrap w:val="0"/>
            <w:vAlign w:val="top"/>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left"/>
              <w:textAlignment w:val="auto"/>
              <w:rPr>
                <w:rFonts w:hint="eastAsia" w:ascii="宋体" w:hAnsi="宋体" w:eastAsia="宋体" w:cs="宋体"/>
                <w:b/>
                <w:bCs w:val="0"/>
                <w:color w:val="auto"/>
                <w:sz w:val="24"/>
                <w:szCs w:val="24"/>
                <w:highlight w:val="none"/>
                <w:lang w:val="en-US" w:eastAsia="zh-CN" w:bidi="ar"/>
              </w:rPr>
            </w:pPr>
            <w:r>
              <w:rPr>
                <w:rFonts w:hint="eastAsia" w:ascii="宋体" w:hAnsi="宋体" w:eastAsia="宋体" w:cs="宋体"/>
                <w:b/>
                <w:bCs w:val="0"/>
                <w:color w:val="auto"/>
                <w:sz w:val="24"/>
                <w:szCs w:val="24"/>
                <w:highlight w:val="none"/>
                <w:lang w:val="en-US" w:eastAsia="zh-CN" w:bidi="ar"/>
              </w:rPr>
              <w:t>1包：</w:t>
            </w:r>
          </w:p>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（1）第五章“采购需求及要求”，标注“▲”号的为重要技术参数，每出现一项标注三角号（“▲”）的重要技术参数不满足询比采购文件要求的扣3分；</w:t>
            </w:r>
          </w:p>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（2）非“▲”号技术参数为一般技术参数，每出现一项一般技术参数不满足询比采购文件要求扣1分，扣完为止。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42"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color w:val="auto"/>
                <w:highlight w:val="none"/>
              </w:rPr>
            </w:pPr>
          </w:p>
        </w:tc>
        <w:tc>
          <w:tcPr>
            <w:tcW w:w="1239"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color w:val="auto"/>
                <w:highlight w:val="none"/>
              </w:rPr>
            </w:pPr>
          </w:p>
        </w:tc>
        <w:tc>
          <w:tcPr>
            <w:tcW w:w="2083"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color w:val="auto"/>
                <w:highlight w:val="none"/>
              </w:rPr>
            </w:pPr>
          </w:p>
        </w:tc>
        <w:tc>
          <w:tcPr>
            <w:tcW w:w="5370" w:type="dxa"/>
            <w:gridSpan w:val="2"/>
            <w:noWrap w:val="0"/>
            <w:vAlign w:val="top"/>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left"/>
              <w:textAlignment w:val="auto"/>
              <w:rPr>
                <w:rFonts w:hint="eastAsia" w:ascii="宋体" w:hAnsi="宋体" w:eastAsia="宋体" w:cs="宋体"/>
                <w:b/>
                <w:bCs w:val="0"/>
                <w:color w:val="auto"/>
                <w:sz w:val="24"/>
                <w:szCs w:val="24"/>
                <w:highlight w:val="none"/>
                <w:lang w:val="en-US" w:eastAsia="zh-CN" w:bidi="ar"/>
              </w:rPr>
            </w:pPr>
            <w:r>
              <w:rPr>
                <w:rFonts w:hint="eastAsia" w:ascii="宋体" w:hAnsi="宋体" w:eastAsia="宋体" w:cs="宋体"/>
                <w:b/>
                <w:bCs w:val="0"/>
                <w:color w:val="auto"/>
                <w:sz w:val="24"/>
                <w:szCs w:val="24"/>
                <w:highlight w:val="none"/>
                <w:lang w:val="en-US" w:eastAsia="zh-CN" w:bidi="ar"/>
              </w:rPr>
              <w:t>2、3包：</w:t>
            </w:r>
          </w:p>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（1）第五章“采购需求及要求”，标注“▲”号的为重要技术参数，每出现一项标注三角号（“▲”）的重要技术参数不满足询比采购文件要求的扣2分；</w:t>
            </w:r>
          </w:p>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（2）非“▲”号技术参数为一般技术参数，每出现一项一般技术参数不满足询比采购文件要求扣1分，扣完为止。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42"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color w:val="auto"/>
                <w:highlight w:val="none"/>
              </w:rPr>
            </w:pPr>
          </w:p>
        </w:tc>
        <w:tc>
          <w:tcPr>
            <w:tcW w:w="1239" w:type="dxa"/>
            <w:gridSpan w:val="2"/>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color w:val="auto"/>
                <w:highlight w:val="none"/>
              </w:rPr>
            </w:pPr>
          </w:p>
        </w:tc>
        <w:tc>
          <w:tcPr>
            <w:tcW w:w="7453" w:type="dxa"/>
            <w:gridSpan w:val="3"/>
            <w:noWrap w:val="0"/>
            <w:vAlign w:val="center"/>
          </w:tcPr>
          <w:p>
            <w:pPr>
              <w:keepNext w:val="0"/>
              <w:keepLines w:val="0"/>
              <w:pageBreakBefore w:val="0"/>
              <w:numPr>
                <w:ilvl w:val="0"/>
                <w:numId w:val="0"/>
              </w:numPr>
              <w:kinsoku/>
              <w:wordWrap/>
              <w:overflowPunct/>
              <w:topLinePunct w:val="0"/>
              <w:autoSpaceDE/>
              <w:autoSpaceDN/>
              <w:bidi w:val="0"/>
              <w:adjustRightInd w:val="0"/>
              <w:spacing w:line="480" w:lineRule="exact"/>
              <w:ind w:left="0" w:leftChars="0" w:right="0" w:rightChars="0"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 xml:space="preserve">    根据供应商提供的技术参数响应偏离表和技术支持资料，对照询比采购文件的技术参数进行比较。所投报价产品指标全部满足或优于询比采购文件技术参数的得40分。</w:t>
            </w:r>
          </w:p>
          <w:p>
            <w:pPr>
              <w:keepNext w:val="0"/>
              <w:keepLines w:val="0"/>
              <w:pageBreakBefore w:val="0"/>
              <w:numPr>
                <w:ilvl w:val="0"/>
                <w:numId w:val="0"/>
              </w:numPr>
              <w:kinsoku/>
              <w:wordWrap/>
              <w:overflowPunct/>
              <w:topLinePunct w:val="0"/>
              <w:autoSpaceDE/>
              <w:autoSpaceDN/>
              <w:bidi w:val="0"/>
              <w:adjustRightInd w:val="0"/>
              <w:spacing w:line="48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eastAsia="zh-CN"/>
              </w:rPr>
              <w:t>供应商响应文件</w:t>
            </w:r>
            <w:r>
              <w:rPr>
                <w:rFonts w:hint="eastAsia" w:ascii="宋体" w:hAnsi="宋体" w:eastAsia="宋体" w:cs="宋体"/>
                <w:color w:val="auto"/>
                <w:sz w:val="24"/>
                <w:szCs w:val="24"/>
                <w:highlight w:val="none"/>
              </w:rPr>
              <w:t>中技术支持资料参数与《</w:t>
            </w:r>
            <w:r>
              <w:rPr>
                <w:rFonts w:hint="eastAsia" w:ascii="宋体" w:hAnsi="宋体" w:eastAsia="宋体" w:cs="宋体"/>
                <w:color w:val="auto"/>
                <w:sz w:val="24"/>
                <w:szCs w:val="24"/>
                <w:highlight w:val="none"/>
                <w:lang w:val="en-US" w:eastAsia="zh-CN"/>
              </w:rPr>
              <w:t>技术参数响应偏离表</w:t>
            </w:r>
            <w:r>
              <w:rPr>
                <w:rFonts w:hint="eastAsia" w:ascii="宋体" w:hAnsi="宋体" w:eastAsia="宋体" w:cs="宋体"/>
                <w:color w:val="auto"/>
                <w:sz w:val="24"/>
                <w:szCs w:val="24"/>
                <w:highlight w:val="none"/>
              </w:rPr>
              <w:t>》应答不符，而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又未在</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中作出说明和解释的，视为不响应该条技术参数要求，按负偏离扣分。</w:t>
            </w:r>
          </w:p>
          <w:p>
            <w:pPr>
              <w:keepNext w:val="0"/>
              <w:keepLines w:val="0"/>
              <w:pageBreakBefore w:val="0"/>
              <w:kinsoku/>
              <w:wordWrap/>
              <w:overflowPunct/>
              <w:topLinePunct w:val="0"/>
              <w:autoSpaceDE/>
              <w:autoSpaceDN/>
              <w:bidi w:val="0"/>
              <w:adjustRightInd w:val="0"/>
              <w:spacing w:line="48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eastAsia="zh-CN"/>
              </w:rPr>
              <w:t>供应商响应文件</w:t>
            </w:r>
            <w:r>
              <w:rPr>
                <w:rFonts w:hint="eastAsia" w:ascii="宋体" w:hAnsi="宋体" w:eastAsia="宋体" w:cs="宋体"/>
                <w:color w:val="auto"/>
                <w:sz w:val="24"/>
                <w:szCs w:val="24"/>
                <w:highlight w:val="none"/>
              </w:rPr>
              <w:t>中未提供技术支持资料或者</w:t>
            </w:r>
            <w:r>
              <w:rPr>
                <w:rFonts w:hint="eastAsia" w:ascii="宋体" w:hAnsi="宋体" w:eastAsia="宋体" w:cs="宋体"/>
                <w:color w:val="auto"/>
                <w:sz w:val="24"/>
                <w:szCs w:val="24"/>
                <w:highlight w:val="none"/>
                <w:lang w:eastAsia="zh-Hans"/>
              </w:rPr>
              <w:t>提供的</w:t>
            </w:r>
            <w:r>
              <w:rPr>
                <w:rFonts w:hint="eastAsia" w:ascii="宋体" w:hAnsi="宋体" w:eastAsia="宋体" w:cs="宋体"/>
                <w:color w:val="auto"/>
                <w:sz w:val="24"/>
                <w:szCs w:val="24"/>
                <w:highlight w:val="none"/>
              </w:rPr>
              <w:t>技术支持资料无法对应具体参数的评审时按照</w:t>
            </w:r>
            <w:r>
              <w:rPr>
                <w:rFonts w:hint="eastAsia" w:ascii="宋体" w:hAnsi="宋体" w:eastAsia="宋体" w:cs="宋体"/>
                <w:color w:val="auto"/>
                <w:sz w:val="24"/>
                <w:szCs w:val="24"/>
                <w:highlight w:val="none"/>
                <w:lang w:eastAsia="zh-CN"/>
              </w:rPr>
              <w:t>供应商响应文件</w:t>
            </w:r>
            <w:r>
              <w:rPr>
                <w:rFonts w:hint="eastAsia" w:ascii="宋体" w:hAnsi="宋体" w:eastAsia="宋体" w:cs="宋体"/>
                <w:color w:val="auto"/>
                <w:sz w:val="24"/>
                <w:szCs w:val="24"/>
                <w:highlight w:val="none"/>
              </w:rPr>
              <w:t>中的《</w:t>
            </w:r>
            <w:r>
              <w:rPr>
                <w:rFonts w:hint="eastAsia" w:ascii="宋体" w:hAnsi="宋体" w:eastAsia="宋体" w:cs="宋体"/>
                <w:color w:val="auto"/>
                <w:sz w:val="24"/>
                <w:szCs w:val="24"/>
                <w:highlight w:val="none"/>
                <w:lang w:val="en-US" w:eastAsia="zh-CN"/>
              </w:rPr>
              <w:t>技术参数响应偏离表</w:t>
            </w:r>
            <w:r>
              <w:rPr>
                <w:rFonts w:hint="eastAsia" w:ascii="宋体" w:hAnsi="宋体" w:eastAsia="宋体" w:cs="宋体"/>
                <w:color w:val="auto"/>
                <w:sz w:val="24"/>
                <w:szCs w:val="24"/>
                <w:highlight w:val="none"/>
              </w:rPr>
              <w:t>》响应情况进行评审。如</w:t>
            </w:r>
            <w:r>
              <w:rPr>
                <w:rFonts w:hint="eastAsia" w:ascii="宋体" w:hAnsi="宋体" w:eastAsia="宋体" w:cs="宋体"/>
                <w:color w:val="auto"/>
                <w:sz w:val="24"/>
                <w:szCs w:val="24"/>
                <w:highlight w:val="none"/>
                <w:lang w:eastAsia="zh-Hans"/>
              </w:rPr>
              <w:t>因</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lang w:eastAsia="zh-Hans"/>
              </w:rPr>
              <w:t>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技术参数响应偏离表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Hans"/>
              </w:rPr>
              <w:t>做出</w:t>
            </w:r>
            <w:r>
              <w:rPr>
                <w:rFonts w:hint="eastAsia" w:ascii="宋体" w:hAnsi="宋体" w:eastAsia="宋体" w:cs="宋体"/>
                <w:color w:val="auto"/>
                <w:sz w:val="24"/>
                <w:szCs w:val="24"/>
                <w:highlight w:val="none"/>
              </w:rPr>
              <w:t>虚假响应，</w:t>
            </w:r>
            <w:r>
              <w:rPr>
                <w:rFonts w:hint="eastAsia" w:ascii="宋体" w:hAnsi="宋体" w:eastAsia="宋体" w:cs="宋体"/>
                <w:color w:val="auto"/>
                <w:sz w:val="24"/>
                <w:szCs w:val="24"/>
                <w:highlight w:val="none"/>
                <w:lang w:eastAsia="zh-Hans"/>
              </w:rPr>
              <w:t>从而导致的一切不利后果由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lang w:eastAsia="zh-Hans"/>
              </w:rPr>
              <w:t>自行承担直至追究相关</w:t>
            </w:r>
            <w:r>
              <w:rPr>
                <w:rFonts w:hint="eastAsia" w:ascii="宋体" w:hAnsi="宋体" w:eastAsia="宋体" w:cs="宋体"/>
                <w:color w:val="auto"/>
                <w:sz w:val="24"/>
                <w:szCs w:val="24"/>
                <w:highlight w:val="none"/>
              </w:rPr>
              <w:t xml:space="preserve">法律责任。 </w:t>
            </w:r>
          </w:p>
          <w:p>
            <w:pPr>
              <w:keepNext w:val="0"/>
              <w:keepLines w:val="0"/>
              <w:pageBreakBefore w:val="0"/>
              <w:widowControl/>
              <w:suppressLineNumbers w:val="0"/>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rPr>
              <w:t>技术支持资料可以为技术白皮书或检测报告或印刷宣传彩页或图纸或功能截图等相关证明材料</w:t>
            </w:r>
            <w:r>
              <w:rPr>
                <w:rFonts w:hint="eastAsia" w:ascii="宋体" w:hAnsi="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42" w:type="dxa"/>
            <w:gridSpan w:val="2"/>
            <w:vMerge w:val="restart"/>
            <w:noWrap w:val="0"/>
            <w:vAlign w:val="center"/>
          </w:tcPr>
          <w:p>
            <w:pPr>
              <w:keepNext w:val="0"/>
              <w:keepLines w:val="0"/>
              <w:pageBreakBefore w:val="0"/>
              <w:widowControl w:val="0"/>
              <w:kinsoku/>
              <w:wordWrap/>
              <w:overflowPunct/>
              <w:topLinePunct w:val="0"/>
              <w:autoSpaceDE/>
              <w:autoSpaceDN/>
              <w:bidi w:val="0"/>
              <w:snapToGrid w:val="0"/>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w:t>
            </w:r>
            <w:r>
              <w:rPr>
                <w:rFonts w:hint="eastAsia" w:ascii="宋体" w:hAnsi="宋体" w:eastAsia="宋体" w:cs="宋体"/>
                <w:color w:val="auto"/>
                <w:sz w:val="24"/>
                <w:szCs w:val="24"/>
                <w:highlight w:val="none"/>
                <w:lang w:val="en-US" w:eastAsia="zh-CN"/>
              </w:rPr>
              <w:t>3</w:t>
            </w:r>
          </w:p>
        </w:tc>
        <w:tc>
          <w:tcPr>
            <w:tcW w:w="1239" w:type="dxa"/>
            <w:gridSpan w:val="2"/>
            <w:vMerge w:val="restart"/>
            <w:noWrap w:val="0"/>
            <w:vAlign w:val="center"/>
          </w:tcPr>
          <w:p>
            <w:pPr>
              <w:keepNext w:val="0"/>
              <w:keepLines w:val="0"/>
              <w:pageBreakBefore w:val="0"/>
              <w:kinsoku/>
              <w:wordWrap/>
              <w:overflowPunct/>
              <w:topLinePunct w:val="0"/>
              <w:autoSpaceDE/>
              <w:autoSpaceDN/>
              <w:bidi w:val="0"/>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商务</w:t>
            </w:r>
            <w:r>
              <w:rPr>
                <w:rFonts w:hint="eastAsia" w:ascii="宋体" w:hAnsi="宋体" w:eastAsia="宋体" w:cs="宋体"/>
                <w:color w:val="auto"/>
                <w:sz w:val="24"/>
                <w:szCs w:val="24"/>
                <w:highlight w:val="none"/>
              </w:rPr>
              <w:t>部分</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2083" w:type="dxa"/>
            <w:noWrap w:val="0"/>
            <w:vAlign w:val="center"/>
          </w:tcPr>
          <w:p>
            <w:pPr>
              <w:keepNext w:val="0"/>
              <w:keepLines w:val="0"/>
              <w:pageBreakBefore w:val="0"/>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项目供货方案</w:t>
            </w:r>
          </w:p>
          <w:p>
            <w:pPr>
              <w:keepNext w:val="0"/>
              <w:keepLines w:val="0"/>
              <w:pageBreakBefore w:val="0"/>
              <w:kinsoku/>
              <w:wordWrap/>
              <w:overflowPunct/>
              <w:topLinePunct w:val="0"/>
              <w:autoSpaceDE/>
              <w:autoSpaceDN/>
              <w:bidi w:val="0"/>
              <w:spacing w:line="480" w:lineRule="exact"/>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（满分</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tc>
        <w:tc>
          <w:tcPr>
            <w:tcW w:w="5370" w:type="dxa"/>
            <w:gridSpan w:val="2"/>
            <w:noWrap w:val="0"/>
            <w:vAlign w:val="center"/>
          </w:tcPr>
          <w:p>
            <w:pPr>
              <w:keepNext w:val="0"/>
              <w:keepLines w:val="0"/>
              <w:pageBreakBefore w:val="0"/>
              <w:widowControl w:val="0"/>
              <w:kinsoku/>
              <w:wordWrap/>
              <w:overflowPunct/>
              <w:topLinePunct w:val="0"/>
              <w:autoSpaceDE/>
              <w:autoSpaceDN/>
              <w:bidi w:val="0"/>
              <w:adjustRightInd w:val="0"/>
              <w:snapToGrid/>
              <w:spacing w:line="48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根据供应商提供的（1）供货方案；（2）进度安排(包括交货、安装调试及验收等各项工作)；（3）供货保证措施及惩处措施进行综合评审： </w:t>
            </w:r>
          </w:p>
          <w:p>
            <w:pPr>
              <w:keepNext w:val="0"/>
              <w:keepLines w:val="0"/>
              <w:pageBreakBefore w:val="0"/>
              <w:widowControl w:val="0"/>
              <w:kinsoku/>
              <w:wordWrap/>
              <w:overflowPunct/>
              <w:topLinePunct w:val="0"/>
              <w:autoSpaceDE/>
              <w:autoSpaceDN/>
              <w:bidi w:val="0"/>
              <w:adjustRightInd w:val="0"/>
              <w:snapToGrid/>
              <w:spacing w:line="48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供货方案及进度安排(包括交货、安装调试及验收等各项工作) 完善具体、合理可行，针对性强，有对应切实可行的供货保证措施及惩处措施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完</w:t>
            </w:r>
            <w:r>
              <w:rPr>
                <w:rFonts w:hint="eastAsia" w:ascii="宋体" w:hAnsi="宋体" w:eastAsia="宋体" w:cs="宋体"/>
                <w:color w:val="auto"/>
                <w:sz w:val="24"/>
                <w:szCs w:val="24"/>
                <w:highlight w:val="none"/>
                <w:lang w:val="en-US" w:eastAsia="zh-CN"/>
              </w:rPr>
              <w:t>全</w:t>
            </w:r>
            <w:r>
              <w:rPr>
                <w:rFonts w:hint="eastAsia" w:ascii="宋体" w:hAnsi="宋体" w:eastAsia="宋体" w:cs="宋体"/>
                <w:color w:val="auto"/>
                <w:sz w:val="24"/>
                <w:szCs w:val="24"/>
                <w:highlight w:val="none"/>
              </w:rPr>
              <w:t>满足采购人需求</w:t>
            </w:r>
            <w:r>
              <w:rPr>
                <w:rFonts w:hint="eastAsia" w:ascii="宋体" w:hAnsi="宋体" w:eastAsia="宋体" w:cs="宋体"/>
                <w:color w:val="auto"/>
                <w:sz w:val="24"/>
                <w:szCs w:val="24"/>
                <w:highlight w:val="none"/>
                <w:lang w:val="en-US" w:eastAsia="zh-CN"/>
              </w:rPr>
              <w:t>的得满分9分；</w:t>
            </w:r>
          </w:p>
          <w:p>
            <w:pPr>
              <w:keepNext w:val="0"/>
              <w:keepLines w:val="0"/>
              <w:pageBreakBefore w:val="0"/>
              <w:widowControl w:val="0"/>
              <w:kinsoku/>
              <w:wordWrap/>
              <w:overflowPunct/>
              <w:topLinePunct w:val="0"/>
              <w:autoSpaceDE/>
              <w:autoSpaceDN/>
              <w:bidi w:val="0"/>
              <w:adjustRightInd w:val="0"/>
              <w:snapToGrid/>
              <w:spacing w:line="48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②以上“（1）、（2）、（3）”三项内容每缺少一项内容扣3分；</w:t>
            </w:r>
          </w:p>
          <w:p>
            <w:pPr>
              <w:keepNext w:val="0"/>
              <w:keepLines w:val="0"/>
              <w:pageBreakBefore w:val="0"/>
              <w:widowControl w:val="0"/>
              <w:kinsoku/>
              <w:wordWrap/>
              <w:overflowPunct/>
              <w:topLinePunct w:val="0"/>
              <w:autoSpaceDE/>
              <w:autoSpaceDN/>
              <w:bidi w:val="0"/>
              <w:adjustRightInd w:val="0"/>
              <w:snapToGrid/>
              <w:spacing w:line="48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③以上任意一项内容每有一处描述缺陷的扣1分；以上内容涉及到的描述缺陷是指：内容无针对性，不全面、不清晰、无可行性，内容与实际情况不匹配、不符合项目特点或无法达到预期效果、不适用于本项目、内容不符合相关规范要求、内容与本项目无关等任意一种情形</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color w:val="auto"/>
                <w:sz w:val="24"/>
                <w:szCs w:val="24"/>
                <w:highlight w:val="none"/>
              </w:rPr>
              <w:t>：②③条款不重复扣分，扣完为止。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42" w:type="dxa"/>
            <w:gridSpan w:val="2"/>
            <w:vMerge w:val="continue"/>
            <w:noWrap w:val="0"/>
            <w:vAlign w:val="center"/>
          </w:tcPr>
          <w:p>
            <w:pPr>
              <w:keepNext w:val="0"/>
              <w:keepLines w:val="0"/>
              <w:pageBreakBefore w:val="0"/>
              <w:widowControl w:val="0"/>
              <w:kinsoku/>
              <w:wordWrap/>
              <w:overflowPunct/>
              <w:topLinePunct w:val="0"/>
              <w:autoSpaceDE/>
              <w:autoSpaceDN/>
              <w:bidi w:val="0"/>
              <w:snapToGrid w:val="0"/>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23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2083" w:type="dxa"/>
            <w:noWrap w:val="0"/>
            <w:vAlign w:val="center"/>
          </w:tcPr>
          <w:p>
            <w:pPr>
              <w:keepNext w:val="0"/>
              <w:keepLines w:val="0"/>
              <w:pageBreakBefore w:val="0"/>
              <w:widowControl w:val="0"/>
              <w:kinsoku/>
              <w:wordWrap/>
              <w:overflowPunct/>
              <w:topLinePunct w:val="0"/>
              <w:autoSpaceDE/>
              <w:autoSpaceDN/>
              <w:bidi w:val="0"/>
              <w:adjustRightInd w:val="0"/>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质量保证</w:t>
            </w:r>
            <w:r>
              <w:rPr>
                <w:rFonts w:hint="eastAsia" w:ascii="宋体" w:hAnsi="宋体" w:eastAsia="宋体" w:cs="宋体"/>
                <w:color w:val="auto"/>
                <w:sz w:val="24"/>
                <w:szCs w:val="24"/>
                <w:highlight w:val="none"/>
                <w:lang w:val="en-US" w:eastAsia="zh-CN"/>
              </w:rPr>
              <w:t>措施</w:t>
            </w:r>
            <w:r>
              <w:rPr>
                <w:rFonts w:hint="eastAsia" w:ascii="宋体" w:hAnsi="宋体" w:eastAsia="宋体" w:cs="宋体"/>
                <w:color w:val="auto"/>
                <w:sz w:val="24"/>
                <w:szCs w:val="24"/>
                <w:highlight w:val="none"/>
                <w:lang w:eastAsia="zh-CN"/>
              </w:rPr>
              <w:t>及保障承诺</w:t>
            </w:r>
          </w:p>
          <w:p>
            <w:pPr>
              <w:keepNext w:val="0"/>
              <w:keepLines w:val="0"/>
              <w:pageBreakBefore w:val="0"/>
              <w:widowControl w:val="0"/>
              <w:kinsoku/>
              <w:wordWrap/>
              <w:overflowPunct/>
              <w:topLinePunct w:val="0"/>
              <w:autoSpaceDE/>
              <w:autoSpaceDN/>
              <w:bidi w:val="0"/>
              <w:adjustRightInd w:val="0"/>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（满分</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5370" w:type="dxa"/>
            <w:gridSpan w:val="2"/>
            <w:noWrap w:val="0"/>
            <w:vAlign w:val="center"/>
          </w:tcPr>
          <w:p>
            <w:pPr>
              <w:keepNext w:val="0"/>
              <w:keepLines w:val="0"/>
              <w:pageBreakBefore w:val="0"/>
              <w:widowControl w:val="0"/>
              <w:kinsoku/>
              <w:wordWrap/>
              <w:overflowPunct/>
              <w:topLinePunct w:val="0"/>
              <w:autoSpaceDE/>
              <w:autoSpaceDN/>
              <w:bidi w:val="0"/>
              <w:adjustRightInd w:val="0"/>
              <w:snapToGrid/>
              <w:spacing w:line="48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根据供应商提供的（1）产品</w:t>
            </w:r>
            <w:r>
              <w:rPr>
                <w:rFonts w:hint="eastAsia" w:ascii="宋体" w:hAnsi="宋体" w:eastAsia="宋体" w:cs="宋体"/>
                <w:color w:val="auto"/>
                <w:sz w:val="24"/>
                <w:szCs w:val="24"/>
                <w:highlight w:val="none"/>
                <w:lang w:eastAsia="zh-CN"/>
              </w:rPr>
              <w:t>质量保证</w:t>
            </w:r>
            <w:r>
              <w:rPr>
                <w:rFonts w:hint="eastAsia" w:ascii="宋体" w:hAnsi="宋体" w:eastAsia="宋体" w:cs="宋体"/>
                <w:color w:val="auto"/>
                <w:sz w:val="24"/>
                <w:szCs w:val="24"/>
                <w:highlight w:val="none"/>
                <w:lang w:val="en-US" w:eastAsia="zh-CN"/>
              </w:rPr>
              <w:t>措施</w:t>
            </w:r>
            <w:r>
              <w:rPr>
                <w:rFonts w:hint="eastAsia" w:ascii="宋体" w:hAnsi="宋体" w:eastAsia="宋体" w:cs="宋体"/>
                <w:color w:val="auto"/>
                <w:sz w:val="24"/>
                <w:szCs w:val="24"/>
                <w:highlight w:val="none"/>
                <w:lang w:eastAsia="zh-CN"/>
              </w:rPr>
              <w:t>及保障承诺；</w:t>
            </w:r>
            <w:r>
              <w:rPr>
                <w:rFonts w:hint="eastAsia" w:ascii="宋体" w:hAnsi="宋体" w:eastAsia="宋体" w:cs="宋体"/>
                <w:b w:val="0"/>
                <w:bCs w:val="0"/>
                <w:color w:val="auto"/>
                <w:sz w:val="24"/>
                <w:szCs w:val="24"/>
                <w:highlight w:val="none"/>
                <w:lang w:val="en-US" w:eastAsia="zh-CN"/>
              </w:rPr>
              <w:t>（2）相对应的惩处措施</w:t>
            </w:r>
            <w:r>
              <w:rPr>
                <w:rFonts w:hint="eastAsia" w:ascii="宋体" w:hAnsi="宋体" w:eastAsia="宋体" w:cs="宋体"/>
                <w:color w:val="auto"/>
                <w:sz w:val="24"/>
                <w:szCs w:val="24"/>
                <w:highlight w:val="none"/>
                <w:lang w:val="en-US" w:eastAsia="zh-CN"/>
              </w:rPr>
              <w:t xml:space="preserve">进行综合评审： </w:t>
            </w:r>
          </w:p>
          <w:p>
            <w:pPr>
              <w:keepNext w:val="0"/>
              <w:keepLines w:val="0"/>
              <w:pageBreakBefore w:val="0"/>
              <w:widowControl w:val="0"/>
              <w:kinsoku/>
              <w:wordWrap/>
              <w:overflowPunct/>
              <w:topLinePunct w:val="0"/>
              <w:autoSpaceDE/>
              <w:autoSpaceDN/>
              <w:bidi w:val="0"/>
              <w:adjustRightInd w:val="0"/>
              <w:snapToGrid/>
              <w:spacing w:line="48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lang w:eastAsia="zh-CN"/>
              </w:rPr>
              <w:t>产品质量保证</w:t>
            </w:r>
            <w:r>
              <w:rPr>
                <w:rFonts w:hint="eastAsia" w:ascii="宋体" w:hAnsi="宋体" w:eastAsia="宋体" w:cs="宋体"/>
                <w:color w:val="auto"/>
                <w:sz w:val="24"/>
                <w:szCs w:val="24"/>
                <w:highlight w:val="none"/>
                <w:lang w:val="en-US" w:eastAsia="zh-CN"/>
              </w:rPr>
              <w:t>措施</w:t>
            </w:r>
            <w:r>
              <w:rPr>
                <w:rFonts w:hint="eastAsia" w:ascii="宋体" w:hAnsi="宋体" w:eastAsia="宋体" w:cs="宋体"/>
                <w:color w:val="auto"/>
                <w:sz w:val="24"/>
                <w:szCs w:val="24"/>
                <w:highlight w:val="none"/>
                <w:lang w:eastAsia="zh-CN"/>
              </w:rPr>
              <w:t>及保障承诺全面、合理、</w:t>
            </w:r>
            <w:r>
              <w:rPr>
                <w:rFonts w:hint="eastAsia" w:ascii="宋体" w:hAnsi="宋体" w:eastAsia="宋体" w:cs="宋体"/>
                <w:color w:val="auto"/>
                <w:sz w:val="24"/>
                <w:szCs w:val="24"/>
                <w:highlight w:val="none"/>
                <w:lang w:val="en-US" w:eastAsia="zh-CN"/>
              </w:rPr>
              <w:t>针对性强，有具体的违约责任承诺的得满分10分</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48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②以上“（1）、（2）”两项内容每缺少一项内容扣5分；</w:t>
            </w:r>
          </w:p>
          <w:p>
            <w:pPr>
              <w:keepNext w:val="0"/>
              <w:keepLines w:val="0"/>
              <w:pageBreakBefore w:val="0"/>
              <w:widowControl w:val="0"/>
              <w:kinsoku/>
              <w:wordWrap/>
              <w:overflowPunct/>
              <w:topLinePunct w:val="0"/>
              <w:autoSpaceDE/>
              <w:autoSpaceDN/>
              <w:bidi w:val="0"/>
              <w:adjustRightInd w:val="0"/>
              <w:snapToGrid/>
              <w:spacing w:line="48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③以上任意一项内容每有一处描述缺陷的扣1分；以上内容涉及到的描述缺陷是指：</w:t>
            </w:r>
            <w:r>
              <w:rPr>
                <w:rFonts w:hint="eastAsia" w:ascii="宋体" w:hAnsi="宋体" w:eastAsia="宋体" w:cs="宋体"/>
                <w:color w:val="auto"/>
                <w:sz w:val="24"/>
                <w:szCs w:val="24"/>
                <w:highlight w:val="none"/>
                <w:lang w:eastAsia="zh-CN"/>
              </w:rPr>
              <w:t>质量保证</w:t>
            </w:r>
            <w:r>
              <w:rPr>
                <w:rFonts w:hint="eastAsia" w:ascii="宋体" w:hAnsi="宋体" w:eastAsia="宋体" w:cs="宋体"/>
                <w:color w:val="auto"/>
                <w:sz w:val="24"/>
                <w:szCs w:val="24"/>
                <w:highlight w:val="none"/>
                <w:lang w:val="en-US" w:eastAsia="zh-CN"/>
              </w:rPr>
              <w:t>措施</w:t>
            </w:r>
            <w:r>
              <w:rPr>
                <w:rFonts w:hint="eastAsia" w:ascii="宋体" w:hAnsi="宋体" w:eastAsia="宋体" w:cs="宋体"/>
                <w:color w:val="auto"/>
                <w:sz w:val="24"/>
                <w:szCs w:val="24"/>
                <w:highlight w:val="none"/>
                <w:lang w:eastAsia="zh-CN"/>
              </w:rPr>
              <w:t>及保障承诺</w:t>
            </w:r>
            <w:r>
              <w:rPr>
                <w:rFonts w:hint="eastAsia" w:ascii="宋体" w:hAnsi="宋体" w:eastAsia="宋体" w:cs="宋体"/>
                <w:color w:val="auto"/>
                <w:sz w:val="24"/>
                <w:szCs w:val="24"/>
                <w:highlight w:val="none"/>
              </w:rPr>
              <w:t>不符合采购人实际情况，</w:t>
            </w:r>
            <w:r>
              <w:rPr>
                <w:rFonts w:hint="eastAsia" w:ascii="宋体" w:hAnsi="宋体" w:eastAsia="宋体" w:cs="宋体"/>
                <w:color w:val="auto"/>
                <w:sz w:val="24"/>
                <w:szCs w:val="24"/>
                <w:highlight w:val="none"/>
                <w:lang w:val="en-US" w:eastAsia="zh-CN"/>
              </w:rPr>
              <w:t>内容无针对性，不全面、不清晰、不符合项目特点或无法达到预期效果、内容不符合相关规范要求、内容与本项目无关等任意一种情形</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480" w:lineRule="exact"/>
              <w:ind w:left="0" w:leftChars="0" w:right="0" w:rightChars="0" w:firstLine="0" w:firstLineChars="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color w:val="auto"/>
                <w:sz w:val="24"/>
                <w:szCs w:val="24"/>
                <w:highlight w:val="none"/>
              </w:rPr>
              <w:t>：②③条款不重复扣分，扣完为止。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42" w:type="dxa"/>
            <w:gridSpan w:val="2"/>
            <w:vMerge w:val="continue"/>
            <w:noWrap w:val="0"/>
            <w:vAlign w:val="center"/>
          </w:tcPr>
          <w:p>
            <w:pPr>
              <w:keepNext w:val="0"/>
              <w:keepLines w:val="0"/>
              <w:pageBreakBefore w:val="0"/>
              <w:widowControl w:val="0"/>
              <w:kinsoku/>
              <w:wordWrap/>
              <w:overflowPunct/>
              <w:topLinePunct w:val="0"/>
              <w:autoSpaceDE/>
              <w:autoSpaceDN/>
              <w:bidi w:val="0"/>
              <w:snapToGrid w:val="0"/>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23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2083" w:type="dxa"/>
            <w:noWrap w:val="0"/>
            <w:vAlign w:val="center"/>
          </w:tcPr>
          <w:p>
            <w:pPr>
              <w:keepNext w:val="0"/>
              <w:keepLines w:val="0"/>
              <w:pageBreakBefore w:val="0"/>
              <w:widowControl w:val="0"/>
              <w:kinsoku/>
              <w:wordWrap/>
              <w:overflowPunct/>
              <w:topLinePunct w:val="0"/>
              <w:autoSpaceDE/>
              <w:autoSpaceDN/>
              <w:bidi w:val="0"/>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售后服务</w:t>
            </w:r>
            <w:r>
              <w:rPr>
                <w:rFonts w:hint="eastAsia" w:ascii="宋体" w:hAnsi="宋体" w:eastAsia="宋体" w:cs="宋体"/>
                <w:color w:val="auto"/>
                <w:sz w:val="24"/>
                <w:szCs w:val="24"/>
                <w:highlight w:val="none"/>
                <w:lang w:val="en-US" w:eastAsia="zh-CN"/>
              </w:rPr>
              <w:t>方案</w:t>
            </w:r>
          </w:p>
          <w:p>
            <w:pPr>
              <w:keepNext w:val="0"/>
              <w:keepLines w:val="0"/>
              <w:pageBreakBefore w:val="0"/>
              <w:widowControl w:val="0"/>
              <w:kinsoku/>
              <w:wordWrap/>
              <w:overflowPunct/>
              <w:topLinePunct w:val="0"/>
              <w:autoSpaceDE/>
              <w:autoSpaceDN/>
              <w:bidi w:val="0"/>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（满分</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tc>
        <w:tc>
          <w:tcPr>
            <w:tcW w:w="5370" w:type="dxa"/>
            <w:gridSpan w:val="2"/>
            <w:noWrap w:val="0"/>
            <w:vAlign w:val="center"/>
          </w:tcPr>
          <w:p>
            <w:pPr>
              <w:keepNext w:val="0"/>
              <w:keepLines w:val="0"/>
              <w:pageBreakBefore w:val="0"/>
              <w:kinsoku/>
              <w:wordWrap/>
              <w:overflowPunct/>
              <w:topLinePunct w:val="0"/>
              <w:autoSpaceDE/>
              <w:autoSpaceDN/>
              <w:bidi w:val="0"/>
              <w:spacing w:line="48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根据供应商提供的售后服务方案进行评审，包括但不限于</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spacing w:line="48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质保期内售后服务方案（包括：维修政策承诺情况、维修服务响应时限、巡检维护周期、巡检计划内容、设备预防性维护、性能优化、问题诊断及故障排除、售后服务技术人员的配备情况、培训方案（提供音视频频资料或纸质培训资料）；（2）质保期外售后服务方案（包括：维修政策承诺情况、维修服务响应时限、巡检维护周期、巡检计划内容、设备预防性维护、性能优化、问题诊断及故障排除、售后服务技术人员的配备情况）；（3）相对应的惩处措施</w:t>
            </w:r>
            <w:r>
              <w:rPr>
                <w:rFonts w:hint="eastAsia" w:ascii="宋体" w:hAnsi="宋体" w:eastAsia="宋体" w:cs="宋体"/>
                <w:b w:val="0"/>
                <w:bCs w:val="0"/>
                <w:color w:val="auto"/>
                <w:sz w:val="24"/>
                <w:szCs w:val="24"/>
                <w:highlight w:val="none"/>
                <w:lang w:val="en-US" w:eastAsia="zh-CN"/>
              </w:rPr>
              <w:t>。</w:t>
            </w:r>
          </w:p>
          <w:p>
            <w:pPr>
              <w:keepNext w:val="0"/>
              <w:keepLines w:val="0"/>
              <w:pageBreakBefore w:val="0"/>
              <w:kinsoku/>
              <w:wordWrap/>
              <w:overflowPunct/>
              <w:topLinePunct w:val="0"/>
              <w:autoSpaceDE/>
              <w:autoSpaceDN/>
              <w:bidi w:val="0"/>
              <w:spacing w:line="48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售后服务方案及承诺完整、表述清晰、有针对性、完全贴合项目需求的得</w:t>
            </w:r>
            <w:r>
              <w:rPr>
                <w:rFonts w:hint="eastAsia" w:ascii="宋体" w:hAnsi="宋体" w:eastAsia="宋体" w:cs="宋体"/>
                <w:color w:val="auto"/>
                <w:sz w:val="24"/>
                <w:szCs w:val="24"/>
                <w:highlight w:val="none"/>
                <w:lang w:val="en-US" w:eastAsia="zh-CN"/>
              </w:rPr>
              <w:t>满分9</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autoSpaceDN/>
              <w:bidi w:val="0"/>
              <w:spacing w:line="480" w:lineRule="exact"/>
              <w:ind w:left="0" w:leftChars="0" w:right="0" w:righ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②以上“（1）、（2）、（3）”三项内容每缺少一项内容扣3分；</w:t>
            </w:r>
          </w:p>
          <w:p>
            <w:pPr>
              <w:keepNext w:val="0"/>
              <w:keepLines w:val="0"/>
              <w:pageBreakBefore w:val="0"/>
              <w:kinsoku/>
              <w:wordWrap/>
              <w:overflowPunct/>
              <w:topLinePunct w:val="0"/>
              <w:autoSpaceDE/>
              <w:autoSpaceDN/>
              <w:bidi w:val="0"/>
              <w:spacing w:line="480" w:lineRule="exact"/>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③以上任意一项内容每有一处描述缺陷的</w:t>
            </w:r>
            <w:r>
              <w:rPr>
                <w:rFonts w:hint="eastAsia" w:ascii="宋体" w:hAnsi="宋体" w:eastAsia="宋体" w:cs="宋体"/>
                <w:color w:val="auto"/>
                <w:sz w:val="24"/>
                <w:szCs w:val="24"/>
                <w:highlight w:val="none"/>
              </w:rPr>
              <w:t>扣</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以上内容涉及到的描述缺陷是指</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内容无针对性，不全面、不清晰、无可行性，内容与实际情况不匹配、不符合项目特点或无法达到预期效果、不适用于本项目、内容不符合相关规范要求、内容与本项目无关等任意一种情形。</w:t>
            </w:r>
          </w:p>
          <w:p>
            <w:pPr>
              <w:keepNext w:val="0"/>
              <w:keepLines w:val="0"/>
              <w:pageBreakBefore w:val="0"/>
              <w:kinsoku/>
              <w:wordWrap/>
              <w:overflowPunct/>
              <w:topLinePunct w:val="0"/>
              <w:autoSpaceDE/>
              <w:autoSpaceDN/>
              <w:bidi w:val="0"/>
              <w:spacing w:line="480" w:lineRule="exact"/>
              <w:ind w:left="0" w:leftChars="0" w:right="0" w:rightChars="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color w:val="auto"/>
                <w:sz w:val="24"/>
                <w:szCs w:val="24"/>
                <w:highlight w:val="none"/>
              </w:rPr>
              <w:t>：②③条款不重复扣分，扣完为止。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42" w:type="dxa"/>
            <w:gridSpan w:val="2"/>
            <w:vMerge w:val="continue"/>
            <w:noWrap w:val="0"/>
            <w:vAlign w:val="center"/>
          </w:tcPr>
          <w:p>
            <w:pPr>
              <w:keepNext w:val="0"/>
              <w:keepLines w:val="0"/>
              <w:pageBreakBefore w:val="0"/>
              <w:widowControl w:val="0"/>
              <w:kinsoku/>
              <w:wordWrap/>
              <w:overflowPunct/>
              <w:topLinePunct w:val="0"/>
              <w:autoSpaceDE/>
              <w:autoSpaceDN/>
              <w:bidi w:val="0"/>
              <w:snapToGrid w:val="0"/>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1239" w:type="dxa"/>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p>
        </w:tc>
        <w:tc>
          <w:tcPr>
            <w:tcW w:w="2083" w:type="dxa"/>
            <w:noWrap w:val="0"/>
            <w:vAlign w:val="center"/>
          </w:tcPr>
          <w:p>
            <w:pPr>
              <w:keepNext w:val="0"/>
              <w:keepLines w:val="0"/>
              <w:pageBreakBefore w:val="0"/>
              <w:widowControl w:val="0"/>
              <w:kinsoku/>
              <w:wordWrap/>
              <w:overflowPunct/>
              <w:topLinePunct w:val="0"/>
              <w:autoSpaceDE/>
              <w:autoSpaceDN/>
              <w:bidi w:val="0"/>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类似</w:t>
            </w:r>
            <w:r>
              <w:rPr>
                <w:rFonts w:hint="eastAsia" w:ascii="宋体" w:hAnsi="宋体" w:eastAsia="宋体" w:cs="宋体"/>
                <w:color w:val="auto"/>
                <w:sz w:val="24"/>
                <w:szCs w:val="24"/>
                <w:highlight w:val="none"/>
              </w:rPr>
              <w:t>业绩</w:t>
            </w:r>
          </w:p>
          <w:p>
            <w:pPr>
              <w:keepNext w:val="0"/>
              <w:keepLines w:val="0"/>
              <w:pageBreakBefore w:val="0"/>
              <w:widowControl w:val="0"/>
              <w:kinsoku/>
              <w:wordWrap/>
              <w:overflowPunct/>
              <w:topLinePunct w:val="0"/>
              <w:autoSpaceDE/>
              <w:autoSpaceDN/>
              <w:bidi w:val="0"/>
              <w:snapToGrid/>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满分</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5370" w:type="dxa"/>
            <w:gridSpan w:val="2"/>
            <w:noWrap w:val="0"/>
            <w:vAlign w:val="center"/>
          </w:tcPr>
          <w:p>
            <w:pPr>
              <w:keepNext w:val="0"/>
              <w:keepLines w:val="0"/>
              <w:pageBreakBefore w:val="0"/>
              <w:widowControl w:val="0"/>
              <w:kinsoku/>
              <w:wordWrap/>
              <w:overflowPunct/>
              <w:topLinePunct w:val="0"/>
              <w:autoSpaceDE/>
              <w:autoSpaceDN/>
              <w:bidi w:val="0"/>
              <w:snapToGrid/>
              <w:spacing w:line="480" w:lineRule="exact"/>
              <w:ind w:left="0" w:leftChars="0" w:right="0" w:rightChars="0" w:firstLine="0" w:firstLineChars="0"/>
              <w:jc w:val="lef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供应商</w:t>
            </w:r>
            <w:r>
              <w:rPr>
                <w:rFonts w:hint="eastAsia" w:ascii="宋体" w:hAnsi="宋体" w:eastAsia="宋体" w:cs="宋体"/>
                <w:bCs/>
                <w:color w:val="auto"/>
                <w:sz w:val="24"/>
                <w:szCs w:val="24"/>
                <w:highlight w:val="none"/>
              </w:rPr>
              <w:t>20</w:t>
            </w:r>
            <w:r>
              <w:rPr>
                <w:rFonts w:hint="eastAsia" w:ascii="宋体" w:hAnsi="宋体" w:eastAsia="宋体" w:cs="宋体"/>
                <w:bCs/>
                <w:color w:val="auto"/>
                <w:sz w:val="24"/>
                <w:szCs w:val="24"/>
                <w:highlight w:val="none"/>
                <w:lang w:val="en-US" w:eastAsia="zh-CN"/>
              </w:rPr>
              <w:t>21</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lang w:val="en-US" w:eastAsia="zh-CN"/>
              </w:rPr>
              <w:t>1月1日</w:t>
            </w:r>
            <w:r>
              <w:rPr>
                <w:rFonts w:hint="eastAsia" w:ascii="宋体" w:hAnsi="宋体" w:eastAsia="宋体" w:cs="宋体"/>
                <w:bCs/>
                <w:color w:val="auto"/>
                <w:sz w:val="24"/>
                <w:szCs w:val="24"/>
                <w:highlight w:val="none"/>
              </w:rPr>
              <w:t>至今（以合同签订时间为准）具有</w:t>
            </w:r>
            <w:r>
              <w:rPr>
                <w:rFonts w:hint="eastAsia" w:ascii="宋体" w:hAnsi="宋体" w:eastAsia="宋体" w:cs="宋体"/>
                <w:bCs/>
                <w:color w:val="auto"/>
                <w:sz w:val="24"/>
                <w:szCs w:val="24"/>
                <w:highlight w:val="none"/>
                <w:lang w:val="en-US" w:eastAsia="zh-CN"/>
              </w:rPr>
              <w:t>类似业绩的</w:t>
            </w:r>
            <w:r>
              <w:rPr>
                <w:rFonts w:hint="eastAsia" w:ascii="宋体" w:hAnsi="宋体" w:eastAsia="宋体" w:cs="宋体"/>
                <w:bCs/>
                <w:color w:val="auto"/>
                <w:sz w:val="24"/>
                <w:szCs w:val="24"/>
                <w:highlight w:val="none"/>
              </w:rPr>
              <w:t>，每</w:t>
            </w:r>
            <w:r>
              <w:rPr>
                <w:rFonts w:hint="eastAsia" w:ascii="宋体" w:hAnsi="宋体" w:eastAsia="宋体" w:cs="宋体"/>
                <w:bCs/>
                <w:color w:val="auto"/>
                <w:sz w:val="24"/>
                <w:szCs w:val="24"/>
                <w:highlight w:val="none"/>
                <w:lang w:val="en-US" w:eastAsia="zh-CN"/>
              </w:rPr>
              <w:t>提供一</w:t>
            </w:r>
            <w:r>
              <w:rPr>
                <w:rFonts w:hint="eastAsia" w:ascii="宋体" w:hAnsi="宋体" w:eastAsia="宋体" w:cs="宋体"/>
                <w:bCs/>
                <w:color w:val="auto"/>
                <w:sz w:val="24"/>
                <w:szCs w:val="24"/>
                <w:highlight w:val="none"/>
              </w:rPr>
              <w:t>项得</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分，满分</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p>
          <w:p>
            <w:pPr>
              <w:pStyle w:val="9"/>
              <w:keepNext w:val="0"/>
              <w:keepLines w:val="0"/>
              <w:pageBreakBefore w:val="0"/>
              <w:widowControl w:val="0"/>
              <w:kinsoku/>
              <w:wordWrap/>
              <w:overflowPunct/>
              <w:topLinePunct w:val="0"/>
              <w:autoSpaceDE/>
              <w:autoSpaceDN/>
              <w:bidi w:val="0"/>
              <w:snapToGrid/>
              <w:spacing w:line="480" w:lineRule="exact"/>
              <w:ind w:left="0" w:leftChars="0" w:right="0" w:rightChars="0" w:firstLine="0" w:firstLine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val="0"/>
                <w:color w:val="auto"/>
                <w:sz w:val="24"/>
                <w:szCs w:val="24"/>
                <w:highlight w:val="none"/>
              </w:rPr>
              <w:t>注：</w:t>
            </w:r>
            <w:r>
              <w:rPr>
                <w:rFonts w:hint="eastAsia" w:ascii="宋体" w:hAnsi="宋体" w:eastAsia="宋体" w:cs="宋体"/>
                <w:b/>
                <w:bCs w:val="0"/>
                <w:color w:val="auto"/>
                <w:sz w:val="24"/>
                <w:szCs w:val="24"/>
                <w:highlight w:val="none"/>
                <w:lang w:eastAsia="zh-CN"/>
              </w:rPr>
              <w:t>响应文件</w:t>
            </w:r>
            <w:r>
              <w:rPr>
                <w:rFonts w:hint="eastAsia" w:ascii="宋体" w:hAnsi="宋体" w:eastAsia="宋体" w:cs="宋体"/>
                <w:b/>
                <w:bCs w:val="0"/>
                <w:color w:val="auto"/>
                <w:sz w:val="24"/>
                <w:szCs w:val="24"/>
                <w:highlight w:val="none"/>
              </w:rPr>
              <w:t>中附合同</w:t>
            </w:r>
            <w:r>
              <w:rPr>
                <w:rFonts w:hint="eastAsia" w:ascii="宋体" w:hAnsi="宋体" w:eastAsia="宋体" w:cs="宋体"/>
                <w:b/>
                <w:bCs w:val="0"/>
                <w:color w:val="auto"/>
                <w:sz w:val="24"/>
                <w:szCs w:val="24"/>
                <w:highlight w:val="none"/>
                <w:lang w:val="en-US" w:eastAsia="zh-CN"/>
              </w:rPr>
              <w:t>的扫描件或复印件</w:t>
            </w: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val="en-US" w:eastAsia="zh-CN"/>
              </w:rPr>
              <w:t>否则</w:t>
            </w:r>
            <w:r>
              <w:rPr>
                <w:rFonts w:hint="eastAsia" w:ascii="宋体" w:hAnsi="宋体" w:eastAsia="宋体" w:cs="宋体"/>
                <w:b/>
                <w:bCs w:val="0"/>
                <w:color w:val="auto"/>
                <w:sz w:val="24"/>
                <w:szCs w:val="24"/>
                <w:highlight w: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42" w:type="dxa"/>
            <w:gridSpan w:val="2"/>
            <w:noWrap w:val="0"/>
            <w:vAlign w:val="center"/>
          </w:tcPr>
          <w:p>
            <w:pPr>
              <w:keepNext w:val="0"/>
              <w:keepLines w:val="0"/>
              <w:pageBreakBefore w:val="0"/>
              <w:widowControl w:val="0"/>
              <w:kinsoku/>
              <w:wordWrap/>
              <w:overflowPunct/>
              <w:topLinePunct w:val="0"/>
              <w:autoSpaceDE/>
              <w:autoSpaceDN/>
              <w:bidi w:val="0"/>
              <w:snapToGrid w:val="0"/>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四</w:t>
            </w:r>
          </w:p>
        </w:tc>
        <w:tc>
          <w:tcPr>
            <w:tcW w:w="1239" w:type="dxa"/>
            <w:gridSpan w:val="2"/>
            <w:noWrap w:val="0"/>
            <w:vAlign w:val="center"/>
          </w:tcPr>
          <w:p>
            <w:pPr>
              <w:keepNext w:val="0"/>
              <w:keepLines w:val="0"/>
              <w:pageBreakBefore w:val="0"/>
              <w:widowControl w:val="0"/>
              <w:kinsoku/>
              <w:wordWrap/>
              <w:overflowPunct/>
              <w:topLinePunct w:val="0"/>
              <w:autoSpaceDE/>
              <w:autoSpaceDN/>
              <w:bidi w:val="0"/>
              <w:snapToGrid w:val="0"/>
              <w:spacing w:line="480" w:lineRule="exact"/>
              <w:ind w:left="0" w:leftChars="0" w:right="0" w:righ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w:t>
            </w:r>
            <w:r>
              <w:rPr>
                <w:rFonts w:hint="eastAsia" w:ascii="宋体" w:hAnsi="宋体" w:eastAsia="宋体" w:cs="宋体"/>
                <w:color w:val="auto"/>
                <w:sz w:val="24"/>
                <w:szCs w:val="24"/>
                <w:highlight w:val="none"/>
                <w:lang w:val="en-US" w:eastAsia="zh-CN"/>
              </w:rPr>
              <w:t>评</w:t>
            </w:r>
            <w:r>
              <w:rPr>
                <w:rFonts w:hint="eastAsia" w:ascii="宋体" w:hAnsi="宋体" w:eastAsia="宋体" w:cs="宋体"/>
                <w:color w:val="auto"/>
                <w:sz w:val="24"/>
                <w:szCs w:val="24"/>
                <w:highlight w:val="none"/>
              </w:rPr>
              <w:t>分办法</w:t>
            </w:r>
          </w:p>
        </w:tc>
        <w:tc>
          <w:tcPr>
            <w:tcW w:w="7453" w:type="dxa"/>
            <w:gridSpan w:val="3"/>
            <w:noWrap w:val="0"/>
            <w:vAlign w:val="center"/>
          </w:tcPr>
          <w:p>
            <w:pPr>
              <w:keepNext w:val="0"/>
              <w:keepLines w:val="0"/>
              <w:pageBreakBefore w:val="0"/>
              <w:widowControl w:val="0"/>
              <w:kinsoku/>
              <w:wordWrap/>
              <w:overflowPunct/>
              <w:topLinePunct w:val="0"/>
              <w:autoSpaceDE/>
              <w:autoSpaceDN/>
              <w:bidi w:val="0"/>
              <w:spacing w:line="480" w:lineRule="exact"/>
              <w:ind w:left="0" w:leftChars="0" w:right="0" w:rightChars="0" w:firstLine="0" w:firstLineChars="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后，由</w:t>
            </w:r>
            <w:r>
              <w:rPr>
                <w:rFonts w:hint="eastAsia" w:ascii="宋体" w:hAnsi="宋体" w:eastAsia="宋体" w:cs="宋体"/>
                <w:color w:val="auto"/>
                <w:sz w:val="24"/>
                <w:szCs w:val="24"/>
                <w:highlight w:val="none"/>
                <w:lang w:eastAsia="zh-CN"/>
              </w:rPr>
              <w:t>询比小组</w:t>
            </w:r>
            <w:r>
              <w:rPr>
                <w:rFonts w:hint="eastAsia" w:ascii="宋体" w:hAnsi="宋体" w:eastAsia="宋体" w:cs="宋体"/>
                <w:color w:val="auto"/>
                <w:sz w:val="24"/>
                <w:szCs w:val="24"/>
                <w:highlight w:val="none"/>
              </w:rPr>
              <w:t>采用综合评分法对各供应商的技术部分评审得分</w:t>
            </w:r>
            <w:r>
              <w:rPr>
                <w:rFonts w:hint="eastAsia" w:ascii="宋体" w:hAnsi="宋体" w:eastAsia="宋体" w:cs="宋体"/>
                <w:color w:val="auto"/>
                <w:sz w:val="24"/>
                <w:szCs w:val="24"/>
                <w:highlight w:val="none"/>
                <w:lang w:val="en-US" w:eastAsia="zh-CN"/>
              </w:rPr>
              <w:t>加商务</w:t>
            </w:r>
            <w:r>
              <w:rPr>
                <w:rFonts w:hint="eastAsia" w:ascii="宋体" w:hAnsi="宋体" w:eastAsia="宋体" w:cs="宋体"/>
                <w:color w:val="auto"/>
                <w:sz w:val="24"/>
                <w:szCs w:val="24"/>
                <w:highlight w:val="none"/>
              </w:rPr>
              <w:t>部分评审得分加</w:t>
            </w:r>
            <w:r>
              <w:rPr>
                <w:rFonts w:hint="eastAsia" w:ascii="宋体" w:hAnsi="宋体" w:eastAsia="宋体" w:cs="宋体"/>
                <w:color w:val="auto"/>
                <w:sz w:val="24"/>
                <w:szCs w:val="24"/>
                <w:highlight w:val="none"/>
                <w:lang w:val="en-US" w:eastAsia="zh-CN"/>
              </w:rPr>
              <w:t>询比</w:t>
            </w:r>
            <w:r>
              <w:rPr>
                <w:rFonts w:hint="eastAsia" w:ascii="宋体" w:hAnsi="宋体" w:eastAsia="宋体" w:cs="宋体"/>
                <w:color w:val="auto"/>
                <w:sz w:val="24"/>
                <w:szCs w:val="24"/>
                <w:highlight w:val="none"/>
              </w:rPr>
              <w:t>报价计算得分为供应商</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总得分，按照评审得分由高到低顺序推荐成交候选供应商，并编写评审报告。评审得分相同的，按照报价由低到高的顺序推荐。评审得分且报价相同的，按照技术指标优劣顺序推荐。</w:t>
            </w:r>
          </w:p>
        </w:tc>
      </w:tr>
    </w:tbl>
    <w:p>
      <w:pPr>
        <w:pStyle w:val="2"/>
        <w:keepNext/>
        <w:keepLines/>
        <w:pageBreakBefore w:val="0"/>
        <w:widowControl w:val="0"/>
        <w:kinsoku/>
        <w:wordWrap/>
        <w:overflowPunct/>
        <w:topLinePunct w:val="0"/>
        <w:autoSpaceDE/>
        <w:autoSpaceDN/>
        <w:bidi w:val="0"/>
        <w:adjustRightInd/>
        <w:snapToGrid/>
        <w:spacing w:before="140" w:after="140" w:line="360" w:lineRule="auto"/>
        <w:ind w:left="0" w:leftChars="0" w:right="0" w:rightChars="0" w:firstLine="0" w:firstLineChars="0"/>
        <w:jc w:val="center"/>
        <w:textAlignment w:val="auto"/>
        <w:outlineLvl w:val="1"/>
        <w:rPr>
          <w:rFonts w:hint="eastAsia" w:ascii="宋体" w:hAnsi="宋体" w:eastAsia="宋体"/>
          <w:color w:val="auto"/>
          <w:sz w:val="28"/>
          <w:szCs w:val="18"/>
          <w:highlight w:val="none"/>
        </w:rPr>
      </w:pPr>
      <w:r>
        <w:rPr>
          <w:rFonts w:hint="eastAsia" w:ascii="宋体" w:hAnsi="宋体" w:eastAsia="宋体"/>
          <w:color w:val="auto"/>
          <w:sz w:val="28"/>
          <w:szCs w:val="18"/>
          <w:highlight w:val="none"/>
          <w:lang w:eastAsia="zh-CN"/>
        </w:rPr>
        <w:t>评审方法</w:t>
      </w:r>
    </w:p>
    <w:p>
      <w:pPr>
        <w:pStyle w:val="3"/>
        <w:pageBreakBefore w:val="0"/>
        <w:numPr>
          <w:ilvl w:val="0"/>
          <w:numId w:val="0"/>
        </w:numPr>
        <w:kinsoku/>
        <w:wordWrap/>
        <w:overflowPunct/>
        <w:topLinePunct w:val="0"/>
        <w:autoSpaceDE/>
        <w:autoSpaceDN/>
        <w:bidi w:val="0"/>
        <w:snapToGrid/>
        <w:spacing w:before="0" w:after="0" w:line="360" w:lineRule="auto"/>
        <w:ind w:left="0" w:leftChars="0" w:right="0" w:rightChars="0" w:firstLine="482" w:firstLineChars="200"/>
        <w:textAlignment w:val="auto"/>
        <w:rPr>
          <w:rFonts w:hint="eastAsia" w:ascii="宋体" w:hAnsi="宋体" w:eastAsia="宋体" w:cs="宋体"/>
          <w:color w:val="auto"/>
          <w:sz w:val="24"/>
          <w:szCs w:val="24"/>
          <w:highlight w:val="none"/>
        </w:rPr>
      </w:pPr>
      <w:bookmarkStart w:id="2" w:name="_Toc448924472"/>
      <w:bookmarkStart w:id="3" w:name="_Toc448924152"/>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方法：</w:t>
      </w:r>
      <w:bookmarkEnd w:id="2"/>
      <w:bookmarkEnd w:id="3"/>
    </w:p>
    <w:p>
      <w:pPr>
        <w:pStyle w:val="6"/>
        <w:pageBreakBefore w:val="0"/>
        <w:tabs>
          <w:tab w:val="left" w:pos="540"/>
        </w:tabs>
        <w:kinsoku/>
        <w:wordWrap/>
        <w:overflowPunct/>
        <w:topLinePunct w:val="0"/>
        <w:autoSpaceDE/>
        <w:autoSpaceDN/>
        <w:bidi w:val="0"/>
        <w:adjustRightInd w:val="0"/>
        <w:snapToGrid/>
        <w:spacing w:after="0"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1.1本次</w:t>
      </w:r>
      <w:r>
        <w:rPr>
          <w:rFonts w:hint="eastAsia" w:ascii="宋体" w:hAnsi="宋体" w:eastAsia="宋体" w:cs="宋体"/>
          <w:b w:val="0"/>
          <w:bCs/>
          <w:color w:val="auto"/>
          <w:sz w:val="24"/>
          <w:szCs w:val="24"/>
          <w:highlight w:val="none"/>
          <w:lang w:val="en-US" w:eastAsia="zh-CN"/>
        </w:rPr>
        <w:t>评审</w:t>
      </w:r>
      <w:r>
        <w:rPr>
          <w:rFonts w:hint="eastAsia" w:ascii="宋体" w:hAnsi="宋体" w:eastAsia="宋体" w:cs="宋体"/>
          <w:b w:val="0"/>
          <w:bCs/>
          <w:color w:val="auto"/>
          <w:sz w:val="24"/>
          <w:szCs w:val="24"/>
          <w:highlight w:val="none"/>
        </w:rPr>
        <w:t>采用综合评分法。</w:t>
      </w:r>
      <w:r>
        <w:rPr>
          <w:rFonts w:hint="eastAsia" w:ascii="宋体" w:hAnsi="宋体" w:eastAsia="宋体" w:cs="宋体"/>
          <w:b w:val="0"/>
          <w:bCs/>
          <w:color w:val="auto"/>
          <w:sz w:val="24"/>
          <w:szCs w:val="24"/>
          <w:highlight w:val="none"/>
          <w:lang w:eastAsia="zh-CN"/>
        </w:rPr>
        <w:t>询比小组</w:t>
      </w:r>
      <w:r>
        <w:rPr>
          <w:rFonts w:hint="eastAsia" w:ascii="宋体" w:hAnsi="宋体" w:eastAsia="宋体" w:cs="宋体"/>
          <w:b w:val="0"/>
          <w:bCs/>
          <w:color w:val="auto"/>
          <w:sz w:val="24"/>
          <w:szCs w:val="24"/>
          <w:highlight w:val="none"/>
        </w:rPr>
        <w:t>采用综合评分法对各供应商的技术部分评审得分</w:t>
      </w:r>
      <w:r>
        <w:rPr>
          <w:rFonts w:hint="eastAsia" w:ascii="宋体" w:hAnsi="宋体" w:eastAsia="宋体" w:cs="宋体"/>
          <w:color w:val="auto"/>
          <w:sz w:val="24"/>
          <w:szCs w:val="24"/>
          <w:highlight w:val="none"/>
          <w:lang w:val="en-US" w:eastAsia="zh-CN"/>
        </w:rPr>
        <w:t>加商务</w:t>
      </w:r>
      <w:r>
        <w:rPr>
          <w:rFonts w:hint="eastAsia" w:ascii="宋体" w:hAnsi="宋体" w:eastAsia="宋体" w:cs="宋体"/>
          <w:color w:val="auto"/>
          <w:sz w:val="24"/>
          <w:szCs w:val="24"/>
          <w:highlight w:val="none"/>
        </w:rPr>
        <w:t>部分评审得分</w:t>
      </w:r>
      <w:r>
        <w:rPr>
          <w:rFonts w:hint="eastAsia" w:ascii="宋体" w:hAnsi="宋体" w:eastAsia="宋体" w:cs="宋体"/>
          <w:b w:val="0"/>
          <w:bCs/>
          <w:color w:val="auto"/>
          <w:sz w:val="24"/>
          <w:szCs w:val="24"/>
          <w:highlight w:val="none"/>
        </w:rPr>
        <w:t>加</w:t>
      </w:r>
      <w:r>
        <w:rPr>
          <w:rFonts w:hint="eastAsia" w:ascii="宋体" w:hAnsi="宋体" w:eastAsia="宋体" w:cs="宋体"/>
          <w:b w:val="0"/>
          <w:bCs/>
          <w:color w:val="auto"/>
          <w:sz w:val="24"/>
          <w:szCs w:val="24"/>
          <w:highlight w:val="none"/>
          <w:lang w:val="en-US" w:eastAsia="zh-CN"/>
        </w:rPr>
        <w:t>询比</w:t>
      </w:r>
      <w:r>
        <w:rPr>
          <w:rFonts w:hint="eastAsia" w:ascii="宋体" w:hAnsi="宋体" w:eastAsia="宋体" w:cs="宋体"/>
          <w:b w:val="0"/>
          <w:bCs/>
          <w:color w:val="auto"/>
          <w:sz w:val="24"/>
          <w:szCs w:val="24"/>
          <w:highlight w:val="none"/>
        </w:rPr>
        <w:t>报价计算得分为供应商</w:t>
      </w:r>
      <w:r>
        <w:rPr>
          <w:rFonts w:hint="eastAsia" w:ascii="宋体" w:hAnsi="宋体" w:eastAsia="宋体" w:cs="宋体"/>
          <w:b w:val="0"/>
          <w:bCs/>
          <w:color w:val="auto"/>
          <w:sz w:val="24"/>
          <w:szCs w:val="24"/>
          <w:highlight w:val="none"/>
          <w:lang w:val="en-US" w:eastAsia="zh-CN"/>
        </w:rPr>
        <w:t>评审</w:t>
      </w:r>
      <w:r>
        <w:rPr>
          <w:rFonts w:hint="eastAsia" w:ascii="宋体" w:hAnsi="宋体" w:eastAsia="宋体" w:cs="宋体"/>
          <w:b w:val="0"/>
          <w:bCs/>
          <w:color w:val="auto"/>
          <w:sz w:val="24"/>
          <w:szCs w:val="24"/>
          <w:highlight w:val="none"/>
        </w:rPr>
        <w:t>总得分，按照评审</w:t>
      </w:r>
      <w:r>
        <w:rPr>
          <w:rFonts w:hint="eastAsia" w:ascii="宋体" w:hAnsi="宋体" w:eastAsia="宋体" w:cs="宋体"/>
          <w:b w:val="0"/>
          <w:bCs/>
          <w:color w:val="auto"/>
          <w:sz w:val="24"/>
          <w:szCs w:val="24"/>
          <w:highlight w:val="none"/>
          <w:lang w:val="en-US" w:eastAsia="zh-CN"/>
        </w:rPr>
        <w:t>总</w:t>
      </w:r>
      <w:r>
        <w:rPr>
          <w:rFonts w:hint="eastAsia" w:ascii="宋体" w:hAnsi="宋体" w:eastAsia="宋体" w:cs="宋体"/>
          <w:b w:val="0"/>
          <w:bCs/>
          <w:color w:val="auto"/>
          <w:sz w:val="24"/>
          <w:szCs w:val="24"/>
          <w:highlight w:val="none"/>
        </w:rPr>
        <w:t>得分由高到低顺序推荐成交候选供应商，并编写评审报告。评审</w:t>
      </w:r>
      <w:r>
        <w:rPr>
          <w:rFonts w:hint="eastAsia" w:ascii="宋体" w:hAnsi="宋体" w:eastAsia="宋体" w:cs="宋体"/>
          <w:b w:val="0"/>
          <w:bCs/>
          <w:color w:val="auto"/>
          <w:sz w:val="24"/>
          <w:szCs w:val="24"/>
          <w:highlight w:val="none"/>
          <w:lang w:val="en-US" w:eastAsia="zh-CN"/>
        </w:rPr>
        <w:t>总</w:t>
      </w:r>
      <w:r>
        <w:rPr>
          <w:rFonts w:hint="eastAsia" w:ascii="宋体" w:hAnsi="宋体" w:eastAsia="宋体" w:cs="宋体"/>
          <w:b w:val="0"/>
          <w:bCs/>
          <w:color w:val="auto"/>
          <w:sz w:val="24"/>
          <w:szCs w:val="24"/>
          <w:highlight w:val="none"/>
        </w:rPr>
        <w:t>得分相同的，按照报价由低到高的顺序推荐。评审得分且报价相同的，按照技术指标优劣顺序推荐。</w:t>
      </w:r>
    </w:p>
    <w:p>
      <w:pPr>
        <w:pStyle w:val="3"/>
        <w:pageBreakBefore w:val="0"/>
        <w:numPr>
          <w:ilvl w:val="0"/>
          <w:numId w:val="1"/>
        </w:numPr>
        <w:kinsoku/>
        <w:wordWrap/>
        <w:overflowPunct/>
        <w:topLinePunct w:val="0"/>
        <w:autoSpaceDE/>
        <w:autoSpaceDN/>
        <w:bidi w:val="0"/>
        <w:snapToGrid/>
        <w:spacing w:before="0" w:after="0" w:line="360" w:lineRule="auto"/>
        <w:ind w:left="0" w:leftChars="0" w:right="0" w:righ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p>
      <w:pPr>
        <w:pStyle w:val="5"/>
        <w:pageBreakBefore w:val="0"/>
        <w:tabs>
          <w:tab w:val="left" w:pos="2472"/>
        </w:tabs>
        <w:kinsoku/>
        <w:wordWrap/>
        <w:overflowPunct/>
        <w:topLinePunct w:val="0"/>
        <w:autoSpaceDE/>
        <w:autoSpaceDN/>
        <w:bidi w:val="0"/>
        <w:snapToGrid/>
        <w:spacing w:line="360" w:lineRule="auto"/>
        <w:ind w:left="0" w:leftChars="0" w:right="0" w:righ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2.1资格评审标准：</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评审方法</w:t>
      </w:r>
      <w:r>
        <w:rPr>
          <w:rFonts w:hint="eastAsia" w:ascii="宋体" w:hAnsi="宋体" w:eastAsia="宋体" w:cs="宋体"/>
          <w:color w:val="auto"/>
          <w:sz w:val="24"/>
          <w:szCs w:val="24"/>
          <w:highlight w:val="none"/>
        </w:rPr>
        <w:t>前附表；</w:t>
      </w:r>
    </w:p>
    <w:p>
      <w:pPr>
        <w:pStyle w:val="5"/>
        <w:pageBreakBefore w:val="0"/>
        <w:tabs>
          <w:tab w:val="left" w:pos="2472"/>
        </w:tabs>
        <w:kinsoku/>
        <w:wordWrap/>
        <w:overflowPunct/>
        <w:topLinePunct w:val="0"/>
        <w:autoSpaceDE/>
        <w:autoSpaceDN/>
        <w:bidi w:val="0"/>
        <w:snapToGrid/>
        <w:spacing w:line="360" w:lineRule="auto"/>
        <w:ind w:left="0" w:leftChars="0" w:right="0" w:righ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2.2符合性评审标准：</w:t>
      </w:r>
      <w:r>
        <w:rPr>
          <w:rFonts w:hint="eastAsia" w:ascii="宋体" w:hAnsi="宋体" w:eastAsia="宋体" w:cs="宋体"/>
          <w:color w:val="auto"/>
          <w:sz w:val="24"/>
          <w:szCs w:val="24"/>
          <w:highlight w:val="none"/>
        </w:rPr>
        <w:t>见</w:t>
      </w:r>
      <w:r>
        <w:rPr>
          <w:rFonts w:hint="eastAsia" w:ascii="宋体" w:hAnsi="宋体" w:eastAsia="宋体" w:cs="宋体"/>
          <w:color w:val="auto"/>
          <w:sz w:val="24"/>
          <w:szCs w:val="24"/>
          <w:highlight w:val="none"/>
          <w:lang w:eastAsia="zh-CN"/>
        </w:rPr>
        <w:t>评审方法</w:t>
      </w:r>
      <w:r>
        <w:rPr>
          <w:rFonts w:hint="eastAsia" w:ascii="宋体" w:hAnsi="宋体" w:eastAsia="宋体" w:cs="宋体"/>
          <w:color w:val="auto"/>
          <w:sz w:val="24"/>
          <w:szCs w:val="24"/>
          <w:highlight w:val="none"/>
        </w:rPr>
        <w:t>前附表；</w:t>
      </w:r>
    </w:p>
    <w:p>
      <w:pPr>
        <w:pStyle w:val="5"/>
        <w:pageBreakBefore w:val="0"/>
        <w:tabs>
          <w:tab w:val="left" w:pos="2472"/>
        </w:tabs>
        <w:kinsoku/>
        <w:wordWrap/>
        <w:overflowPunct/>
        <w:topLinePunct w:val="0"/>
        <w:autoSpaceDE/>
        <w:autoSpaceDN/>
        <w:bidi w:val="0"/>
        <w:snapToGri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2.3分值构成与评分标准</w:t>
      </w:r>
    </w:p>
    <w:p>
      <w:pPr>
        <w:pStyle w:val="5"/>
        <w:pageBreakBefore w:val="0"/>
        <w:tabs>
          <w:tab w:val="left" w:pos="2472"/>
        </w:tabs>
        <w:kinsoku/>
        <w:wordWrap/>
        <w:overflowPunct/>
        <w:topLinePunct w:val="0"/>
        <w:autoSpaceDE/>
        <w:autoSpaceDN/>
        <w:bidi w:val="0"/>
        <w:snapToGri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 分值构成</w:t>
      </w:r>
    </w:p>
    <w:p>
      <w:pPr>
        <w:pStyle w:val="5"/>
        <w:pageBreakBefore w:val="0"/>
        <w:tabs>
          <w:tab w:val="left" w:pos="2472"/>
        </w:tabs>
        <w:kinsoku/>
        <w:wordWrap/>
        <w:overflowPunct/>
        <w:topLinePunct w:val="0"/>
        <w:autoSpaceDE/>
        <w:autoSpaceDN/>
        <w:bidi w:val="0"/>
        <w:snapToGri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见评</w:t>
      </w:r>
      <w:r>
        <w:rPr>
          <w:rFonts w:hint="eastAsia" w:ascii="宋体" w:hAnsi="宋体" w:eastAsia="宋体" w:cs="宋体"/>
          <w:color w:val="auto"/>
          <w:sz w:val="24"/>
          <w:szCs w:val="24"/>
          <w:highlight w:val="none"/>
          <w:lang w:val="en-US" w:eastAsia="zh-CN"/>
        </w:rPr>
        <w:t>审</w:t>
      </w:r>
      <w:r>
        <w:rPr>
          <w:rFonts w:hint="eastAsia" w:ascii="宋体" w:hAnsi="宋体" w:eastAsia="宋体" w:cs="宋体"/>
          <w:color w:val="auto"/>
          <w:sz w:val="24"/>
          <w:szCs w:val="24"/>
          <w:highlight w:val="none"/>
        </w:rPr>
        <w:t>方法前附表；</w:t>
      </w:r>
    </w:p>
    <w:p>
      <w:pPr>
        <w:pStyle w:val="5"/>
        <w:pageBreakBefore w:val="0"/>
        <w:tabs>
          <w:tab w:val="left" w:pos="2472"/>
        </w:tabs>
        <w:kinsoku/>
        <w:wordWrap/>
        <w:overflowPunct/>
        <w:topLinePunct w:val="0"/>
        <w:autoSpaceDE/>
        <w:autoSpaceDN/>
        <w:bidi w:val="0"/>
        <w:snapToGri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评分标准</w:t>
      </w:r>
    </w:p>
    <w:p>
      <w:pPr>
        <w:pStyle w:val="5"/>
        <w:pageBreakBefore w:val="0"/>
        <w:tabs>
          <w:tab w:val="left" w:pos="2472"/>
        </w:tabs>
        <w:kinsoku/>
        <w:wordWrap/>
        <w:overflowPunct/>
        <w:topLinePunct w:val="0"/>
        <w:autoSpaceDE/>
        <w:autoSpaceDN/>
        <w:bidi w:val="0"/>
        <w:snapToGri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w:t>
      </w:r>
      <w:r>
        <w:rPr>
          <w:rFonts w:hint="eastAsia" w:hAnsi="宋体" w:eastAsia="宋体" w:cs="宋体"/>
          <w:color w:val="auto"/>
          <w:sz w:val="24"/>
          <w:szCs w:val="24"/>
          <w:highlight w:val="none"/>
          <w:lang w:val="en-US" w:eastAsia="zh-CN"/>
        </w:rPr>
        <w:t>询比采购文件</w:t>
      </w:r>
      <w:r>
        <w:rPr>
          <w:rFonts w:hint="eastAsia" w:ascii="宋体" w:hAnsi="宋体" w:eastAsia="宋体" w:cs="宋体"/>
          <w:color w:val="auto"/>
          <w:sz w:val="24"/>
          <w:szCs w:val="24"/>
          <w:highlight w:val="none"/>
        </w:rPr>
        <w:t>中规定的</w:t>
      </w:r>
      <w:r>
        <w:rPr>
          <w:rFonts w:hint="eastAsia" w:ascii="宋体" w:hAnsi="宋体" w:eastAsia="宋体" w:cs="宋体"/>
          <w:color w:val="auto"/>
          <w:sz w:val="24"/>
          <w:szCs w:val="24"/>
          <w:highlight w:val="none"/>
          <w:lang w:eastAsia="zh-CN"/>
        </w:rPr>
        <w:t>评审方法</w:t>
      </w:r>
      <w:r>
        <w:rPr>
          <w:rFonts w:hint="eastAsia" w:ascii="宋体" w:hAnsi="宋体" w:eastAsia="宋体" w:cs="宋体"/>
          <w:color w:val="auto"/>
          <w:sz w:val="24"/>
          <w:szCs w:val="24"/>
          <w:highlight w:val="none"/>
        </w:rPr>
        <w:t>和标准，对通过资格评审和符合性评审的</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进行报价和技术评估，综合比较与打分。</w:t>
      </w:r>
    </w:p>
    <w:p>
      <w:pPr>
        <w:pStyle w:val="5"/>
        <w:pageBreakBefore w:val="0"/>
        <w:tabs>
          <w:tab w:val="left" w:pos="2472"/>
        </w:tabs>
        <w:kinsoku/>
        <w:wordWrap/>
        <w:overflowPunct/>
        <w:topLinePunct w:val="0"/>
        <w:autoSpaceDE/>
        <w:autoSpaceDN/>
        <w:bidi w:val="0"/>
        <w:snapToGri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（1）报价</w:t>
      </w:r>
      <w:r>
        <w:rPr>
          <w:rFonts w:hint="eastAsia" w:hAnsi="宋体" w:eastAsia="宋体" w:cs="宋体"/>
          <w:color w:val="auto"/>
          <w:sz w:val="24"/>
          <w:szCs w:val="24"/>
          <w:highlight w:val="none"/>
          <w:lang w:val="en-US" w:eastAsia="zh-CN"/>
        </w:rPr>
        <w:t>部分</w:t>
      </w:r>
      <w:r>
        <w:rPr>
          <w:rFonts w:hint="eastAsia" w:ascii="宋体" w:hAnsi="宋体" w:eastAsia="宋体" w:cs="宋体"/>
          <w:color w:val="auto"/>
          <w:sz w:val="24"/>
          <w:szCs w:val="24"/>
          <w:highlight w:val="none"/>
        </w:rPr>
        <w:t>评分标准：见</w:t>
      </w:r>
      <w:r>
        <w:rPr>
          <w:rFonts w:hint="eastAsia" w:ascii="宋体" w:hAnsi="宋体" w:eastAsia="宋体" w:cs="宋体"/>
          <w:color w:val="auto"/>
          <w:sz w:val="24"/>
          <w:szCs w:val="24"/>
          <w:highlight w:val="none"/>
          <w:lang w:eastAsia="zh-CN"/>
        </w:rPr>
        <w:t>评审方法</w:t>
      </w:r>
      <w:r>
        <w:rPr>
          <w:rFonts w:hint="eastAsia" w:ascii="宋体" w:hAnsi="宋体" w:eastAsia="宋体" w:cs="宋体"/>
          <w:color w:val="auto"/>
          <w:sz w:val="24"/>
          <w:szCs w:val="24"/>
          <w:highlight w:val="none"/>
        </w:rPr>
        <w:t>前附表；</w:t>
      </w:r>
    </w:p>
    <w:p>
      <w:pPr>
        <w:pStyle w:val="5"/>
        <w:pageBreakBefore w:val="0"/>
        <w:tabs>
          <w:tab w:val="left" w:pos="2472"/>
        </w:tabs>
        <w:kinsoku/>
        <w:wordWrap/>
        <w:overflowPunct/>
        <w:topLinePunct w:val="0"/>
        <w:autoSpaceDE/>
        <w:autoSpaceDN/>
        <w:bidi w:val="0"/>
        <w:snapToGri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（2）技术</w:t>
      </w:r>
      <w:r>
        <w:rPr>
          <w:rFonts w:hint="eastAsia" w:hAnsi="宋体" w:eastAsia="宋体" w:cs="宋体"/>
          <w:color w:val="auto"/>
          <w:sz w:val="24"/>
          <w:szCs w:val="24"/>
          <w:highlight w:val="none"/>
          <w:lang w:val="en-US" w:eastAsia="zh-CN"/>
        </w:rPr>
        <w:t>部分</w:t>
      </w:r>
      <w:r>
        <w:rPr>
          <w:rFonts w:hint="eastAsia" w:ascii="宋体" w:hAnsi="宋体" w:eastAsia="宋体" w:cs="宋体"/>
          <w:color w:val="auto"/>
          <w:sz w:val="24"/>
          <w:szCs w:val="24"/>
          <w:highlight w:val="none"/>
        </w:rPr>
        <w:t>标准：见</w:t>
      </w:r>
      <w:r>
        <w:rPr>
          <w:rFonts w:hint="eastAsia" w:ascii="宋体" w:hAnsi="宋体" w:eastAsia="宋体" w:cs="宋体"/>
          <w:color w:val="auto"/>
          <w:sz w:val="24"/>
          <w:szCs w:val="24"/>
          <w:highlight w:val="none"/>
          <w:lang w:eastAsia="zh-CN"/>
        </w:rPr>
        <w:t>评审方法</w:t>
      </w:r>
      <w:r>
        <w:rPr>
          <w:rFonts w:hint="eastAsia" w:ascii="宋体" w:hAnsi="宋体" w:eastAsia="宋体" w:cs="宋体"/>
          <w:color w:val="auto"/>
          <w:sz w:val="24"/>
          <w:szCs w:val="24"/>
          <w:highlight w:val="none"/>
        </w:rPr>
        <w:t>前附表；</w:t>
      </w:r>
    </w:p>
    <w:p>
      <w:pPr>
        <w:pStyle w:val="5"/>
        <w:pageBreakBefore w:val="0"/>
        <w:tabs>
          <w:tab w:val="left" w:pos="2472"/>
        </w:tabs>
        <w:kinsoku/>
        <w:wordWrap/>
        <w:overflowPunct/>
        <w:topLinePunct w:val="0"/>
        <w:autoSpaceDE/>
        <w:autoSpaceDN/>
        <w:bidi w:val="0"/>
        <w:snapToGri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商务</w:t>
      </w:r>
      <w:r>
        <w:rPr>
          <w:rFonts w:hint="eastAsia" w:hAnsi="宋体" w:eastAsia="宋体" w:cs="宋体"/>
          <w:color w:val="auto"/>
          <w:sz w:val="24"/>
          <w:szCs w:val="24"/>
          <w:highlight w:val="none"/>
          <w:lang w:val="en-US" w:eastAsia="zh-CN"/>
        </w:rPr>
        <w:t>部分</w:t>
      </w:r>
      <w:r>
        <w:rPr>
          <w:rFonts w:hint="eastAsia" w:ascii="宋体" w:hAnsi="宋体" w:eastAsia="宋体" w:cs="宋体"/>
          <w:color w:val="auto"/>
          <w:sz w:val="24"/>
          <w:szCs w:val="24"/>
          <w:highlight w:val="none"/>
        </w:rPr>
        <w:t>评分标准：见</w:t>
      </w:r>
      <w:r>
        <w:rPr>
          <w:rFonts w:hint="eastAsia" w:ascii="宋体" w:hAnsi="宋体" w:eastAsia="宋体" w:cs="宋体"/>
          <w:color w:val="auto"/>
          <w:sz w:val="24"/>
          <w:szCs w:val="24"/>
          <w:highlight w:val="none"/>
          <w:lang w:eastAsia="zh-CN"/>
        </w:rPr>
        <w:t>评审方法</w:t>
      </w:r>
      <w:r>
        <w:rPr>
          <w:rFonts w:hint="eastAsia" w:ascii="宋体" w:hAnsi="宋体" w:eastAsia="宋体" w:cs="宋体"/>
          <w:color w:val="auto"/>
          <w:sz w:val="24"/>
          <w:szCs w:val="24"/>
          <w:highlight w:val="none"/>
        </w:rPr>
        <w:t>前附表；</w:t>
      </w:r>
    </w:p>
    <w:p>
      <w:pPr>
        <w:pStyle w:val="3"/>
        <w:pageBreakBefore w:val="0"/>
        <w:kinsoku/>
        <w:wordWrap/>
        <w:overflowPunct/>
        <w:topLinePunct w:val="0"/>
        <w:autoSpaceDE/>
        <w:autoSpaceDN/>
        <w:bidi w:val="0"/>
        <w:snapToGrid/>
        <w:spacing w:before="0" w:after="0" w:line="360" w:lineRule="auto"/>
        <w:ind w:left="0" w:leftChars="0" w:right="0" w:righ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程序</w:t>
      </w:r>
    </w:p>
    <w:p>
      <w:pPr>
        <w:pStyle w:val="5"/>
        <w:pageBreakBefore w:val="0"/>
        <w:tabs>
          <w:tab w:val="left" w:pos="2472"/>
        </w:tabs>
        <w:kinsoku/>
        <w:wordWrap/>
        <w:overflowPunct/>
        <w:topLinePunct w:val="0"/>
        <w:autoSpaceDE/>
        <w:autoSpaceDN/>
        <w:bidi w:val="0"/>
        <w:snapToGri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3.1 资格评审</w:t>
      </w:r>
    </w:p>
    <w:p>
      <w:pPr>
        <w:pStyle w:val="5"/>
        <w:pageBreakBefore w:val="0"/>
        <w:tabs>
          <w:tab w:val="left" w:pos="2472"/>
        </w:tabs>
        <w:kinsoku/>
        <w:wordWrap/>
        <w:overflowPunct/>
        <w:topLinePunct w:val="0"/>
        <w:autoSpaceDE/>
        <w:autoSpaceDN/>
        <w:bidi w:val="0"/>
        <w:snapToGrid/>
        <w:spacing w:line="360" w:lineRule="auto"/>
        <w:ind w:left="0" w:leftChars="0" w:right="0" w:righ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3.1.1由</w:t>
      </w:r>
      <w:r>
        <w:rPr>
          <w:rFonts w:hint="eastAsia" w:hAnsi="宋体" w:eastAsia="宋体" w:cs="宋体"/>
          <w:color w:val="auto"/>
          <w:sz w:val="24"/>
          <w:szCs w:val="24"/>
          <w:highlight w:val="none"/>
          <w:lang w:eastAsia="zh-CN"/>
        </w:rPr>
        <w:t>询比小组</w:t>
      </w:r>
      <w:r>
        <w:rPr>
          <w:rFonts w:hint="eastAsia" w:ascii="宋体" w:hAnsi="宋体" w:eastAsia="宋体" w:cs="宋体"/>
          <w:color w:val="auto"/>
          <w:sz w:val="24"/>
          <w:szCs w:val="24"/>
          <w:highlight w:val="none"/>
        </w:rPr>
        <w:t>依据资格评审标准对实质性响应的供应商进行资格审查。供应商须全部满足，否则为不合格的供应商，不得进入符合性评审、</w:t>
      </w:r>
      <w:r>
        <w:rPr>
          <w:rFonts w:hint="eastAsia"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报价评审和技术评审</w:t>
      </w:r>
      <w:r>
        <w:rPr>
          <w:rFonts w:hint="eastAsia" w:ascii="宋体" w:hAnsi="宋体" w:eastAsia="宋体" w:cs="宋体"/>
          <w:color w:val="auto"/>
          <w:kern w:val="0"/>
          <w:sz w:val="24"/>
          <w:szCs w:val="24"/>
          <w:highlight w:val="none"/>
        </w:rPr>
        <w:t>。</w:t>
      </w:r>
    </w:p>
    <w:p>
      <w:pPr>
        <w:pStyle w:val="5"/>
        <w:pageBreakBefore w:val="0"/>
        <w:tabs>
          <w:tab w:val="left" w:pos="2472"/>
        </w:tabs>
        <w:kinsoku/>
        <w:wordWrap/>
        <w:overflowPunct/>
        <w:topLinePunct w:val="0"/>
        <w:autoSpaceDE/>
        <w:autoSpaceDN/>
        <w:bidi w:val="0"/>
        <w:snapToGri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3.2 符合性评审</w:t>
      </w:r>
    </w:p>
    <w:p>
      <w:pPr>
        <w:pStyle w:val="5"/>
        <w:pageBreakBefore w:val="0"/>
        <w:tabs>
          <w:tab w:val="left" w:pos="2472"/>
        </w:tabs>
        <w:kinsoku/>
        <w:wordWrap/>
        <w:overflowPunct/>
        <w:topLinePunct w:val="0"/>
        <w:autoSpaceDE/>
        <w:autoSpaceDN/>
        <w:bidi w:val="0"/>
        <w:snapToGrid/>
        <w:spacing w:line="360" w:lineRule="auto"/>
        <w:ind w:left="0" w:leftChars="0" w:right="0" w:rightChars="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3.2.1 </w:t>
      </w:r>
      <w:r>
        <w:rPr>
          <w:rFonts w:hint="eastAsia" w:hAnsi="宋体" w:eastAsia="宋体" w:cs="宋体"/>
          <w:bCs/>
          <w:color w:val="auto"/>
          <w:sz w:val="24"/>
          <w:szCs w:val="24"/>
          <w:highlight w:val="none"/>
          <w:lang w:eastAsia="zh-CN"/>
        </w:rPr>
        <w:t>询比小组</w:t>
      </w:r>
      <w:r>
        <w:rPr>
          <w:rFonts w:hint="eastAsia" w:ascii="宋体" w:hAnsi="宋体" w:eastAsia="宋体" w:cs="宋体"/>
          <w:bCs/>
          <w:color w:val="auto"/>
          <w:sz w:val="24"/>
          <w:szCs w:val="24"/>
          <w:highlight w:val="none"/>
        </w:rPr>
        <w:t>对通过资格审查的供应商进行符合性审查（符合性审查条件详见</w:t>
      </w:r>
      <w:r>
        <w:rPr>
          <w:rFonts w:hint="eastAsia" w:ascii="宋体" w:hAnsi="宋体" w:eastAsia="宋体" w:cs="宋体"/>
          <w:bCs/>
          <w:color w:val="auto"/>
          <w:sz w:val="24"/>
          <w:szCs w:val="24"/>
          <w:highlight w:val="none"/>
          <w:lang w:eastAsia="zh-CN"/>
        </w:rPr>
        <w:t>评审方法</w:t>
      </w:r>
      <w:r>
        <w:rPr>
          <w:rFonts w:hint="eastAsia" w:ascii="宋体" w:hAnsi="宋体" w:eastAsia="宋体" w:cs="宋体"/>
          <w:bCs/>
          <w:color w:val="auto"/>
          <w:sz w:val="24"/>
          <w:szCs w:val="24"/>
          <w:highlight w:val="none"/>
        </w:rPr>
        <w:t>前附表）。依据</w:t>
      </w:r>
      <w:r>
        <w:rPr>
          <w:rFonts w:hint="eastAsia" w:hAnsi="宋体" w:eastAsia="宋体" w:cs="宋体"/>
          <w:bCs/>
          <w:color w:val="auto"/>
          <w:sz w:val="24"/>
          <w:szCs w:val="24"/>
          <w:highlight w:val="none"/>
          <w:lang w:eastAsia="zh-CN"/>
        </w:rPr>
        <w:t>询比采购文件</w:t>
      </w:r>
      <w:r>
        <w:rPr>
          <w:rFonts w:hint="eastAsia" w:ascii="宋体" w:hAnsi="宋体" w:eastAsia="宋体" w:cs="宋体"/>
          <w:bCs/>
          <w:color w:val="auto"/>
          <w:sz w:val="24"/>
          <w:szCs w:val="24"/>
          <w:highlight w:val="none"/>
        </w:rPr>
        <w:t>的规定，从</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bCs/>
          <w:color w:val="auto"/>
          <w:sz w:val="24"/>
          <w:szCs w:val="24"/>
          <w:highlight w:val="none"/>
        </w:rPr>
        <w:t>的有效性、完整性和对</w:t>
      </w:r>
      <w:r>
        <w:rPr>
          <w:rFonts w:hint="eastAsia" w:hAnsi="宋体" w:eastAsia="宋体" w:cs="宋体"/>
          <w:bCs/>
          <w:color w:val="auto"/>
          <w:sz w:val="24"/>
          <w:szCs w:val="24"/>
          <w:highlight w:val="none"/>
          <w:lang w:eastAsia="zh-CN"/>
        </w:rPr>
        <w:t>询比采购文件</w:t>
      </w:r>
      <w:r>
        <w:rPr>
          <w:rFonts w:hint="eastAsia" w:ascii="宋体" w:hAnsi="宋体" w:eastAsia="宋体" w:cs="宋体"/>
          <w:bCs/>
          <w:color w:val="auto"/>
          <w:sz w:val="24"/>
          <w:szCs w:val="24"/>
          <w:highlight w:val="none"/>
        </w:rPr>
        <w:t>的响应程度进行审查，以确定是否对</w:t>
      </w:r>
      <w:r>
        <w:rPr>
          <w:rFonts w:hint="eastAsia" w:hAnsi="宋体" w:eastAsia="宋体" w:cs="宋体"/>
          <w:bCs/>
          <w:color w:val="auto"/>
          <w:sz w:val="24"/>
          <w:szCs w:val="24"/>
          <w:highlight w:val="none"/>
          <w:lang w:eastAsia="zh-CN"/>
        </w:rPr>
        <w:t>询比采购文件</w:t>
      </w:r>
      <w:r>
        <w:rPr>
          <w:rFonts w:hint="eastAsia" w:ascii="宋体" w:hAnsi="宋体" w:eastAsia="宋体" w:cs="宋体"/>
          <w:bCs/>
          <w:color w:val="auto"/>
          <w:sz w:val="24"/>
          <w:szCs w:val="24"/>
          <w:highlight w:val="none"/>
        </w:rPr>
        <w:t>的要求做出响应。</w:t>
      </w:r>
    </w:p>
    <w:p>
      <w:pPr>
        <w:pStyle w:val="5"/>
        <w:pageBreakBefore w:val="0"/>
        <w:tabs>
          <w:tab w:val="left" w:pos="2472"/>
        </w:tabs>
        <w:kinsoku/>
        <w:wordWrap/>
        <w:overflowPunct/>
        <w:topLinePunct w:val="0"/>
        <w:autoSpaceDE/>
        <w:autoSpaceDN/>
        <w:bidi w:val="0"/>
        <w:snapToGri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如果出现计算或表达上的错误，修正错误的原则如下：</w:t>
      </w:r>
    </w:p>
    <w:p>
      <w:pPr>
        <w:pStyle w:val="5"/>
        <w:pageBreakBefore w:val="0"/>
        <w:kinsoku/>
        <w:wordWrap/>
        <w:overflowPunct/>
        <w:topLinePunct w:val="0"/>
        <w:autoSpaceDE/>
        <w:autoSpaceDN/>
        <w:bidi w:val="0"/>
        <w:snapToGri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（1）大写金额和小写金额不一致的，以大写金额为准；</w:t>
      </w:r>
    </w:p>
    <w:p>
      <w:pPr>
        <w:pStyle w:val="5"/>
        <w:pageBreakBefore w:val="0"/>
        <w:kinsoku/>
        <w:wordWrap/>
        <w:overflowPunct/>
        <w:topLinePunct w:val="0"/>
        <w:autoSpaceDE/>
        <w:autoSpaceDN/>
        <w:bidi w:val="0"/>
        <w:snapToGri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（2）单价金额小数点或者百分比有明显错位的，以报价一览表的总价为准，并修改单价；</w:t>
      </w:r>
    </w:p>
    <w:p>
      <w:pPr>
        <w:pStyle w:val="5"/>
        <w:pageBreakBefore w:val="0"/>
        <w:kinsoku/>
        <w:wordWrap/>
        <w:overflowPunct/>
        <w:topLinePunct w:val="0"/>
        <w:autoSpaceDE/>
        <w:autoSpaceDN/>
        <w:bidi w:val="0"/>
        <w:snapToGri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（3）总价金额与按单价汇总金额不一致的，以单价金额计算结果为准。</w:t>
      </w:r>
    </w:p>
    <w:p>
      <w:pPr>
        <w:pStyle w:val="5"/>
        <w:pageBreakBefore w:val="0"/>
        <w:tabs>
          <w:tab w:val="left" w:pos="2472"/>
        </w:tabs>
        <w:kinsoku/>
        <w:wordWrap/>
        <w:overflowPunct/>
        <w:topLinePunct w:val="0"/>
        <w:autoSpaceDE/>
        <w:autoSpaceDN/>
        <w:bidi w:val="0"/>
        <w:snapToGri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（4）按上述修正错误的原则及方法调整或修正响应文件的</w:t>
      </w:r>
      <w:r>
        <w:rPr>
          <w:rFonts w:hint="eastAsia"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报价，</w:t>
      </w:r>
      <w:r>
        <w:rPr>
          <w:rFonts w:hint="eastAsia" w:ascii="宋体" w:hAnsi="宋体" w:eastAsia="宋体" w:cs="宋体"/>
          <w:bCs/>
          <w:color w:val="auto"/>
          <w:sz w:val="24"/>
          <w:szCs w:val="24"/>
          <w:highlight w:val="none"/>
          <w:lang w:eastAsia="zh-CN"/>
        </w:rPr>
        <w:t>同时出现两种以上不一致的，按照前款规定的顺序修正。</w:t>
      </w:r>
      <w:r>
        <w:rPr>
          <w:rFonts w:hint="eastAsia" w:ascii="宋体" w:hAnsi="宋体" w:eastAsia="宋体" w:cs="宋体"/>
          <w:color w:val="auto"/>
          <w:sz w:val="24"/>
          <w:szCs w:val="24"/>
          <w:highlight w:val="none"/>
        </w:rPr>
        <w:t>供应商同意后，调整后的</w:t>
      </w:r>
      <w:r>
        <w:rPr>
          <w:rFonts w:hint="eastAsia"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报价对供应商起约束作用。如果供应商不接受修正后的报价，视为未实质性响应</w:t>
      </w:r>
      <w:r>
        <w:rPr>
          <w:rFonts w:hint="eastAsia" w:hAnsi="宋体" w:eastAsia="宋体" w:cs="宋体"/>
          <w:color w:val="auto"/>
          <w:sz w:val="24"/>
          <w:szCs w:val="24"/>
          <w:highlight w:val="none"/>
          <w:lang w:eastAsia="zh-CN"/>
        </w:rPr>
        <w:t>询比采购文件</w:t>
      </w:r>
      <w:r>
        <w:rPr>
          <w:rFonts w:hint="eastAsia" w:ascii="宋体" w:hAnsi="宋体" w:eastAsia="宋体" w:cs="宋体"/>
          <w:color w:val="auto"/>
          <w:sz w:val="24"/>
          <w:szCs w:val="24"/>
          <w:highlight w:val="none"/>
        </w:rPr>
        <w:t>要求。</w:t>
      </w:r>
    </w:p>
    <w:p>
      <w:pPr>
        <w:pStyle w:val="5"/>
        <w:pageBreakBefore w:val="0"/>
        <w:tabs>
          <w:tab w:val="left" w:pos="2472"/>
        </w:tabs>
        <w:kinsoku/>
        <w:wordWrap/>
        <w:overflowPunct/>
        <w:topLinePunct w:val="0"/>
        <w:autoSpaceDE/>
        <w:autoSpaceDN/>
        <w:bidi w:val="0"/>
        <w:snapToGri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3.3评分</w:t>
      </w:r>
    </w:p>
    <w:p>
      <w:pPr>
        <w:pStyle w:val="5"/>
        <w:pageBreakBefore w:val="0"/>
        <w:tabs>
          <w:tab w:val="left" w:pos="2472"/>
        </w:tabs>
        <w:kinsoku/>
        <w:wordWrap/>
        <w:overflowPunct/>
        <w:topLinePunct w:val="0"/>
        <w:autoSpaceDE/>
        <w:autoSpaceDN/>
        <w:bidi w:val="0"/>
        <w:snapToGri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3.3.1 </w:t>
      </w:r>
      <w:r>
        <w:rPr>
          <w:rFonts w:hint="eastAsia" w:hAnsi="宋体" w:eastAsia="宋体" w:cs="宋体"/>
          <w:color w:val="auto"/>
          <w:kern w:val="0"/>
          <w:sz w:val="24"/>
          <w:szCs w:val="24"/>
          <w:highlight w:val="none"/>
          <w:lang w:eastAsia="zh-CN"/>
        </w:rPr>
        <w:t>询比小组</w:t>
      </w:r>
      <w:r>
        <w:rPr>
          <w:rFonts w:hint="eastAsia" w:ascii="宋体" w:hAnsi="宋体" w:eastAsia="宋体" w:cs="宋体"/>
          <w:color w:val="auto"/>
          <w:sz w:val="24"/>
          <w:szCs w:val="24"/>
          <w:highlight w:val="none"/>
        </w:rPr>
        <w:t>按本章第</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款规定的量化因素和分值进行打分，并计算出供应商的</w:t>
      </w:r>
      <w:r>
        <w:rPr>
          <w:rFonts w:hint="eastAsia" w:hAnsi="宋体" w:eastAsia="宋体" w:cs="宋体"/>
          <w:color w:val="auto"/>
          <w:sz w:val="24"/>
          <w:szCs w:val="24"/>
          <w:highlight w:val="none"/>
          <w:lang w:eastAsia="zh-CN"/>
        </w:rPr>
        <w:t>询比</w:t>
      </w:r>
      <w:r>
        <w:rPr>
          <w:rFonts w:hint="eastAsia"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总得分。对其他需要借助专业知识评判的主观评分项，应当严格按照评分细则公正评分。</w:t>
      </w:r>
    </w:p>
    <w:p>
      <w:pPr>
        <w:pageBreakBefore w:val="0"/>
        <w:kinsoku/>
        <w:wordWrap/>
        <w:overflowPunct/>
        <w:topLinePunct w:val="0"/>
        <w:autoSpaceDE/>
        <w:autoSpaceDN/>
        <w:bidi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3.3.2技术</w:t>
      </w:r>
      <w:r>
        <w:rPr>
          <w:rFonts w:hint="eastAsia" w:ascii="宋体" w:hAnsi="宋体" w:eastAsia="宋体" w:cs="宋体"/>
          <w:color w:val="auto"/>
          <w:sz w:val="24"/>
          <w:szCs w:val="24"/>
          <w:highlight w:val="none"/>
          <w:lang w:val="en-US" w:eastAsia="zh-CN"/>
        </w:rPr>
        <w:t>和商务</w:t>
      </w:r>
      <w:r>
        <w:rPr>
          <w:rFonts w:hint="eastAsia" w:ascii="宋体" w:hAnsi="宋体" w:eastAsia="宋体" w:cs="宋体"/>
          <w:color w:val="auto"/>
          <w:sz w:val="24"/>
          <w:szCs w:val="24"/>
          <w:highlight w:val="none"/>
        </w:rPr>
        <w:t>得分由</w:t>
      </w:r>
      <w:r>
        <w:rPr>
          <w:rFonts w:hint="eastAsia" w:ascii="宋体" w:hAnsi="宋体" w:eastAsia="宋体" w:cs="宋体"/>
          <w:color w:val="auto"/>
          <w:sz w:val="24"/>
          <w:szCs w:val="24"/>
          <w:highlight w:val="none"/>
          <w:lang w:eastAsia="zh-CN"/>
        </w:rPr>
        <w:t>询比小组</w:t>
      </w:r>
      <w:r>
        <w:rPr>
          <w:rFonts w:hint="eastAsia" w:ascii="宋体" w:hAnsi="宋体" w:eastAsia="宋体" w:cs="宋体"/>
          <w:color w:val="auto"/>
          <w:sz w:val="24"/>
          <w:szCs w:val="24"/>
          <w:highlight w:val="none"/>
        </w:rPr>
        <w:t>成员独立评分（对各供应商</w:t>
      </w:r>
      <w:r>
        <w:rPr>
          <w:rFonts w:hint="eastAsia" w:ascii="宋体" w:hAnsi="宋体" w:eastAsia="宋体" w:cs="宋体"/>
          <w:color w:val="auto"/>
          <w:sz w:val="24"/>
          <w:szCs w:val="24"/>
          <w:highlight w:val="none"/>
          <w:lang w:val="en-US" w:eastAsia="zh-CN"/>
        </w:rPr>
        <w:t>响应文件</w:t>
      </w:r>
      <w:r>
        <w:rPr>
          <w:rFonts w:hint="eastAsia" w:ascii="宋体" w:hAnsi="宋体" w:eastAsia="宋体" w:cs="宋体"/>
          <w:color w:val="auto"/>
          <w:sz w:val="24"/>
          <w:szCs w:val="24"/>
          <w:highlight w:val="none"/>
        </w:rPr>
        <w:t>的技术部分</w:t>
      </w:r>
      <w:r>
        <w:rPr>
          <w:rFonts w:hint="eastAsia" w:ascii="宋体" w:hAnsi="宋体" w:eastAsia="宋体" w:cs="宋体"/>
          <w:color w:val="auto"/>
          <w:sz w:val="24"/>
          <w:szCs w:val="24"/>
          <w:highlight w:val="none"/>
          <w:lang w:val="en-US" w:eastAsia="zh-CN"/>
        </w:rPr>
        <w:t>和商务部分</w:t>
      </w:r>
      <w:r>
        <w:rPr>
          <w:rFonts w:hint="eastAsia" w:ascii="宋体" w:hAnsi="宋体" w:eastAsia="宋体" w:cs="宋体"/>
          <w:color w:val="auto"/>
          <w:sz w:val="24"/>
          <w:szCs w:val="24"/>
          <w:highlight w:val="none"/>
        </w:rPr>
        <w:t>独立进行评分，评分不</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采用插入法）</w:t>
      </w:r>
      <w:r>
        <w:rPr>
          <w:rFonts w:hint="eastAsia" w:ascii="宋体" w:hAnsi="宋体" w:eastAsia="宋体" w:cs="宋体"/>
          <w:bCs/>
          <w:color w:val="auto"/>
          <w:sz w:val="24"/>
          <w:szCs w:val="24"/>
          <w:highlight w:val="none"/>
        </w:rPr>
        <w:t>供应商各项评分因素得分为该项因素各评委评分的算术平均值（保留小数点后两位）</w:t>
      </w:r>
      <w:r>
        <w:rPr>
          <w:rFonts w:hint="eastAsia" w:ascii="宋体" w:hAnsi="宋体" w:eastAsia="宋体" w:cs="宋体"/>
          <w:color w:val="auto"/>
          <w:sz w:val="24"/>
          <w:szCs w:val="24"/>
          <w:highlight w:val="none"/>
        </w:rPr>
        <w:t>，小数点后第三位“四舍五入”。</w:t>
      </w:r>
    </w:p>
    <w:p>
      <w:pPr>
        <w:pageBreakBefore w:val="0"/>
        <w:kinsoku/>
        <w:wordWrap/>
        <w:overflowPunct/>
        <w:topLinePunct w:val="0"/>
        <w:autoSpaceDE/>
        <w:autoSpaceDN/>
        <w:bidi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w:t>
      </w:r>
      <w:r>
        <w:rPr>
          <w:rFonts w:hint="eastAsia" w:ascii="宋体" w:hAnsi="宋体" w:eastAsia="宋体" w:cs="宋体"/>
          <w:color w:val="auto"/>
          <w:sz w:val="24"/>
          <w:szCs w:val="24"/>
          <w:highlight w:val="none"/>
          <w:lang w:eastAsia="zh-CN"/>
        </w:rPr>
        <w:t>询比小组</w:t>
      </w:r>
      <w:r>
        <w:rPr>
          <w:rFonts w:hint="eastAsia" w:ascii="宋体" w:hAnsi="宋体" w:eastAsia="宋体" w:cs="宋体"/>
          <w:color w:val="auto"/>
          <w:sz w:val="24"/>
          <w:szCs w:val="24"/>
          <w:highlight w:val="none"/>
        </w:rPr>
        <w:t>成员要依法独立评审，并对评审意见承担个人责任。</w:t>
      </w:r>
      <w:r>
        <w:rPr>
          <w:rFonts w:hint="eastAsia" w:ascii="宋体" w:hAnsi="宋体" w:eastAsia="宋体" w:cs="宋体"/>
          <w:color w:val="auto"/>
          <w:sz w:val="24"/>
          <w:szCs w:val="24"/>
          <w:highlight w:val="none"/>
          <w:lang w:eastAsia="zh-CN"/>
        </w:rPr>
        <w:t>询比小组</w:t>
      </w:r>
      <w:r>
        <w:rPr>
          <w:rFonts w:hint="eastAsia" w:ascii="宋体" w:hAnsi="宋体" w:eastAsia="宋体" w:cs="宋体"/>
          <w:color w:val="auto"/>
          <w:sz w:val="24"/>
          <w:szCs w:val="24"/>
          <w:highlight w:val="none"/>
        </w:rPr>
        <w:t>成员对需要共同认定的事项存在争议的，按照少数服从多数的原则做出结论。持不同意见的</w:t>
      </w:r>
      <w:r>
        <w:rPr>
          <w:rFonts w:hint="eastAsia" w:ascii="宋体" w:hAnsi="宋体" w:eastAsia="宋体" w:cs="宋体"/>
          <w:color w:val="auto"/>
          <w:sz w:val="24"/>
          <w:szCs w:val="24"/>
          <w:highlight w:val="none"/>
          <w:lang w:eastAsia="zh-CN"/>
        </w:rPr>
        <w:t>询比小组</w:t>
      </w:r>
      <w:r>
        <w:rPr>
          <w:rFonts w:hint="eastAsia" w:ascii="宋体" w:hAnsi="宋体" w:eastAsia="宋体" w:cs="宋体"/>
          <w:color w:val="auto"/>
          <w:sz w:val="24"/>
          <w:szCs w:val="24"/>
          <w:highlight w:val="none"/>
        </w:rPr>
        <w:t>成员应当在</w:t>
      </w:r>
      <w:r>
        <w:rPr>
          <w:rFonts w:hint="eastAsia" w:ascii="宋体" w:hAnsi="宋体" w:eastAsia="宋体" w:cs="宋体"/>
          <w:color w:val="auto"/>
          <w:sz w:val="24"/>
          <w:szCs w:val="24"/>
          <w:highlight w:val="none"/>
          <w:lang w:eastAsia="zh-CN"/>
        </w:rPr>
        <w:t>评审报告</w:t>
      </w:r>
      <w:r>
        <w:rPr>
          <w:rFonts w:hint="eastAsia" w:ascii="宋体" w:hAnsi="宋体" w:eastAsia="宋体" w:cs="宋体"/>
          <w:color w:val="auto"/>
          <w:sz w:val="24"/>
          <w:szCs w:val="24"/>
          <w:highlight w:val="none"/>
        </w:rPr>
        <w:t>上签署不同意见并说明理由，否则视为同意。</w:t>
      </w:r>
    </w:p>
    <w:p>
      <w:pPr>
        <w:pStyle w:val="5"/>
        <w:pageBreakBefore w:val="0"/>
        <w:tabs>
          <w:tab w:val="left" w:pos="2472"/>
        </w:tabs>
        <w:kinsoku/>
        <w:wordWrap/>
        <w:overflowPunct/>
        <w:topLinePunct w:val="0"/>
        <w:autoSpaceDE/>
        <w:autoSpaceDN/>
        <w:bidi w:val="0"/>
        <w:snapToGri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3.4 </w:t>
      </w:r>
      <w:r>
        <w:rPr>
          <w:rFonts w:hint="eastAsia" w:hAnsi="宋体" w:eastAsia="宋体" w:cs="宋体"/>
          <w:b/>
          <w:bCs/>
          <w:color w:val="auto"/>
          <w:sz w:val="24"/>
          <w:szCs w:val="24"/>
          <w:highlight w:val="none"/>
          <w:lang w:eastAsia="zh-CN"/>
        </w:rPr>
        <w:t>询比</w:t>
      </w:r>
      <w:r>
        <w:rPr>
          <w:rFonts w:hint="eastAsia" w:ascii="宋体" w:hAnsi="宋体" w:eastAsia="宋体" w:cs="宋体"/>
          <w:b/>
          <w:bCs/>
          <w:color w:val="auto"/>
          <w:sz w:val="24"/>
          <w:szCs w:val="24"/>
          <w:highlight w:val="none"/>
        </w:rPr>
        <w:t>结果</w:t>
      </w:r>
    </w:p>
    <w:p>
      <w:pPr>
        <w:pageBreakBefore w:val="0"/>
        <w:kinsoku/>
        <w:wordWrap/>
        <w:overflowPunct/>
        <w:topLinePunct w:val="0"/>
        <w:autoSpaceDE/>
        <w:autoSpaceDN/>
        <w:bidi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w:t>
      </w:r>
      <w:r>
        <w:rPr>
          <w:rFonts w:hint="eastAsia" w:ascii="宋体" w:hAnsi="宋体" w:eastAsia="宋体" w:cs="宋体"/>
          <w:color w:val="auto"/>
          <w:sz w:val="24"/>
          <w:szCs w:val="24"/>
          <w:highlight w:val="none"/>
          <w:lang w:eastAsia="zh-CN"/>
        </w:rPr>
        <w:t>询比小组</w:t>
      </w:r>
      <w:r>
        <w:rPr>
          <w:rFonts w:hint="eastAsia" w:ascii="宋体" w:hAnsi="宋体" w:eastAsia="宋体" w:cs="宋体"/>
          <w:color w:val="auto"/>
          <w:sz w:val="24"/>
          <w:szCs w:val="24"/>
          <w:highlight w:val="none"/>
        </w:rPr>
        <w:t>按最终得分由高到低顺序推荐成交候选人，并提出书面</w:t>
      </w:r>
      <w:r>
        <w:rPr>
          <w:rFonts w:hint="eastAsia" w:ascii="宋体" w:hAnsi="宋体" w:eastAsia="宋体" w:cs="宋体"/>
          <w:color w:val="auto"/>
          <w:sz w:val="24"/>
          <w:szCs w:val="24"/>
          <w:highlight w:val="none"/>
          <w:lang w:eastAsia="zh-CN"/>
        </w:rPr>
        <w:t>评审报告</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评审报告应当由</w:t>
      </w:r>
      <w:r>
        <w:rPr>
          <w:rFonts w:hint="eastAsia" w:ascii="宋体" w:hAnsi="宋体" w:eastAsia="宋体" w:cs="宋体"/>
          <w:color w:val="auto"/>
          <w:sz w:val="24"/>
          <w:szCs w:val="24"/>
          <w:highlight w:val="none"/>
          <w:lang w:eastAsia="zh-CN"/>
        </w:rPr>
        <w:t>询比小组</w:t>
      </w:r>
      <w:r>
        <w:rPr>
          <w:rFonts w:hint="eastAsia" w:ascii="宋体" w:hAnsi="宋体" w:eastAsia="宋体" w:cs="宋体"/>
          <w:color w:val="auto"/>
          <w:sz w:val="24"/>
          <w:szCs w:val="24"/>
          <w:highlight w:val="none"/>
        </w:rPr>
        <w:t>全体人员签字认可。</w:t>
      </w:r>
      <w:r>
        <w:rPr>
          <w:rFonts w:hint="eastAsia" w:ascii="宋体" w:hAnsi="宋体" w:eastAsia="宋体" w:cs="宋体"/>
          <w:color w:val="auto"/>
          <w:sz w:val="24"/>
          <w:szCs w:val="24"/>
          <w:highlight w:val="none"/>
          <w:lang w:eastAsia="zh-CN"/>
        </w:rPr>
        <w:t>询比小组</w:t>
      </w:r>
      <w:r>
        <w:rPr>
          <w:rFonts w:hint="eastAsia" w:ascii="宋体" w:hAnsi="宋体" w:eastAsia="宋体" w:cs="宋体"/>
          <w:color w:val="auto"/>
          <w:sz w:val="24"/>
          <w:szCs w:val="24"/>
          <w:highlight w:val="none"/>
        </w:rPr>
        <w:t>成员对评审报告有异议的</w:t>
      </w:r>
      <w:r>
        <w:rPr>
          <w:rFonts w:hint="eastAsia" w:ascii="宋体" w:hAnsi="宋体" w:eastAsia="宋体" w:cs="宋体"/>
          <w:color w:val="auto"/>
          <w:sz w:val="24"/>
          <w:szCs w:val="24"/>
          <w:highlight w:val="none"/>
          <w:lang w:eastAsia="zh-CN"/>
        </w:rPr>
        <w:t>，询比小组</w:t>
      </w:r>
      <w:r>
        <w:rPr>
          <w:rFonts w:hint="eastAsia" w:ascii="宋体" w:hAnsi="宋体" w:eastAsia="宋体" w:cs="宋体"/>
          <w:color w:val="auto"/>
          <w:sz w:val="24"/>
          <w:szCs w:val="24"/>
          <w:highlight w:val="none"/>
        </w:rPr>
        <w:t>按照少数服从多数的原则推荐成交候选供应商，采购程序继续进行。对评审报告有异议的</w:t>
      </w:r>
      <w:r>
        <w:rPr>
          <w:rFonts w:hint="eastAsia" w:ascii="宋体" w:hAnsi="宋体" w:eastAsia="宋体" w:cs="宋体"/>
          <w:color w:val="auto"/>
          <w:sz w:val="24"/>
          <w:szCs w:val="24"/>
          <w:highlight w:val="none"/>
          <w:lang w:eastAsia="zh-CN"/>
        </w:rPr>
        <w:t>询比小组</w:t>
      </w:r>
      <w:r>
        <w:rPr>
          <w:rFonts w:hint="eastAsia" w:ascii="宋体" w:hAnsi="宋体" w:eastAsia="宋体" w:cs="宋体"/>
          <w:color w:val="auto"/>
          <w:sz w:val="24"/>
          <w:szCs w:val="24"/>
          <w:highlight w:val="none"/>
        </w:rPr>
        <w:t>成员，应当在报告上签署不同意见并说明理由，由</w:t>
      </w:r>
      <w:r>
        <w:rPr>
          <w:rFonts w:hint="eastAsia" w:ascii="宋体" w:hAnsi="宋体" w:eastAsia="宋体" w:cs="宋体"/>
          <w:color w:val="auto"/>
          <w:sz w:val="24"/>
          <w:szCs w:val="24"/>
          <w:highlight w:val="none"/>
          <w:lang w:eastAsia="zh-CN"/>
        </w:rPr>
        <w:t>询比小组</w:t>
      </w:r>
      <w:r>
        <w:rPr>
          <w:rFonts w:hint="eastAsia" w:ascii="宋体" w:hAnsi="宋体" w:eastAsia="宋体" w:cs="宋体"/>
          <w:color w:val="auto"/>
          <w:sz w:val="24"/>
          <w:szCs w:val="24"/>
          <w:highlight w:val="none"/>
        </w:rPr>
        <w:t>书面记录相关情况。</w:t>
      </w:r>
      <w:r>
        <w:rPr>
          <w:rFonts w:hint="eastAsia" w:ascii="宋体" w:hAnsi="宋体" w:eastAsia="宋体" w:cs="宋体"/>
          <w:color w:val="auto"/>
          <w:sz w:val="24"/>
          <w:szCs w:val="24"/>
          <w:highlight w:val="none"/>
          <w:lang w:eastAsia="zh-CN"/>
        </w:rPr>
        <w:t>询比小组</w:t>
      </w:r>
      <w:r>
        <w:rPr>
          <w:rFonts w:hint="eastAsia" w:ascii="宋体" w:hAnsi="宋体" w:eastAsia="宋体" w:cs="宋体"/>
          <w:color w:val="auto"/>
          <w:sz w:val="24"/>
          <w:szCs w:val="24"/>
          <w:highlight w:val="none"/>
        </w:rPr>
        <w:t>成员拒绝在报告上签字又不书面说明其不同意见和理由的，视为同意评审报告</w:t>
      </w:r>
      <w:r>
        <w:rPr>
          <w:rFonts w:hint="eastAsia" w:ascii="宋体" w:hAnsi="宋体" w:eastAsia="宋体" w:cs="宋体"/>
          <w:color w:val="auto"/>
          <w:sz w:val="24"/>
          <w:szCs w:val="24"/>
          <w:highlight w:val="none"/>
          <w:lang w:eastAsia="zh-CN"/>
        </w:rPr>
        <w:t>。</w:t>
      </w:r>
    </w:p>
    <w:p>
      <w:pPr>
        <w:pageBreakBefore w:val="0"/>
        <w:kinsoku/>
        <w:wordWrap/>
        <w:overflowPunct/>
        <w:topLinePunct w:val="0"/>
        <w:autoSpaceDE/>
        <w:autoSpaceDN/>
        <w:bidi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3.4.2 采购人根据</w:t>
      </w:r>
      <w:r>
        <w:rPr>
          <w:rFonts w:hint="eastAsia" w:ascii="宋体" w:hAnsi="宋体" w:eastAsia="宋体" w:cs="宋体"/>
          <w:color w:val="auto"/>
          <w:sz w:val="24"/>
          <w:szCs w:val="24"/>
          <w:highlight w:val="none"/>
          <w:lang w:eastAsia="zh-CN"/>
        </w:rPr>
        <w:t>询比小组</w:t>
      </w:r>
      <w:r>
        <w:rPr>
          <w:rFonts w:hint="eastAsia" w:ascii="宋体" w:hAnsi="宋体" w:eastAsia="宋体" w:cs="宋体"/>
          <w:color w:val="auto"/>
          <w:sz w:val="24"/>
          <w:szCs w:val="24"/>
          <w:highlight w:val="none"/>
        </w:rPr>
        <w:t>提出的书面</w:t>
      </w:r>
      <w:r>
        <w:rPr>
          <w:rFonts w:hint="eastAsia" w:ascii="宋体" w:hAnsi="宋体" w:eastAsia="宋体" w:cs="宋体"/>
          <w:color w:val="auto"/>
          <w:sz w:val="24"/>
          <w:szCs w:val="24"/>
          <w:highlight w:val="none"/>
          <w:lang w:eastAsia="zh-CN"/>
        </w:rPr>
        <w:t>评审报告</w:t>
      </w:r>
      <w:r>
        <w:rPr>
          <w:rFonts w:hint="eastAsia" w:ascii="宋体" w:hAnsi="宋体" w:eastAsia="宋体" w:cs="宋体"/>
          <w:color w:val="auto"/>
          <w:sz w:val="24"/>
          <w:szCs w:val="24"/>
          <w:highlight w:val="none"/>
        </w:rPr>
        <w:t>和推荐的成交候选人名单，确定成交人。</w:t>
      </w:r>
    </w:p>
    <w:p>
      <w:pPr>
        <w:pageBreakBefore w:val="0"/>
        <w:kinsoku/>
        <w:wordWrap/>
        <w:overflowPunct/>
        <w:topLinePunct w:val="0"/>
        <w:autoSpaceDE/>
        <w:autoSpaceDN/>
        <w:bidi w:val="0"/>
        <w:snapToGrid/>
        <w:spacing w:line="36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3.4.3</w:t>
      </w:r>
      <w:r>
        <w:rPr>
          <w:rFonts w:hint="eastAsia" w:ascii="宋体" w:hAnsi="宋体" w:eastAsia="宋体" w:cs="宋体"/>
          <w:color w:val="auto"/>
          <w:sz w:val="24"/>
          <w:szCs w:val="24"/>
          <w:highlight w:val="none"/>
          <w:lang w:eastAsia="zh-CN"/>
        </w:rPr>
        <w:t>询比小组</w:t>
      </w:r>
      <w:r>
        <w:rPr>
          <w:rFonts w:hint="eastAsia" w:ascii="宋体" w:hAnsi="宋体" w:eastAsia="宋体" w:cs="宋体"/>
          <w:color w:val="auto"/>
          <w:sz w:val="24"/>
          <w:szCs w:val="24"/>
          <w:highlight w:val="none"/>
        </w:rPr>
        <w:t>发现</w:t>
      </w:r>
      <w:r>
        <w:rPr>
          <w:rFonts w:hint="eastAsia" w:ascii="宋体" w:hAnsi="宋体" w:eastAsia="宋体" w:cs="宋体"/>
          <w:color w:val="auto"/>
          <w:sz w:val="24"/>
          <w:szCs w:val="24"/>
          <w:highlight w:val="none"/>
          <w:lang w:eastAsia="zh-CN"/>
        </w:rPr>
        <w:t>询比采购文件</w:t>
      </w:r>
      <w:r>
        <w:rPr>
          <w:rFonts w:hint="eastAsia" w:ascii="宋体" w:hAnsi="宋体" w:eastAsia="宋体" w:cs="宋体"/>
          <w:color w:val="auto"/>
          <w:sz w:val="24"/>
          <w:szCs w:val="24"/>
          <w:highlight w:val="none"/>
        </w:rPr>
        <w:t>存在歧义、重大缺陷导致评审工作无法进行，或者</w:t>
      </w:r>
      <w:r>
        <w:rPr>
          <w:rFonts w:hint="eastAsia" w:ascii="宋体" w:hAnsi="宋体" w:eastAsia="宋体" w:cs="宋体"/>
          <w:color w:val="auto"/>
          <w:sz w:val="24"/>
          <w:szCs w:val="24"/>
          <w:highlight w:val="none"/>
          <w:lang w:eastAsia="zh-CN"/>
        </w:rPr>
        <w:t>询比采购文件</w:t>
      </w:r>
      <w:r>
        <w:rPr>
          <w:rFonts w:hint="eastAsia" w:ascii="宋体" w:hAnsi="宋体" w:eastAsia="宋体" w:cs="宋体"/>
          <w:color w:val="auto"/>
          <w:sz w:val="24"/>
          <w:szCs w:val="24"/>
          <w:highlight w:val="none"/>
        </w:rPr>
        <w:t>内容违反国家有关规定的</w:t>
      </w:r>
      <w:bookmarkStart w:id="4" w:name="_GoBack"/>
      <w:bookmarkEnd w:id="4"/>
      <w:r>
        <w:rPr>
          <w:rFonts w:hint="eastAsia" w:ascii="宋体" w:hAnsi="宋体" w:eastAsia="宋体" w:cs="宋体"/>
          <w:color w:val="auto"/>
          <w:sz w:val="24"/>
          <w:szCs w:val="24"/>
          <w:highlight w:val="none"/>
        </w:rPr>
        <w:t>，要停止评审工作并向采购人或采购代理机构书面说明情况，采购人或采购代理机构应当修改</w:t>
      </w:r>
      <w:r>
        <w:rPr>
          <w:rFonts w:hint="eastAsia" w:ascii="宋体" w:hAnsi="宋体" w:eastAsia="宋体" w:cs="宋体"/>
          <w:color w:val="auto"/>
          <w:sz w:val="24"/>
          <w:szCs w:val="24"/>
          <w:highlight w:val="none"/>
          <w:lang w:eastAsia="zh-CN"/>
        </w:rPr>
        <w:t>询比采购文件</w:t>
      </w:r>
      <w:r>
        <w:rPr>
          <w:rFonts w:hint="eastAsia" w:ascii="宋体" w:hAnsi="宋体" w:eastAsia="宋体" w:cs="宋体"/>
          <w:color w:val="auto"/>
          <w:sz w:val="24"/>
          <w:szCs w:val="24"/>
          <w:highlight w:val="none"/>
        </w:rPr>
        <w:t>后重新组织采购活动；发现供应商提供虚假材料、串通等违法违规行为的，要及时向采购人或采购代理机构报告</w:t>
      </w:r>
      <w:r>
        <w:rPr>
          <w:rFonts w:hint="eastAsia" w:ascii="宋体" w:hAnsi="宋体" w:eastAsia="宋体" w:cs="宋体"/>
          <w:color w:val="auto"/>
          <w:sz w:val="24"/>
          <w:szCs w:val="24"/>
          <w:highlight w:val="none"/>
          <w:lang w:eastAsia="zh-CN"/>
        </w:rPr>
        <w:t>。</w:t>
      </w:r>
    </w:p>
    <w:sectPr>
      <w:pgSz w:w="11906" w:h="16838"/>
      <w:pgMar w:top="1157" w:right="1463" w:bottom="110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D7B3B2"/>
    <w:multiLevelType w:val="singleLevel"/>
    <w:tmpl w:val="5BD7B3B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ZGU5ZmFhYTg1ZmEwOGZjMDE2OGMzMzJlN2Q3YWMifQ=="/>
  </w:docVars>
  <w:rsids>
    <w:rsidRoot w:val="00000000"/>
    <w:rsid w:val="003E60B0"/>
    <w:rsid w:val="005A5322"/>
    <w:rsid w:val="06713B9F"/>
    <w:rsid w:val="06E26DD0"/>
    <w:rsid w:val="08303151"/>
    <w:rsid w:val="0AE80473"/>
    <w:rsid w:val="0B507CB0"/>
    <w:rsid w:val="0B582CF4"/>
    <w:rsid w:val="0DCE6AF2"/>
    <w:rsid w:val="10456F4E"/>
    <w:rsid w:val="10A757DF"/>
    <w:rsid w:val="13297BDF"/>
    <w:rsid w:val="139E0DAC"/>
    <w:rsid w:val="144C7109"/>
    <w:rsid w:val="14BA3B00"/>
    <w:rsid w:val="156121DA"/>
    <w:rsid w:val="163C3488"/>
    <w:rsid w:val="17570BA8"/>
    <w:rsid w:val="17603403"/>
    <w:rsid w:val="17E26AB9"/>
    <w:rsid w:val="192264A0"/>
    <w:rsid w:val="1E8D2950"/>
    <w:rsid w:val="1F2E0FC5"/>
    <w:rsid w:val="1FC41ECD"/>
    <w:rsid w:val="21690AF9"/>
    <w:rsid w:val="22FF4089"/>
    <w:rsid w:val="231957C2"/>
    <w:rsid w:val="23375329"/>
    <w:rsid w:val="2594171D"/>
    <w:rsid w:val="265252B6"/>
    <w:rsid w:val="2A7818E1"/>
    <w:rsid w:val="2A8E71D7"/>
    <w:rsid w:val="2AA25AD9"/>
    <w:rsid w:val="2ACB0DA5"/>
    <w:rsid w:val="2F3A0280"/>
    <w:rsid w:val="30E10BF1"/>
    <w:rsid w:val="31F2529E"/>
    <w:rsid w:val="34D12AFA"/>
    <w:rsid w:val="34F324B8"/>
    <w:rsid w:val="39596B81"/>
    <w:rsid w:val="3A6A0156"/>
    <w:rsid w:val="3B5235B9"/>
    <w:rsid w:val="3B8366E3"/>
    <w:rsid w:val="3D95627C"/>
    <w:rsid w:val="3EA75413"/>
    <w:rsid w:val="45770F99"/>
    <w:rsid w:val="467B268B"/>
    <w:rsid w:val="492C3F61"/>
    <w:rsid w:val="54D74708"/>
    <w:rsid w:val="55C016F4"/>
    <w:rsid w:val="56FC4F35"/>
    <w:rsid w:val="570F5497"/>
    <w:rsid w:val="57BE4062"/>
    <w:rsid w:val="5BFC09EE"/>
    <w:rsid w:val="5F897C33"/>
    <w:rsid w:val="60BA0F2F"/>
    <w:rsid w:val="61DF42FF"/>
    <w:rsid w:val="6313504F"/>
    <w:rsid w:val="64E26E28"/>
    <w:rsid w:val="655C74C3"/>
    <w:rsid w:val="660A34ED"/>
    <w:rsid w:val="66201C04"/>
    <w:rsid w:val="66384F35"/>
    <w:rsid w:val="6C9A59FF"/>
    <w:rsid w:val="6D907622"/>
    <w:rsid w:val="6F996EE4"/>
    <w:rsid w:val="711A6A61"/>
    <w:rsid w:val="724A6D08"/>
    <w:rsid w:val="7302304C"/>
    <w:rsid w:val="73EE3557"/>
    <w:rsid w:val="74145084"/>
    <w:rsid w:val="742D7B14"/>
    <w:rsid w:val="7A5F66FC"/>
    <w:rsid w:val="7ABA687A"/>
    <w:rsid w:val="7BFB0476"/>
    <w:rsid w:val="7E1376D6"/>
    <w:rsid w:val="7E7F1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kern w:val="0"/>
      <w:sz w:val="32"/>
      <w:szCs w:val="32"/>
    </w:rPr>
  </w:style>
  <w:style w:type="paragraph" w:styleId="3">
    <w:name w:val="heading 3"/>
    <w:basedOn w:val="1"/>
    <w:next w:val="1"/>
    <w:unhideWhenUsed/>
    <w:qFormat/>
    <w:uiPriority w:val="0"/>
    <w:pPr>
      <w:keepNext/>
      <w:keepLines/>
      <w:spacing w:before="260" w:after="260" w:line="416" w:lineRule="auto"/>
      <w:outlineLvl w:val="2"/>
    </w:pPr>
    <w:rPr>
      <w:b/>
      <w:bCs/>
      <w:kern w:val="0"/>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Body Text"/>
    <w:basedOn w:val="1"/>
    <w:uiPriority w:val="0"/>
    <w:pPr>
      <w:spacing w:after="120"/>
    </w:pPr>
    <w:rPr>
      <w:rFonts w:ascii="Calibri" w:hAnsi="Calibri"/>
      <w:kern w:val="0"/>
      <w:sz w:val="20"/>
      <w:szCs w:val="20"/>
    </w:rPr>
  </w:style>
  <w:style w:type="paragraph" w:styleId="5">
    <w:name w:val="Plain Text"/>
    <w:basedOn w:val="1"/>
    <w:qFormat/>
    <w:uiPriority w:val="0"/>
    <w:rPr>
      <w:rFonts w:ascii="宋体" w:hAnsi="Courier New"/>
      <w:kern w:val="0"/>
      <w:sz w:val="20"/>
      <w:szCs w:val="21"/>
    </w:rPr>
  </w:style>
  <w:style w:type="paragraph" w:styleId="6">
    <w:name w:val="Body Text Indent 2"/>
    <w:basedOn w:val="1"/>
    <w:uiPriority w:val="0"/>
    <w:pPr>
      <w:spacing w:after="120" w:line="480" w:lineRule="auto"/>
      <w:ind w:left="420" w:leftChars="200"/>
    </w:pPr>
    <w:rPr>
      <w:rFonts w:ascii="Calibri" w:hAnsi="Calibri"/>
      <w:kern w:val="0"/>
      <w:sz w:val="20"/>
      <w:szCs w:val="20"/>
    </w:rPr>
  </w:style>
  <w:style w:type="paragraph" w:customStyle="1" w:styleId="9">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2022-11-23T03:10:00Z</dcterms:created>
  <dc:creator>Administrator</dc:creator>
  <cp:lastModifiedBy>沙子</cp:lastModifiedBy>
  <dcterms:modified xsi:type="dcterms:W3CDTF">2024-07-10T07:21:47Z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BD9F5B5735F643CC960602342CC2D230</vt:lpwstr>
  </property>
</Properties>
</file>