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left"/>
        <w:rPr>
          <w:rFonts w:ascii="宋体" w:hAnsi="宋体"/>
        </w:rPr>
      </w:pPr>
      <w:r>
        <w:rPr>
          <w:rFonts w:hint="eastAsia" w:ascii="宋体" w:hAnsi="宋体"/>
        </w:rPr>
        <w:t>说明：</w:t>
      </w:r>
    </w:p>
    <w:p>
      <w:pPr>
        <w:jc w:val="left"/>
        <w:rPr>
          <w:rFonts w:ascii="宋体" w:hAnsi="宋体"/>
        </w:rPr>
      </w:pPr>
      <w:r>
        <w:rPr>
          <w:rFonts w:hint="eastAsia" w:ascii="宋体" w:hAnsi="宋体"/>
        </w:rPr>
        <w:t>1、本文件共两个询比采购需求文件模版，《询比采购——综合评分法模版》和《询比采购——最低价法模版》。请采购人自行选择。</w:t>
      </w:r>
    </w:p>
    <w:p>
      <w:pPr>
        <w:outlineLvl w:val="0"/>
        <w:rPr>
          <w:rFonts w:ascii="宋体" w:hAnsi="宋体"/>
        </w:rPr>
        <w:sectPr>
          <w:pgSz w:w="11907" w:h="16840"/>
          <w:pgMar w:top="1134" w:right="1191" w:bottom="1134" w:left="1304" w:header="851" w:footer="992" w:gutter="0"/>
          <w:pgNumType w:fmt="numberInDash"/>
          <w:cols w:space="720" w:num="1"/>
          <w:docGrid w:linePitch="380" w:charSpace="-5735"/>
        </w:sectPr>
      </w:pPr>
      <w:r>
        <w:rPr>
          <w:rFonts w:hint="eastAsia" w:ascii="宋体" w:hAnsi="宋体"/>
        </w:rPr>
        <w:t>2、红色字体部分请采购人自行修改。</w:t>
      </w:r>
    </w:p>
    <w:p>
      <w:pPr>
        <w:jc w:val="center"/>
        <w:outlineLvl w:val="0"/>
        <w:rPr>
          <w:rFonts w:ascii="黑体" w:hAnsi="黑体" w:eastAsia="黑体"/>
          <w:spacing w:val="80"/>
          <w:sz w:val="112"/>
          <w:szCs w:val="112"/>
        </w:rPr>
      </w:pPr>
      <w:r>
        <w:rPr>
          <w:rFonts w:hint="eastAsia" w:ascii="黑体" w:hAnsi="黑体" w:eastAsia="黑体"/>
          <w:spacing w:val="80"/>
          <w:sz w:val="112"/>
          <w:szCs w:val="112"/>
          <w:lang w:val="en-US" w:eastAsia="zh-CN"/>
        </w:rPr>
        <w:t>询比</w:t>
      </w:r>
      <w:r>
        <w:rPr>
          <w:rFonts w:hint="eastAsia" w:ascii="黑体" w:hAnsi="黑体" w:eastAsia="黑体"/>
          <w:spacing w:val="80"/>
          <w:sz w:val="112"/>
          <w:szCs w:val="112"/>
        </w:rPr>
        <w:t>采购文件</w:t>
      </w:r>
    </w:p>
    <w:p>
      <w:pPr>
        <w:jc w:val="center"/>
        <w:outlineLvl w:val="0"/>
        <w:rPr>
          <w:rFonts w:ascii="黑体" w:hAnsi="黑体" w:eastAsia="黑体"/>
          <w:color w:val="FF0000"/>
          <w:spacing w:val="80"/>
          <w:sz w:val="44"/>
          <w:szCs w:val="44"/>
        </w:rPr>
      </w:pPr>
      <w:r>
        <w:rPr>
          <w:rFonts w:hint="eastAsia" w:ascii="黑体" w:hAnsi="黑体" w:eastAsia="黑体"/>
          <w:color w:val="FF0000"/>
          <w:spacing w:val="80"/>
          <w:sz w:val="44"/>
          <w:szCs w:val="44"/>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ind w:firstLine="1749" w:firstLineChars="486"/>
        <w:rPr>
          <w:rFonts w:ascii="黑体" w:hAnsi="黑体" w:eastAsia="黑体"/>
          <w:sz w:val="36"/>
          <w:szCs w:val="30"/>
        </w:rPr>
      </w:pPr>
      <w:r>
        <w:rPr>
          <w:rFonts w:hint="eastAsia" w:ascii="黑体" w:hAnsi="黑体" w:eastAsia="黑体"/>
          <w:sz w:val="36"/>
          <w:szCs w:val="30"/>
        </w:rPr>
        <w:t>项 目 号：</w:t>
      </w:r>
      <w:r>
        <w:rPr>
          <w:rFonts w:hint="eastAsia" w:ascii="黑体" w:hAnsi="黑体" w:eastAsia="黑体"/>
          <w:color w:val="FF0000"/>
          <w:sz w:val="36"/>
          <w:szCs w:val="30"/>
          <w:lang w:val="en-US" w:eastAsia="zh-CN"/>
        </w:rPr>
        <w:t>2024070800</w:t>
      </w:r>
      <w:r>
        <w:rPr>
          <w:rFonts w:hint="eastAsia" w:ascii="黑体" w:hAnsi="黑体" w:eastAsia="黑体"/>
          <w:color w:val="FF0000"/>
          <w:sz w:val="36"/>
          <w:szCs w:val="30"/>
        </w:rPr>
        <w:t>1</w:t>
      </w:r>
    </w:p>
    <w:p>
      <w:pPr>
        <w:spacing w:line="700" w:lineRule="exact"/>
        <w:ind w:left="3646" w:leftChars="640" w:hanging="1854" w:hangingChars="515"/>
        <w:rPr>
          <w:rFonts w:ascii="黑体" w:hAnsi="黑体" w:eastAsia="黑体"/>
          <w:sz w:val="36"/>
          <w:szCs w:val="30"/>
          <w:u w:val="single"/>
        </w:rPr>
      </w:pPr>
      <w:r>
        <w:rPr>
          <w:rFonts w:hint="eastAsia" w:ascii="黑体" w:hAnsi="黑体" w:eastAsia="黑体"/>
          <w:sz w:val="36"/>
          <w:szCs w:val="30"/>
        </w:rPr>
        <w:t>项目名称：</w:t>
      </w:r>
      <w:r>
        <w:rPr>
          <w:rFonts w:hint="eastAsia" w:ascii="黑体" w:hAnsi="黑体" w:eastAsia="黑体"/>
          <w:color w:val="FF0000"/>
          <w:sz w:val="36"/>
          <w:szCs w:val="30"/>
          <w:u w:val="single"/>
        </w:rPr>
        <w:t>贡觉县中学新学生食堂明厨亮灶网络监控设备采购安装</w:t>
      </w:r>
    </w:p>
    <w:p>
      <w:pPr>
        <w:spacing w:line="700" w:lineRule="exact"/>
        <w:jc w:val="center"/>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ind w:firstLine="1440" w:firstLineChars="400"/>
        <w:rPr>
          <w:rFonts w:hint="eastAsia" w:ascii="黑体" w:hAnsi="黑体" w:eastAsia="黑体"/>
          <w:sz w:val="36"/>
          <w:szCs w:val="30"/>
          <w:lang w:eastAsia="zh-CN"/>
        </w:rPr>
      </w:pPr>
      <w:r>
        <w:rPr>
          <w:rFonts w:hint="eastAsia" w:ascii="黑体" w:hAnsi="黑体" w:eastAsia="黑体"/>
          <w:sz w:val="36"/>
          <w:szCs w:val="30"/>
        </w:rPr>
        <w:t>采   购   人：</w:t>
      </w:r>
      <w:r>
        <w:rPr>
          <w:rFonts w:hint="eastAsia" w:ascii="黑体" w:hAnsi="黑体" w:eastAsia="黑体"/>
          <w:color w:val="FF0000"/>
          <w:sz w:val="36"/>
          <w:szCs w:val="30"/>
          <w:lang w:eastAsia="zh-CN"/>
        </w:rPr>
        <w:t>贡觉县中学</w:t>
      </w:r>
    </w:p>
    <w:p>
      <w:pPr>
        <w:spacing w:line="700" w:lineRule="exact"/>
        <w:ind w:firstLine="1749" w:firstLineChars="486"/>
        <w:rPr>
          <w:rFonts w:ascii="黑体" w:hAnsi="黑体" w:eastAsia="黑体"/>
          <w:sz w:val="36"/>
          <w:szCs w:val="30"/>
        </w:rPr>
      </w:pPr>
    </w:p>
    <w:p>
      <w:pPr>
        <w:spacing w:line="720" w:lineRule="exact"/>
        <w:jc w:val="center"/>
        <w:outlineLvl w:val="0"/>
        <w:rPr>
          <w:rFonts w:ascii="黑体" w:hAnsi="黑体" w:eastAsia="黑体"/>
          <w:color w:val="FF0000"/>
          <w:sz w:val="48"/>
          <w:szCs w:val="32"/>
        </w:rPr>
      </w:pPr>
      <w:r>
        <w:rPr>
          <w:rFonts w:hint="eastAsia" w:ascii="黑体" w:hAnsi="黑体" w:eastAsia="黑体"/>
          <w:color w:val="FF0000"/>
          <w:sz w:val="48"/>
          <w:szCs w:val="32"/>
        </w:rPr>
        <w:t>二〇</w:t>
      </w:r>
      <w:r>
        <w:rPr>
          <w:rFonts w:hint="eastAsia" w:ascii="黑体" w:hAnsi="黑体" w:eastAsia="黑体"/>
          <w:color w:val="FF0000"/>
          <w:sz w:val="48"/>
          <w:szCs w:val="32"/>
          <w:lang w:eastAsia="zh-CN"/>
        </w:rPr>
        <w:t>二四</w:t>
      </w:r>
      <w:r>
        <w:rPr>
          <w:rFonts w:hint="eastAsia" w:ascii="黑体" w:hAnsi="黑体" w:eastAsia="黑体"/>
          <w:color w:val="FF0000"/>
          <w:sz w:val="48"/>
          <w:szCs w:val="32"/>
        </w:rPr>
        <w:t>年</w:t>
      </w:r>
      <w:r>
        <w:rPr>
          <w:rFonts w:hint="eastAsia" w:ascii="黑体" w:hAnsi="黑体" w:eastAsia="黑体"/>
          <w:color w:val="FF0000"/>
          <w:sz w:val="48"/>
          <w:szCs w:val="32"/>
          <w:lang w:eastAsia="zh-CN"/>
        </w:rPr>
        <w:t>七</w:t>
      </w:r>
      <w:r>
        <w:rPr>
          <w:rFonts w:hint="eastAsia" w:ascii="黑体" w:hAnsi="黑体" w:eastAsia="黑体"/>
          <w:color w:val="FF0000"/>
          <w:sz w:val="48"/>
          <w:szCs w:val="32"/>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（综合评分法）</w:t>
      </w:r>
    </w:p>
    <w:p>
      <w:pPr>
        <w:pStyle w:val="2"/>
        <w:spacing w:before="0" w:after="0" w:line="312" w:lineRule="auto"/>
        <w:rPr>
          <w:rFonts w:ascii="宋体" w:hAnsi="宋体" w:cs="宋体"/>
          <w:sz w:val="24"/>
          <w:szCs w:val="24"/>
        </w:rPr>
      </w:pPr>
      <w:bookmarkStart w:id="0" w:name="_Toc3463"/>
      <w:bookmarkStart w:id="1" w:name="_Toc12808"/>
      <w:bookmarkStart w:id="2" w:name="_Toc18881"/>
      <w:bookmarkStart w:id="3" w:name="_Toc317775175"/>
      <w:bookmarkStart w:id="4" w:name="_Toc26820"/>
      <w:bookmarkStart w:id="5" w:name="_Toc25458"/>
      <w:bookmarkStart w:id="6" w:name="_Toc18159"/>
      <w:bookmarkStart w:id="7" w:name="_Toc7625"/>
      <w:bookmarkStart w:id="8" w:name="_Toc313893526"/>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560"/>
        <w:gridCol w:w="17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23"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bookmarkStart w:id="9" w:name="_Toc25190"/>
            <w:bookmarkStart w:id="10" w:name="_Toc15576"/>
            <w:bookmarkStart w:id="11" w:name="_Toc19437"/>
            <w:bookmarkStart w:id="12" w:name="_Toc1790"/>
            <w:bookmarkStart w:id="13" w:name="_Toc6462"/>
            <w:bookmarkStart w:id="14" w:name="_Toc22399"/>
            <w:bookmarkStart w:id="15" w:name="_Toc15727"/>
            <w:bookmarkStart w:id="16" w:name="_Toc317775178"/>
            <w:bookmarkStart w:id="17" w:name="_Toc373860293"/>
            <w:r>
              <w:rPr>
                <w:rFonts w:hint="eastAsia" w:ascii="宋体" w:hAnsi="宋体" w:cs="宋体"/>
                <w:b/>
                <w:bCs/>
                <w:kern w:val="0"/>
                <w:sz w:val="21"/>
                <w:szCs w:val="24"/>
              </w:rPr>
              <w:t>项目名称</w:t>
            </w:r>
          </w:p>
        </w:tc>
        <w:tc>
          <w:tcPr>
            <w:tcW w:w="156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（元）</w:t>
            </w:r>
          </w:p>
        </w:tc>
        <w:tc>
          <w:tcPr>
            <w:tcW w:w="1700" w:type="dxa"/>
            <w:tcBorders>
              <w:top w:val="single" w:color="auto" w:sz="4" w:space="0"/>
              <w:left w:val="single" w:color="auto" w:sz="4" w:space="0"/>
              <w:right w:val="single" w:color="auto" w:sz="4" w:space="0"/>
            </w:tcBorders>
            <w:noWrap w:val="0"/>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100" w:type="dxa"/>
            <w:tcBorders>
              <w:top w:val="single" w:color="auto" w:sz="4" w:space="0"/>
              <w:left w:val="single" w:color="auto" w:sz="4" w:space="0"/>
              <w:right w:val="single" w:color="auto" w:sz="4" w:space="0"/>
            </w:tcBorders>
            <w:noWrap w:val="0"/>
            <w:vAlign w:val="center"/>
          </w:tcPr>
          <w:p>
            <w:pPr>
              <w:rPr>
                <w:rFonts w:ascii="宋体" w:hAnsi="宋体" w:cs="宋体"/>
                <w:b/>
                <w:bCs/>
                <w:kern w:val="0"/>
                <w:sz w:val="21"/>
                <w:szCs w:val="24"/>
              </w:rPr>
            </w:pPr>
            <w:r>
              <w:rPr>
                <w:rFonts w:hint="eastAsia" w:ascii="宋体" w:hAnsi="宋体" w:eastAsia="宋体" w:cs="宋体"/>
                <w:b/>
                <w:bCs/>
                <w:kern w:val="0"/>
                <w:sz w:val="21"/>
                <w:szCs w:val="24"/>
              </w:rPr>
              <w:t>资金来源</w:t>
            </w:r>
          </w:p>
        </w:tc>
        <w:tc>
          <w:tcPr>
            <w:tcW w:w="1100" w:type="dxa"/>
            <w:tcBorders>
              <w:top w:val="single" w:color="auto" w:sz="4" w:space="0"/>
              <w:left w:val="single" w:color="auto" w:sz="4" w:space="0"/>
              <w:right w:val="single" w:color="auto" w:sz="4" w:space="0"/>
            </w:tcBorders>
            <w:noWrap w:val="0"/>
            <w:vAlign w:val="center"/>
          </w:tcPr>
          <w:p>
            <w:pPr>
              <w:rPr>
                <w:rFonts w:hint="eastAsia"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623"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FF0000"/>
                <w:kern w:val="0"/>
                <w:sz w:val="21"/>
                <w:szCs w:val="24"/>
              </w:rPr>
            </w:pPr>
            <w:bookmarkStart w:id="18" w:name="_Hlk344477914"/>
            <w:r>
              <w:rPr>
                <w:rFonts w:hint="eastAsia" w:ascii="宋体" w:hAnsi="宋体" w:cs="宋体"/>
                <w:color w:val="FF0000"/>
                <w:kern w:val="0"/>
                <w:sz w:val="21"/>
                <w:szCs w:val="24"/>
              </w:rPr>
              <w:t>贡觉县中学新学生食堂明厨亮灶网络监控设备采购安装</w:t>
            </w:r>
          </w:p>
        </w:tc>
        <w:tc>
          <w:tcPr>
            <w:tcW w:w="156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FF0000"/>
                <w:kern w:val="0"/>
                <w:sz w:val="21"/>
                <w:szCs w:val="24"/>
                <w:lang w:val="en-US" w:eastAsia="zh-CN"/>
              </w:rPr>
            </w:pPr>
            <w:r>
              <w:rPr>
                <w:rFonts w:hint="eastAsia" w:ascii="宋体" w:hAnsi="宋体" w:cs="宋体"/>
                <w:color w:val="FF0000"/>
                <w:kern w:val="0"/>
                <w:sz w:val="21"/>
                <w:szCs w:val="24"/>
              </w:rPr>
              <w:t xml:space="preserve">  </w:t>
            </w:r>
            <w:r>
              <w:rPr>
                <w:rFonts w:hint="eastAsia" w:ascii="宋体" w:hAnsi="宋体" w:cs="宋体"/>
                <w:color w:val="FF0000"/>
                <w:kern w:val="0"/>
                <w:sz w:val="21"/>
                <w:szCs w:val="24"/>
                <w:lang w:val="en-US" w:eastAsia="zh-CN"/>
              </w:rPr>
              <w:t>50150.00</w:t>
            </w:r>
          </w:p>
        </w:tc>
        <w:tc>
          <w:tcPr>
            <w:tcW w:w="170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1"/>
                <w:szCs w:val="24"/>
              </w:rPr>
            </w:pPr>
            <w:r>
              <w:rPr>
                <w:rFonts w:hint="eastAsia" w:ascii="宋体" w:hAnsi="宋体" w:cs="宋体"/>
                <w:color w:val="000000"/>
                <w:kern w:val="0"/>
                <w:sz w:val="21"/>
                <w:szCs w:val="24"/>
              </w:rPr>
              <w:t>1</w:t>
            </w:r>
          </w:p>
        </w:tc>
        <w:tc>
          <w:tcPr>
            <w:tcW w:w="1100" w:type="dxa"/>
            <w:tcBorders>
              <w:top w:val="single" w:color="auto" w:sz="4" w:space="0"/>
              <w:left w:val="single" w:color="auto" w:sz="4" w:space="0"/>
              <w:right w:val="single" w:color="auto" w:sz="4" w:space="0"/>
            </w:tcBorders>
            <w:noWrap w:val="0"/>
            <w:vAlign w:val="center"/>
          </w:tcPr>
          <w:p>
            <w:pPr>
              <w:rPr>
                <w:rFonts w:hint="eastAsia" w:ascii="宋体" w:hAnsi="宋体" w:eastAsia="宋体"/>
                <w:b/>
                <w:sz w:val="21"/>
                <w:szCs w:val="21"/>
                <w:lang w:eastAsia="zh-CN"/>
              </w:rPr>
            </w:pPr>
            <w:r>
              <w:rPr>
                <w:rFonts w:hint="eastAsia" w:ascii="宋体" w:hAnsi="宋体"/>
                <w:color w:val="FF0000"/>
                <w:sz w:val="24"/>
                <w:szCs w:val="24"/>
                <w:lang w:eastAsia="zh-CN"/>
              </w:rPr>
              <w:t>教育事业经费</w:t>
            </w:r>
          </w:p>
        </w:tc>
        <w:tc>
          <w:tcPr>
            <w:tcW w:w="1100" w:type="dxa"/>
            <w:tcBorders>
              <w:top w:val="single" w:color="auto" w:sz="4" w:space="0"/>
              <w:left w:val="single" w:color="auto" w:sz="4" w:space="0"/>
              <w:right w:val="single" w:color="auto" w:sz="4" w:space="0"/>
            </w:tcBorders>
            <w:noWrap w:val="0"/>
            <w:vAlign w:val="center"/>
          </w:tcPr>
          <w:p>
            <w:pPr>
              <w:rPr>
                <w:rFonts w:ascii="宋体" w:hAnsi="宋体"/>
                <w:b/>
                <w:sz w:val="21"/>
                <w:szCs w:val="21"/>
              </w:rPr>
            </w:pPr>
          </w:p>
        </w:tc>
      </w:tr>
      <w:bookmarkEnd w:id="18"/>
    </w:tbl>
    <w:p>
      <w:pPr>
        <w:pStyle w:val="2"/>
        <w:spacing w:before="0" w:after="0" w:line="312" w:lineRule="auto"/>
        <w:rPr>
          <w:rFonts w:hint="eastAsia"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ascii="宋体" w:hAnsi="宋体" w:cs="宋体"/>
          <w:sz w:val="24"/>
          <w:szCs w:val="24"/>
        </w:rPr>
      </w:pPr>
      <w:r>
        <w:rPr>
          <w:rFonts w:hint="eastAsia" w:ascii="宋体" w:hAnsi="宋体" w:cs="宋体"/>
          <w:sz w:val="24"/>
          <w:szCs w:val="24"/>
        </w:rPr>
        <w:t>1、具有独立承担民事责任的能力（提供法人或者其他组织的营业执照等证明文件，扫描件加盖公章）；</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2、具有良好的商业信誉和健全的财务会计制度；</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3、具有履行合同所必需的设备和专业技术能力；</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4、有依法缴纳税收和社会保障资金的良好记录；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480" w:firstLineChars="200"/>
        <w:rPr>
          <w:rFonts w:ascii="宋体" w:hAnsi="宋体" w:cs="宋体"/>
          <w:sz w:val="24"/>
          <w:szCs w:val="24"/>
        </w:rPr>
      </w:pPr>
      <w:r>
        <w:rPr>
          <w:rFonts w:hint="eastAsia" w:ascii="宋体" w:hAnsi="宋体" w:cs="宋体"/>
          <w:sz w:val="24"/>
          <w:szCs w:val="24"/>
        </w:rPr>
        <w:t>（2-6由供应商自行提供承诺说明，加盖公章）</w:t>
      </w:r>
    </w:p>
    <w:p>
      <w:pPr>
        <w:spacing w:line="312" w:lineRule="auto"/>
        <w:ind w:firstLine="482" w:firstLineChars="200"/>
        <w:rPr>
          <w:rFonts w:ascii="宋体" w:hAnsi="宋体" w:cs="宋体"/>
          <w:b/>
          <w:bCs/>
          <w:color w:val="FF0000"/>
          <w:sz w:val="24"/>
          <w:szCs w:val="24"/>
        </w:rPr>
      </w:pPr>
      <w:r>
        <w:rPr>
          <w:rFonts w:hint="eastAsia" w:ascii="宋体" w:hAnsi="宋体" w:cs="宋体"/>
          <w:b/>
          <w:bCs/>
          <w:color w:val="FF0000"/>
          <w:sz w:val="24"/>
          <w:szCs w:val="24"/>
        </w:rPr>
        <w:t>（二）特定资格条件</w:t>
      </w:r>
    </w:p>
    <w:p>
      <w:pPr>
        <w:ind w:firstLine="480" w:firstLineChars="200"/>
        <w:rPr>
          <w:rFonts w:ascii="宋体" w:hAnsi="宋体" w:cs="宋体"/>
          <w:color w:val="FF0000"/>
          <w:sz w:val="24"/>
          <w:szCs w:val="24"/>
        </w:rPr>
      </w:pPr>
      <w:r>
        <w:rPr>
          <w:rFonts w:hint="eastAsia" w:ascii="宋体" w:hAnsi="宋体" w:cs="宋体"/>
          <w:color w:val="FF0000"/>
          <w:sz w:val="24"/>
          <w:szCs w:val="24"/>
        </w:rPr>
        <w:t>无</w:t>
      </w:r>
      <w:r>
        <w:rPr>
          <w:rFonts w:hint="eastAsia" w:ascii="宋体" w:hAnsi="宋体" w:cs="宋体"/>
          <w:i/>
          <w:iCs/>
          <w:color w:val="FF0000"/>
          <w:sz w:val="24"/>
          <w:szCs w:val="24"/>
        </w:rPr>
        <w:t>（</w:t>
      </w:r>
      <w:r>
        <w:rPr>
          <w:rFonts w:hint="eastAsia" w:ascii="宋体" w:hAnsi="宋体" w:cs="宋体"/>
          <w:i/>
          <w:iCs/>
          <w:color w:val="FF0000"/>
          <w:sz w:val="24"/>
          <w:szCs w:val="24"/>
          <w:u w:val="single"/>
        </w:rPr>
        <w:t>如有，请自行添加，</w:t>
      </w:r>
      <w:bookmarkStart w:id="19" w:name="_Hlk27399457"/>
      <w:r>
        <w:rPr>
          <w:rFonts w:hint="eastAsia" w:ascii="宋体" w:hAnsi="宋体" w:cs="宋体"/>
          <w:i/>
          <w:iCs/>
          <w:color w:val="FF0000"/>
          <w:sz w:val="24"/>
          <w:szCs w:val="24"/>
          <w:u w:val="single"/>
        </w:rPr>
        <w:t>并明确供应商须提供的资格条件证明材料</w:t>
      </w:r>
      <w:bookmarkEnd w:id="19"/>
      <w:r>
        <w:rPr>
          <w:rFonts w:hint="eastAsia" w:ascii="宋体" w:hAnsi="宋体" w:cs="宋体"/>
          <w:i/>
          <w:iCs/>
          <w:color w:val="FF0000"/>
          <w:sz w:val="24"/>
          <w:szCs w:val="24"/>
        </w:rPr>
        <w:t>）</w:t>
      </w:r>
    </w:p>
    <w:p>
      <w:pPr>
        <w:ind w:firstLine="480" w:firstLineChars="200"/>
        <w:rPr>
          <w:rFonts w:ascii="宋体" w:hAnsi="宋体" w:cs="宋体"/>
          <w:sz w:val="24"/>
          <w:szCs w:val="24"/>
        </w:rPr>
      </w:pPr>
    </w:p>
    <w:bookmarkEnd w:id="16"/>
    <w:bookmarkEnd w:id="17"/>
    <w:p>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p>
      <w:pPr>
        <w:snapToGrid w:val="0"/>
        <w:spacing w:line="360" w:lineRule="auto"/>
        <w:rPr>
          <w:rFonts w:hint="eastAsia" w:ascii="宋体" w:hAnsi="宋体" w:cs="宋体"/>
          <w:b/>
          <w:bCs/>
          <w:i/>
          <w:iCs/>
          <w:color w:val="FF0000"/>
          <w:sz w:val="24"/>
          <w:szCs w:val="24"/>
          <w:u w:val="single"/>
        </w:rPr>
      </w:pPr>
      <w:r>
        <w:rPr>
          <w:rFonts w:hint="eastAsia" w:ascii="宋体" w:hAnsi="宋体" w:cs="宋体"/>
          <w:b/>
          <w:bCs/>
          <w:i/>
          <w:iCs/>
          <w:color w:val="FF0000"/>
          <w:sz w:val="24"/>
          <w:szCs w:val="24"/>
          <w:u w:val="single"/>
        </w:rPr>
        <w:t>贡觉县中学新学生食堂明厨亮灶网络监控设备采购安装</w:t>
      </w:r>
    </w:p>
    <w:tbl>
      <w:tblPr>
        <w:tblW w:w="23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2"/>
        <w:gridCol w:w="2181"/>
        <w:gridCol w:w="1776"/>
        <w:gridCol w:w="1397"/>
        <w:gridCol w:w="2665"/>
        <w:gridCol w:w="10948"/>
        <w:gridCol w:w="951"/>
        <w:gridCol w:w="1320"/>
        <w:gridCol w:w="951"/>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3970" w:type="dxa"/>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何总监控网络报价清单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23970"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电子与智能化  建筑智能化系统设计  弱电系统集成   防雷设计施工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图片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产品描述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海康摄像头</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海康</w:t>
            </w: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189230</wp:posOffset>
                  </wp:positionH>
                  <wp:positionV relativeFrom="paragraph">
                    <wp:posOffset>142875</wp:posOffset>
                  </wp:positionV>
                  <wp:extent cx="858520" cy="0"/>
                  <wp:effectExtent l="0" t="0" r="0" b="0"/>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10"/>
                          <a:stretch>
                            <a:fillRect/>
                          </a:stretch>
                        </pic:blipFill>
                        <pic:spPr>
                          <a:xfrm>
                            <a:off x="0" y="0"/>
                            <a:ext cx="858520" cy="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394335</wp:posOffset>
                  </wp:positionH>
                  <wp:positionV relativeFrom="paragraph">
                    <wp:posOffset>199390</wp:posOffset>
                  </wp:positionV>
                  <wp:extent cx="866775" cy="562610"/>
                  <wp:effectExtent l="0" t="0" r="9525" b="889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11"/>
                          <a:stretch>
                            <a:fillRect/>
                          </a:stretch>
                        </pic:blipFill>
                        <pic:spPr>
                          <a:xfrm>
                            <a:off x="0" y="0"/>
                            <a:ext cx="866775" cy="562610"/>
                          </a:xfrm>
                          <a:prstGeom prst="rect">
                            <a:avLst/>
                          </a:prstGeom>
                          <a:noFill/>
                          <a:ln>
                            <a:noFill/>
                          </a:ln>
                        </pic:spPr>
                      </pic:pic>
                    </a:graphicData>
                  </a:graphic>
                </wp:anchor>
              </w:drawing>
            </w:r>
          </w:p>
        </w:tc>
        <w:tc>
          <w:tcPr>
            <w:tcW w:w="8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1/2.8英寸400万CMOS传感器，支持1080P（1920*1080）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ICR双滤切换，30-50米红外距离、低照度增强技术，防眩光处理                                                                                                                                                                                                                                                                  4000V防雷、防浪涌，IP66防护，并且支持ONVIF最新版本</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4/6/m高清定焦镜头IP66防护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半球</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海康</w:t>
            </w: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497205</wp:posOffset>
                  </wp:positionH>
                  <wp:positionV relativeFrom="paragraph">
                    <wp:posOffset>76835</wp:posOffset>
                  </wp:positionV>
                  <wp:extent cx="652145" cy="666750"/>
                  <wp:effectExtent l="0" t="0" r="14605" b="0"/>
                  <wp:wrapNone/>
                  <wp:docPr id="6" name="图片_7"/>
                  <wp:cNvGraphicFramePr/>
                  <a:graphic xmlns:a="http://schemas.openxmlformats.org/drawingml/2006/main">
                    <a:graphicData uri="http://schemas.openxmlformats.org/drawingml/2006/picture">
                      <pic:pic xmlns:pic="http://schemas.openxmlformats.org/drawingml/2006/picture">
                        <pic:nvPicPr>
                          <pic:cNvPr id="6" name="图片_7"/>
                          <pic:cNvPicPr/>
                        </pic:nvPicPr>
                        <pic:blipFill>
                          <a:blip r:embed="rId12"/>
                          <a:stretch>
                            <a:fillRect/>
                          </a:stretch>
                        </pic:blipFill>
                        <pic:spPr>
                          <a:xfrm>
                            <a:off x="0" y="0"/>
                            <a:ext cx="652145" cy="666750"/>
                          </a:xfrm>
                          <a:prstGeom prst="rect">
                            <a:avLst/>
                          </a:prstGeom>
                          <a:noFill/>
                          <a:ln>
                            <a:noFill/>
                          </a:ln>
                        </pic:spPr>
                      </pic:pic>
                    </a:graphicData>
                  </a:graphic>
                </wp:anchor>
              </w:drawing>
            </w:r>
          </w:p>
        </w:tc>
        <w:tc>
          <w:tcPr>
            <w:tcW w:w="8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  1/2.7英寸200万像素CMOS传感器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/4mm/6mm高清定焦镜头可选，ICR双滤切换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30-50米有效红外距离</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支持三码流同时输出，主码流最高分辨率1080p@30fps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支持智能分析，包括绊线、周界和计数统计功能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支持宽动态、背光补偿、强光抑制、3D降噪、图像翻转</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支持走廊模式、透雾、场景模式设置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支持时间模版设置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双内核备份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支持ROI感兴趣区域视频压缩技术</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支持图片叠加、IPv6、MTU设置、多播、心跳、黑白名单、SNMP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支架</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val="0"/>
                <w:iCs w:val="0"/>
                <w:color w:val="000000"/>
                <w:sz w:val="18"/>
                <w:szCs w:val="18"/>
                <w:u w:val="none"/>
              </w:rPr>
            </w:pPr>
          </w:p>
        </w:tc>
        <w:tc>
          <w:tcPr>
            <w:tcW w:w="850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海康录像机</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32路</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海康</w:t>
            </w: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214630</wp:posOffset>
                  </wp:positionH>
                  <wp:positionV relativeFrom="paragraph">
                    <wp:posOffset>219075</wp:posOffset>
                  </wp:positionV>
                  <wp:extent cx="1356360" cy="608965"/>
                  <wp:effectExtent l="0" t="0" r="15240" b="635"/>
                  <wp:wrapNone/>
                  <wp:docPr id="9" name="图片_1_SpCnt_1"/>
                  <wp:cNvGraphicFramePr/>
                  <a:graphic xmlns:a="http://schemas.openxmlformats.org/drawingml/2006/main">
                    <a:graphicData uri="http://schemas.openxmlformats.org/drawingml/2006/picture">
                      <pic:pic xmlns:pic="http://schemas.openxmlformats.org/drawingml/2006/picture">
                        <pic:nvPicPr>
                          <pic:cNvPr id="9" name="图片_1_SpCnt_1"/>
                          <pic:cNvPicPr/>
                        </pic:nvPicPr>
                        <pic:blipFill>
                          <a:blip r:embed="rId13"/>
                          <a:stretch>
                            <a:fillRect/>
                          </a:stretch>
                        </pic:blipFill>
                        <pic:spPr>
                          <a:xfrm>
                            <a:off x="0" y="0"/>
                            <a:ext cx="1356360" cy="608965"/>
                          </a:xfrm>
                          <a:prstGeom prst="rect">
                            <a:avLst/>
                          </a:prstGeom>
                          <a:noFill/>
                          <a:ln>
                            <a:noFill/>
                          </a:ln>
                        </pic:spPr>
                      </pic:pic>
                    </a:graphicData>
                  </a:graphic>
                </wp:anchor>
              </w:drawing>
            </w:r>
          </w:p>
        </w:tc>
        <w:tc>
          <w:tcPr>
            <w:tcW w:w="8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32路4盘位海康录像机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硬盘</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西捷</w:t>
            </w: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592455</wp:posOffset>
                  </wp:positionH>
                  <wp:positionV relativeFrom="paragraph">
                    <wp:posOffset>133350</wp:posOffset>
                  </wp:positionV>
                  <wp:extent cx="438150" cy="677545"/>
                  <wp:effectExtent l="0" t="0" r="0" b="8255"/>
                  <wp:wrapNone/>
                  <wp:docPr id="10" name="Picture_1145"/>
                  <wp:cNvGraphicFramePr/>
                  <a:graphic xmlns:a="http://schemas.openxmlformats.org/drawingml/2006/main">
                    <a:graphicData uri="http://schemas.openxmlformats.org/drawingml/2006/picture">
                      <pic:pic xmlns:pic="http://schemas.openxmlformats.org/drawingml/2006/picture">
                        <pic:nvPicPr>
                          <pic:cNvPr id="10" name="Picture_1145"/>
                          <pic:cNvPicPr/>
                        </pic:nvPicPr>
                        <pic:blipFill>
                          <a:blip r:embed="rId14"/>
                          <a:stretch>
                            <a:fillRect/>
                          </a:stretch>
                        </pic:blipFill>
                        <pic:spPr>
                          <a:xfrm>
                            <a:off x="0" y="0"/>
                            <a:ext cx="438150" cy="67754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 S81000DM004  接口类型   SATA   容量 8TB  缓存 256MB双碟容  5900RPM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交换机</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POE</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351790</wp:posOffset>
                  </wp:positionH>
                  <wp:positionV relativeFrom="paragraph">
                    <wp:posOffset>257810</wp:posOffset>
                  </wp:positionV>
                  <wp:extent cx="909320" cy="287020"/>
                  <wp:effectExtent l="0" t="0" r="5080" b="17780"/>
                  <wp:wrapNone/>
                  <wp:docPr id="11" name="Picture_2"/>
                  <wp:cNvGraphicFramePr/>
                  <a:graphic xmlns:a="http://schemas.openxmlformats.org/drawingml/2006/main">
                    <a:graphicData uri="http://schemas.openxmlformats.org/drawingml/2006/picture">
                      <pic:pic xmlns:pic="http://schemas.openxmlformats.org/drawingml/2006/picture">
                        <pic:nvPicPr>
                          <pic:cNvPr id="11" name="Picture_2"/>
                          <pic:cNvPicPr/>
                        </pic:nvPicPr>
                        <pic:blipFill>
                          <a:blip r:embed="rId15"/>
                          <a:stretch>
                            <a:fillRect/>
                          </a:stretch>
                        </pic:blipFill>
                        <pic:spPr>
                          <a:xfrm>
                            <a:off x="0" y="0"/>
                            <a:ext cx="909320" cy="287020"/>
                          </a:xfrm>
                          <a:prstGeom prst="rect">
                            <a:avLst/>
                          </a:prstGeom>
                          <a:noFill/>
                          <a:ln>
                            <a:noFill/>
                          </a:ln>
                        </pic:spPr>
                      </pic:pic>
                    </a:graphicData>
                  </a:graphic>
                </wp:anchor>
              </w:drawing>
            </w:r>
          </w:p>
        </w:tc>
        <w:tc>
          <w:tcPr>
            <w:tcW w:w="8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交换机，100/1000M电口接入交换机机架式铁壳设计、内置电源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监控显示器</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长虹</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299085</wp:posOffset>
                  </wp:positionH>
                  <wp:positionV relativeFrom="paragraph">
                    <wp:posOffset>106045</wp:posOffset>
                  </wp:positionV>
                  <wp:extent cx="1219200" cy="742315"/>
                  <wp:effectExtent l="0" t="0" r="0" b="635"/>
                  <wp:wrapNone/>
                  <wp:docPr id="12" name="图片_6_SpCnt_1"/>
                  <wp:cNvGraphicFramePr/>
                  <a:graphic xmlns:a="http://schemas.openxmlformats.org/drawingml/2006/main">
                    <a:graphicData uri="http://schemas.openxmlformats.org/drawingml/2006/picture">
                      <pic:pic xmlns:pic="http://schemas.openxmlformats.org/drawingml/2006/picture">
                        <pic:nvPicPr>
                          <pic:cNvPr id="12" name="图片_6_SpCnt_1"/>
                          <pic:cNvPicPr/>
                        </pic:nvPicPr>
                        <pic:blipFill>
                          <a:blip r:embed="rId16"/>
                          <a:stretch>
                            <a:fillRect/>
                          </a:stretch>
                        </pic:blipFill>
                        <pic:spPr>
                          <a:xfrm>
                            <a:off x="0" y="0"/>
                            <a:ext cx="1219200" cy="742315"/>
                          </a:xfrm>
                          <a:prstGeom prst="rect">
                            <a:avLst/>
                          </a:prstGeom>
                          <a:noFill/>
                          <a:ln>
                            <a:noFill/>
                          </a:ln>
                        </pic:spPr>
                      </pic:pic>
                    </a:graphicData>
                  </a:graphic>
                </wp:anchor>
              </w:drawing>
            </w:r>
          </w:p>
        </w:tc>
        <w:tc>
          <w:tcPr>
            <w:tcW w:w="8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l  采用ED工业级原装面板，满足7*24小时连续工作显示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LED背光、节能环保、色彩绚丽、使用寿命长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高清晰度、高色域、超高亮度、超高对比度，画面细节出众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支持3D动态优化技术，有效消除噪波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支持色彩优化技术，画面更加逼真、自然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支持对比度增强技术，针对不同信号自动匹配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支持细节表现增强技术，有效消除锯齿边缘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支持VGA/DVI输入接口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8ms极速响应时间，有效消除画面拖尾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超宽视角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内置低功耗电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l  专业工程设计安装，支持多种安装方式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机柜</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12U</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497205</wp:posOffset>
                  </wp:positionH>
                  <wp:positionV relativeFrom="paragraph">
                    <wp:posOffset>76200</wp:posOffset>
                  </wp:positionV>
                  <wp:extent cx="763905" cy="628650"/>
                  <wp:effectExtent l="0" t="0" r="17145" b="0"/>
                  <wp:wrapNone/>
                  <wp:docPr id="13" name="Picture_1057"/>
                  <wp:cNvGraphicFramePr/>
                  <a:graphic xmlns:a="http://schemas.openxmlformats.org/drawingml/2006/main">
                    <a:graphicData uri="http://schemas.openxmlformats.org/drawingml/2006/picture">
                      <pic:pic xmlns:pic="http://schemas.openxmlformats.org/drawingml/2006/picture">
                        <pic:nvPicPr>
                          <pic:cNvPr id="13" name="Picture_1057"/>
                          <pic:cNvPicPr/>
                        </pic:nvPicPr>
                        <pic:blipFill>
                          <a:blip r:embed="rId17"/>
                          <a:stretch>
                            <a:fillRect/>
                          </a:stretch>
                        </pic:blipFill>
                        <pic:spPr>
                          <a:xfrm>
                            <a:off x="0" y="0"/>
                            <a:ext cx="763905" cy="628650"/>
                          </a:xfrm>
                          <a:prstGeom prst="rect">
                            <a:avLst/>
                          </a:prstGeom>
                          <a:noFill/>
                          <a:ln>
                            <a:noFill/>
                          </a:ln>
                        </pic:spPr>
                      </pic:pic>
                    </a:graphicData>
                  </a:graphic>
                </wp:anchor>
              </w:drawing>
            </w:r>
          </w:p>
        </w:tc>
        <w:tc>
          <w:tcPr>
            <w:tcW w:w="8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12U</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HDMI线材</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绿联</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1月3日</w:t>
            </w: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8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HDMI延长器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PVC管2.0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PVC管2.0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多联</w:t>
            </w: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368935</wp:posOffset>
                  </wp:positionH>
                  <wp:positionV relativeFrom="paragraph">
                    <wp:posOffset>66675</wp:posOffset>
                  </wp:positionV>
                  <wp:extent cx="807085" cy="504825"/>
                  <wp:effectExtent l="0" t="0" r="12065" b="9525"/>
                  <wp:wrapNone/>
                  <wp:docPr id="14" name="Picture_1103"/>
                  <wp:cNvGraphicFramePr/>
                  <a:graphic xmlns:a="http://schemas.openxmlformats.org/drawingml/2006/main">
                    <a:graphicData uri="http://schemas.openxmlformats.org/drawingml/2006/picture">
                      <pic:pic xmlns:pic="http://schemas.openxmlformats.org/drawingml/2006/picture">
                        <pic:nvPicPr>
                          <pic:cNvPr id="14" name="Picture_1103"/>
                          <pic:cNvPicPr/>
                        </pic:nvPicPr>
                        <pic:blipFill>
                          <a:blip r:embed="rId18"/>
                          <a:stretch>
                            <a:fillRect/>
                          </a:stretch>
                        </pic:blipFill>
                        <pic:spPr>
                          <a:xfrm>
                            <a:off x="0" y="0"/>
                            <a:ext cx="807085" cy="504825"/>
                          </a:xfrm>
                          <a:prstGeom prst="rect">
                            <a:avLst/>
                          </a:prstGeom>
                          <a:noFill/>
                          <a:ln>
                            <a:noFill/>
                          </a:ln>
                        </pic:spPr>
                      </pic:pic>
                    </a:graphicData>
                  </a:graphic>
                </wp:anchor>
              </w:drawing>
            </w:r>
          </w:p>
        </w:tc>
        <w:tc>
          <w:tcPr>
            <w:tcW w:w="8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线卡 线管 轧带 胶布 螺丝 网头等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立杆</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网络线</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0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351790</wp:posOffset>
                  </wp:positionH>
                  <wp:positionV relativeFrom="paragraph">
                    <wp:posOffset>104140</wp:posOffset>
                  </wp:positionV>
                  <wp:extent cx="935990" cy="781050"/>
                  <wp:effectExtent l="0" t="0" r="16510" b="0"/>
                  <wp:wrapNone/>
                  <wp:docPr id="15" name="Picture_1105"/>
                  <wp:cNvGraphicFramePr/>
                  <a:graphic xmlns:a="http://schemas.openxmlformats.org/drawingml/2006/main">
                    <a:graphicData uri="http://schemas.openxmlformats.org/drawingml/2006/picture">
                      <pic:pic xmlns:pic="http://schemas.openxmlformats.org/drawingml/2006/picture">
                        <pic:nvPicPr>
                          <pic:cNvPr id="15" name="Picture_1105"/>
                          <pic:cNvPicPr/>
                        </pic:nvPicPr>
                        <pic:blipFill>
                          <a:blip r:embed="rId19"/>
                          <a:stretch>
                            <a:fillRect/>
                          </a:stretch>
                        </pic:blipFill>
                        <pic:spPr>
                          <a:xfrm>
                            <a:off x="0" y="0"/>
                            <a:ext cx="935990" cy="78105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4对×2×0.5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bl>
    <w:p>
      <w:pPr>
        <w:snapToGrid w:val="0"/>
        <w:spacing w:line="360" w:lineRule="auto"/>
        <w:rPr>
          <w:rFonts w:hint="eastAsia" w:ascii="宋体" w:hAnsi="宋体" w:cs="宋体"/>
          <w:b/>
          <w:bCs/>
          <w:i/>
          <w:iCs/>
          <w:color w:val="FF0000"/>
          <w:sz w:val="24"/>
          <w:szCs w:val="24"/>
          <w:u w:val="single"/>
        </w:rPr>
      </w:pPr>
    </w:p>
    <w:p>
      <w:pPr>
        <w:snapToGrid w:val="0"/>
        <w:spacing w:line="360" w:lineRule="auto"/>
        <w:rPr>
          <w:rFonts w:ascii="宋体" w:hAnsi="宋体" w:cs="宋体"/>
          <w:b/>
          <w:bCs/>
          <w:sz w:val="24"/>
          <w:szCs w:val="24"/>
        </w:rPr>
      </w:pPr>
      <w:r>
        <w:rPr>
          <w:rFonts w:hint="eastAsia" w:ascii="宋体" w:hAnsi="宋体" w:cs="宋体"/>
          <w:b/>
          <w:bCs/>
          <w:sz w:val="24"/>
          <w:szCs w:val="24"/>
        </w:rPr>
        <w:t>四、服务期</w:t>
      </w:r>
    </w:p>
    <w:p>
      <w:pPr>
        <w:snapToGrid w:val="0"/>
        <w:spacing w:line="360" w:lineRule="auto"/>
        <w:ind w:firstLine="420"/>
        <w:rPr>
          <w:rFonts w:ascii="宋体" w:hAnsi="宋体" w:cs="宋体"/>
          <w:color w:val="FF0000"/>
          <w:sz w:val="24"/>
          <w:szCs w:val="24"/>
        </w:rPr>
      </w:pPr>
      <w:r>
        <w:rPr>
          <w:rFonts w:hint="eastAsia" w:ascii="宋体" w:hAnsi="宋体" w:cs="宋体"/>
          <w:sz w:val="24"/>
          <w:szCs w:val="24"/>
        </w:rPr>
        <w:t>自合同签订之日起</w:t>
      </w:r>
      <w:r>
        <w:rPr>
          <w:rFonts w:hint="eastAsia" w:ascii="宋体" w:hAnsi="宋体" w:cs="宋体"/>
          <w:color w:val="FF0000"/>
          <w:sz w:val="24"/>
          <w:szCs w:val="24"/>
          <w:u w:val="single"/>
        </w:rPr>
        <w:t xml:space="preserve"> </w:t>
      </w:r>
      <w:r>
        <w:rPr>
          <w:rFonts w:hint="eastAsia" w:ascii="宋体" w:hAnsi="宋体" w:cs="宋体"/>
          <w:color w:val="FF0000"/>
          <w:sz w:val="24"/>
          <w:szCs w:val="24"/>
          <w:u w:val="single"/>
          <w:lang w:val="en-US" w:eastAsia="zh-CN"/>
        </w:rPr>
        <w:t>6</w:t>
      </w:r>
      <w:r>
        <w:rPr>
          <w:rFonts w:hint="eastAsia" w:ascii="宋体" w:hAnsi="宋体" w:cs="宋体"/>
          <w:color w:val="FF0000"/>
          <w:sz w:val="24"/>
          <w:szCs w:val="24"/>
          <w:u w:val="single"/>
        </w:rPr>
        <w:t xml:space="preserve">  </w:t>
      </w:r>
      <w:r>
        <w:rPr>
          <w:rFonts w:hint="eastAsia" w:ascii="宋体" w:hAnsi="宋体" w:cs="宋体"/>
          <w:color w:val="FF0000"/>
          <w:sz w:val="24"/>
          <w:szCs w:val="24"/>
        </w:rPr>
        <w:t>天。</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ascii="宋体" w:hAnsi="宋体" w:cs="宋体"/>
          <w:color w:val="FF0000"/>
          <w:sz w:val="24"/>
          <w:szCs w:val="24"/>
        </w:rPr>
      </w:pPr>
      <w:r>
        <w:rPr>
          <w:rFonts w:hint="eastAsia" w:ascii="宋体" w:hAnsi="宋体" w:cs="宋体"/>
          <w:color w:val="FF0000"/>
          <w:sz w:val="24"/>
          <w:szCs w:val="24"/>
        </w:rPr>
        <w:t>项目服务完成验收后一次性付款。</w:t>
      </w:r>
    </w:p>
    <w:p>
      <w:pPr>
        <w:pStyle w:val="2"/>
        <w:spacing w:before="0" w:after="0" w:line="312" w:lineRule="auto"/>
        <w:rPr>
          <w:rFonts w:ascii="宋体" w:hAnsi="宋体" w:cs="宋体"/>
          <w:sz w:val="24"/>
          <w:szCs w:val="24"/>
        </w:rPr>
      </w:pPr>
      <w:bookmarkStart w:id="20" w:name="_Toc20778"/>
      <w:bookmarkStart w:id="21" w:name="_Toc27955"/>
      <w:bookmarkStart w:id="22" w:name="_Toc5085"/>
      <w:bookmarkStart w:id="23" w:name="_Toc11828"/>
      <w:bookmarkStart w:id="24" w:name="_Toc3475"/>
      <w:bookmarkStart w:id="25" w:name="_Toc25886"/>
      <w:bookmarkStart w:id="26" w:name="_Toc9654"/>
      <w:bookmarkStart w:id="27" w:name="_Toc15478"/>
      <w:bookmarkStart w:id="28" w:name="_Toc9027"/>
      <w:bookmarkStart w:id="29" w:name="_Toc13969"/>
      <w:bookmarkStart w:id="30" w:name="_Toc14778"/>
      <w:bookmarkStart w:id="31" w:name="_Toc25516"/>
      <w:bookmarkStart w:id="32" w:name="_Toc19730"/>
      <w:bookmarkStart w:id="33" w:name="_Toc31315"/>
      <w:r>
        <w:rPr>
          <w:rFonts w:hint="eastAsia" w:ascii="宋体" w:hAnsi="宋体" w:cs="宋体"/>
          <w:sz w:val="24"/>
          <w:szCs w:val="24"/>
        </w:rPr>
        <w:t>六、联系方式</w:t>
      </w:r>
      <w:bookmarkEnd w:id="20"/>
      <w:bookmarkEnd w:id="21"/>
      <w:bookmarkEnd w:id="22"/>
      <w:bookmarkEnd w:id="23"/>
      <w:bookmarkEnd w:id="24"/>
      <w:bookmarkEnd w:id="25"/>
      <w:bookmarkEnd w:id="26"/>
    </w:p>
    <w:p>
      <w:pPr>
        <w:snapToGrid w:val="0"/>
        <w:rPr>
          <w:rFonts w:hint="eastAsia" w:ascii="宋体" w:hAnsi="宋体" w:eastAsia="宋体" w:cs="宋体"/>
          <w:color w:val="FF0000"/>
          <w:sz w:val="24"/>
          <w:szCs w:val="24"/>
          <w:lang w:eastAsia="zh-CN"/>
        </w:rPr>
      </w:pPr>
      <w:r>
        <w:rPr>
          <w:rFonts w:hint="eastAsia" w:ascii="宋体" w:hAnsi="宋体" w:cs="宋体"/>
          <w:sz w:val="24"/>
          <w:szCs w:val="24"/>
        </w:rPr>
        <w:t xml:space="preserve">  </w:t>
      </w:r>
      <w:r>
        <w:rPr>
          <w:rFonts w:hint="eastAsia" w:ascii="宋体" w:hAnsi="宋体" w:cs="宋体"/>
          <w:color w:val="FF0000"/>
          <w:sz w:val="24"/>
          <w:szCs w:val="24"/>
        </w:rPr>
        <w:t xml:space="preserve">  采购人：</w:t>
      </w:r>
      <w:r>
        <w:rPr>
          <w:rFonts w:hint="eastAsia" w:ascii="宋体" w:hAnsi="宋体" w:cs="宋体"/>
          <w:color w:val="FF0000"/>
          <w:sz w:val="24"/>
          <w:szCs w:val="24"/>
          <w:lang w:eastAsia="zh-CN"/>
        </w:rPr>
        <w:t>贡觉县中学</w:t>
      </w:r>
    </w:p>
    <w:p>
      <w:pPr>
        <w:snapToGrid w:val="0"/>
        <w:ind w:firstLine="480" w:firstLineChars="200"/>
        <w:rPr>
          <w:rFonts w:hint="eastAsia" w:ascii="宋体" w:hAnsi="宋体" w:eastAsia="宋体" w:cs="宋体"/>
          <w:color w:val="FF0000"/>
          <w:sz w:val="24"/>
          <w:szCs w:val="24"/>
          <w:lang w:eastAsia="zh-CN"/>
        </w:rPr>
      </w:pPr>
      <w:r>
        <w:rPr>
          <w:rFonts w:hint="eastAsia" w:ascii="宋体" w:hAnsi="宋体" w:cs="宋体"/>
          <w:color w:val="FF0000"/>
          <w:sz w:val="24"/>
          <w:szCs w:val="24"/>
        </w:rPr>
        <w:t>联系人：</w:t>
      </w:r>
      <w:r>
        <w:rPr>
          <w:rFonts w:hint="eastAsia" w:ascii="宋体" w:hAnsi="宋体" w:cs="宋体"/>
          <w:color w:val="FF0000"/>
          <w:sz w:val="24"/>
          <w:szCs w:val="24"/>
          <w:lang w:eastAsia="zh-CN"/>
        </w:rPr>
        <w:t>德庆多吉</w:t>
      </w:r>
    </w:p>
    <w:p>
      <w:pPr>
        <w:snapToGrid w:val="0"/>
        <w:ind w:firstLine="480" w:firstLineChars="200"/>
        <w:rPr>
          <w:rFonts w:hint="default" w:ascii="宋体" w:hAnsi="宋体" w:eastAsia="宋体" w:cs="宋体"/>
          <w:color w:val="FF0000"/>
          <w:sz w:val="24"/>
          <w:szCs w:val="24"/>
          <w:lang w:val="en-US" w:eastAsia="zh-CN"/>
        </w:rPr>
      </w:pPr>
      <w:r>
        <w:rPr>
          <w:rFonts w:hint="eastAsia" w:ascii="宋体" w:hAnsi="宋体" w:cs="宋体"/>
          <w:color w:val="FF0000"/>
          <w:sz w:val="24"/>
          <w:szCs w:val="24"/>
        </w:rPr>
        <w:t>电  话：</w:t>
      </w:r>
      <w:r>
        <w:rPr>
          <w:rFonts w:hint="eastAsia" w:ascii="宋体" w:hAnsi="宋体" w:cs="宋体"/>
          <w:color w:val="FF0000"/>
          <w:sz w:val="24"/>
          <w:szCs w:val="24"/>
          <w:lang w:val="en-US" w:eastAsia="zh-CN"/>
        </w:rPr>
        <w:t>15289150630</w:t>
      </w:r>
    </w:p>
    <w:p>
      <w:pPr>
        <w:keepLines/>
        <w:snapToGrid w:val="0"/>
        <w:ind w:firstLine="480" w:firstLineChars="200"/>
        <w:rPr>
          <w:rFonts w:hint="eastAsia" w:ascii="宋体" w:hAnsi="宋体" w:eastAsia="宋体" w:cs="宋体"/>
          <w:color w:val="FF0000"/>
          <w:sz w:val="24"/>
          <w:szCs w:val="24"/>
          <w:lang w:eastAsia="zh-CN"/>
        </w:rPr>
      </w:pPr>
      <w:r>
        <w:rPr>
          <w:rFonts w:hint="eastAsia" w:ascii="宋体" w:hAnsi="宋体" w:cs="宋体"/>
          <w:color w:val="FF0000"/>
          <w:sz w:val="24"/>
          <w:szCs w:val="24"/>
        </w:rPr>
        <w:t>地  址：</w:t>
      </w:r>
      <w:r>
        <w:rPr>
          <w:rFonts w:hint="eastAsia" w:ascii="宋体" w:hAnsi="宋体" w:cs="宋体"/>
          <w:color w:val="FF0000"/>
          <w:sz w:val="24"/>
          <w:szCs w:val="24"/>
          <w:lang w:eastAsia="zh-CN"/>
        </w:rPr>
        <w:t>贡觉县中学</w:t>
      </w:r>
    </w:p>
    <w:p>
      <w:pPr>
        <w:pStyle w:val="2"/>
        <w:keepNext w:val="0"/>
        <w:spacing w:before="0" w:after="0" w:line="312" w:lineRule="auto"/>
        <w:rPr>
          <w:rFonts w:ascii="宋体" w:hAnsi="宋体" w:cs="宋体"/>
          <w:sz w:val="24"/>
          <w:szCs w:val="24"/>
        </w:rPr>
      </w:pPr>
      <w:r>
        <w:rPr>
          <w:rFonts w:hint="eastAsia" w:ascii="宋体" w:hAnsi="宋体" w:cs="宋体"/>
          <w:sz w:val="24"/>
          <w:szCs w:val="24"/>
        </w:rPr>
        <w:t>七、</w:t>
      </w:r>
      <w:bookmarkEnd w:id="27"/>
      <w:bookmarkEnd w:id="28"/>
      <w:bookmarkEnd w:id="29"/>
      <w:bookmarkEnd w:id="30"/>
      <w:bookmarkEnd w:id="31"/>
      <w:bookmarkEnd w:id="32"/>
      <w:bookmarkEnd w:id="33"/>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w:t>
      </w:r>
      <w:r>
        <w:rPr>
          <w:rFonts w:hint="eastAsia" w:ascii="宋体" w:hAnsi="宋体" w:cs="宋体"/>
          <w:sz w:val="24"/>
          <w:szCs w:val="24"/>
          <w:lang w:eastAsia="zh-CN"/>
        </w:rPr>
        <w:t>西藏自治区昌都市电子卖场·服务超市</w:t>
      </w:r>
      <w:r>
        <w:rPr>
          <w:rFonts w:hint="eastAsia" w:ascii="宋体" w:hAnsi="宋体" w:cs="宋体"/>
          <w:sz w:val="24"/>
          <w:szCs w:val="24"/>
        </w:rPr>
        <w:t>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如供应商得分相同，按照以下方式确定中选供应商：</w:t>
      </w:r>
    </w:p>
    <w:p>
      <w:pPr>
        <w:snapToGrid w:val="0"/>
        <w:spacing w:line="360" w:lineRule="auto"/>
        <w:ind w:firstLine="420"/>
        <w:rPr>
          <w:rFonts w:ascii="宋体" w:hAnsi="宋体" w:cs="宋体"/>
          <w:color w:val="FF0000"/>
          <w:sz w:val="24"/>
          <w:szCs w:val="24"/>
        </w:rPr>
      </w:pPr>
      <w:r>
        <w:rPr>
          <w:rFonts w:hint="eastAsia" w:ascii="宋体" w:hAnsi="宋体" w:cs="宋体"/>
          <w:color w:val="FF0000"/>
          <w:sz w:val="24"/>
          <w:szCs w:val="24"/>
        </w:rPr>
        <w:t>供应商出现评分相同的情况，可采取随机抽取的方式确定</w:t>
      </w: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jc w:val="center"/>
        <w:rPr>
          <w:rFonts w:ascii="宋体" w:hAnsi="宋体" w:cs="宋体"/>
          <w:b/>
          <w:bCs/>
          <w:szCs w:val="28"/>
        </w:rPr>
      </w:pPr>
      <w:bookmarkStart w:id="34" w:name="_Hlk27399823"/>
      <w:r>
        <w:rPr>
          <w:rFonts w:hint="eastAsia" w:ascii="宋体" w:hAnsi="宋体" w:cs="宋体"/>
          <w:b/>
          <w:bCs/>
          <w:szCs w:val="28"/>
        </w:rPr>
        <w:t>评审标准</w:t>
      </w:r>
    </w:p>
    <w:p>
      <w:pPr>
        <w:spacing w:line="312" w:lineRule="auto"/>
        <w:ind w:firstLine="643" w:firstLineChars="200"/>
        <w:jc w:val="center"/>
        <w:rPr>
          <w:rFonts w:ascii="宋体" w:hAnsi="宋体" w:cs="宋体"/>
          <w:b/>
          <w:bCs/>
          <w:i/>
          <w:iCs/>
          <w:color w:val="FF0000"/>
          <w:sz w:val="32"/>
          <w:szCs w:val="32"/>
          <w:u w:val="single"/>
        </w:rPr>
      </w:pPr>
      <w:r>
        <w:rPr>
          <w:rFonts w:hint="eastAsia" w:ascii="宋体" w:hAnsi="宋体" w:cs="宋体"/>
          <w:b/>
          <w:bCs/>
          <w:i/>
          <w:iCs/>
          <w:color w:val="FF0000"/>
          <w:sz w:val="32"/>
          <w:szCs w:val="32"/>
          <w:u w:val="single"/>
        </w:rPr>
        <w:t>（分值与评分标准仅供参考，采购人根据项目需求自行设定）</w:t>
      </w:r>
    </w:p>
    <w:p>
      <w:pPr>
        <w:spacing w:line="312" w:lineRule="auto"/>
        <w:ind w:firstLine="480" w:firstLineChars="200"/>
        <w:jc w:val="center"/>
        <w:rPr>
          <w:rFonts w:ascii="宋体" w:hAnsi="宋体" w:cs="宋体"/>
          <w:color w:val="FF0000"/>
          <w:sz w:val="24"/>
          <w:szCs w:val="24"/>
        </w:rPr>
      </w:pPr>
    </w:p>
    <w:tbl>
      <w:tblPr>
        <w:tblStyle w:val="7"/>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序号</w:t>
            </w:r>
          </w:p>
        </w:tc>
        <w:tc>
          <w:tcPr>
            <w:tcW w:w="1269"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评分因素</w:t>
            </w:r>
          </w:p>
        </w:tc>
        <w:tc>
          <w:tcPr>
            <w:tcW w:w="955"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分值</w:t>
            </w:r>
          </w:p>
        </w:tc>
        <w:tc>
          <w:tcPr>
            <w:tcW w:w="5997" w:type="dxa"/>
            <w:noWrap w:val="0"/>
            <w:vAlign w:val="center"/>
          </w:tcPr>
          <w:p>
            <w:pPr>
              <w:spacing w:line="440" w:lineRule="exact"/>
              <w:jc w:val="center"/>
              <w:rPr>
                <w:rFonts w:ascii="宋体" w:hAnsi="宋体" w:cs="宋体"/>
                <w:b/>
                <w:color w:val="FF0000"/>
                <w:sz w:val="24"/>
                <w:szCs w:val="24"/>
              </w:rPr>
            </w:pPr>
            <w:r>
              <w:rPr>
                <w:rFonts w:hint="eastAsia" w:ascii="宋体" w:hAnsi="宋体" w:cs="宋体"/>
                <w:b/>
                <w:color w:val="FF0000"/>
                <w:sz w:val="24"/>
                <w:szCs w:val="24"/>
              </w:rPr>
              <w:t>评分标准（以下评分标准为举例）</w:t>
            </w:r>
          </w:p>
        </w:tc>
        <w:tc>
          <w:tcPr>
            <w:tcW w:w="1404" w:type="dxa"/>
            <w:noWrap w:val="0"/>
            <w:vAlign w:val="center"/>
          </w:tcPr>
          <w:p>
            <w:pPr>
              <w:pStyle w:val="10"/>
              <w:spacing w:before="0" w:after="0" w:line="440" w:lineRule="exact"/>
              <w:rPr>
                <w:rFonts w:ascii="宋体" w:hAnsi="宋体" w:eastAsia="宋体" w:cs="宋体"/>
                <w:color w:val="FF0000"/>
                <w:szCs w:val="24"/>
              </w:rPr>
            </w:pPr>
            <w:r>
              <w:rPr>
                <w:rFonts w:hint="eastAsia" w:ascii="宋体" w:hAnsi="宋体" w:eastAsia="宋体" w:cs="宋体"/>
                <w:color w:val="FF000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1</w:t>
            </w:r>
          </w:p>
        </w:tc>
        <w:tc>
          <w:tcPr>
            <w:tcW w:w="1269" w:type="dxa"/>
            <w:noWrap w:val="0"/>
            <w:vAlign w:val="center"/>
          </w:tcPr>
          <w:p>
            <w:pPr>
              <w:spacing w:line="360" w:lineRule="exact"/>
              <w:rPr>
                <w:rFonts w:ascii="宋体" w:hAnsi="宋体" w:cs="方正仿宋_GBK"/>
                <w:color w:val="FF0000"/>
                <w:sz w:val="24"/>
                <w:szCs w:val="24"/>
              </w:rPr>
            </w:pPr>
            <w:r>
              <w:rPr>
                <w:rFonts w:hint="eastAsia" w:ascii="宋体" w:hAnsi="宋体" w:cs="方正仿宋_GBK"/>
                <w:color w:val="FF0000"/>
                <w:sz w:val="24"/>
                <w:szCs w:val="24"/>
              </w:rPr>
              <w:t>投标报价</w:t>
            </w:r>
          </w:p>
        </w:tc>
        <w:tc>
          <w:tcPr>
            <w:tcW w:w="955"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30</w:t>
            </w:r>
          </w:p>
        </w:tc>
        <w:tc>
          <w:tcPr>
            <w:tcW w:w="5997" w:type="dxa"/>
            <w:noWrap w:val="0"/>
            <w:vAlign w:val="center"/>
          </w:tcPr>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有效的投标报价中的最低价为评标基准价，按照下列公式计算每个投标人的投标价格得分。</w:t>
            </w:r>
          </w:p>
          <w:p>
            <w:pPr>
              <w:widowControl/>
              <w:spacing w:line="300" w:lineRule="exact"/>
              <w:outlineLvl w:val="2"/>
              <w:rPr>
                <w:rFonts w:ascii="宋体" w:hAnsi="宋体" w:cs="方正仿宋_GBK"/>
                <w:color w:val="FF0000"/>
                <w:sz w:val="24"/>
                <w:szCs w:val="24"/>
              </w:rPr>
            </w:pPr>
            <w:r>
              <w:rPr>
                <w:rFonts w:hint="eastAsia" w:ascii="宋体" w:hAnsi="宋体" w:cs="宋体"/>
                <w:color w:val="FF0000"/>
                <w:sz w:val="24"/>
                <w:szCs w:val="24"/>
              </w:rPr>
              <w:t>投标报价得分＝（评标基准价/投标报价）×价格权重×100。</w:t>
            </w:r>
          </w:p>
        </w:tc>
        <w:tc>
          <w:tcPr>
            <w:tcW w:w="1404" w:type="dxa"/>
            <w:noWrap w:val="0"/>
            <w:vAlign w:val="center"/>
          </w:tcPr>
          <w:p>
            <w:pPr>
              <w:spacing w:line="360" w:lineRule="exact"/>
              <w:rPr>
                <w:rFonts w:ascii="宋体" w:hAnsi="宋体" w:cs="方正仿宋_GBK"/>
                <w:color w:val="FF0000"/>
                <w:sz w:val="24"/>
                <w:szCs w:val="24"/>
              </w:rPr>
            </w:pPr>
            <w:r>
              <w:rPr>
                <w:rFonts w:hint="eastAsia" w:ascii="宋体" w:hAnsi="宋体" w:cs="宋体"/>
                <w:color w:val="FF0000"/>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2</w:t>
            </w:r>
          </w:p>
        </w:tc>
        <w:tc>
          <w:tcPr>
            <w:tcW w:w="1269" w:type="dxa"/>
            <w:noWrap w:val="0"/>
            <w:vAlign w:val="center"/>
          </w:tcPr>
          <w:p>
            <w:pPr>
              <w:spacing w:line="360" w:lineRule="exact"/>
              <w:jc w:val="center"/>
              <w:rPr>
                <w:rFonts w:ascii="宋体" w:hAnsi="宋体" w:cs="方正仿宋_GBK"/>
                <w:color w:val="FF0000"/>
                <w:sz w:val="24"/>
                <w:szCs w:val="24"/>
              </w:rPr>
            </w:pPr>
            <w:r>
              <w:rPr>
                <w:rFonts w:hint="eastAsia" w:ascii="宋体" w:hAnsi="宋体" w:cs="方正仿宋_GBK"/>
                <w:color w:val="FF0000"/>
                <w:sz w:val="24"/>
                <w:szCs w:val="24"/>
              </w:rPr>
              <w:t>服务部分</w:t>
            </w:r>
          </w:p>
        </w:tc>
        <w:tc>
          <w:tcPr>
            <w:tcW w:w="955" w:type="dxa"/>
            <w:noWrap w:val="0"/>
            <w:vAlign w:val="center"/>
          </w:tcPr>
          <w:p>
            <w:pPr>
              <w:spacing w:line="240" w:lineRule="exact"/>
              <w:jc w:val="center"/>
              <w:rPr>
                <w:rFonts w:ascii="宋体" w:hAnsi="宋体" w:eastAsia="微软雅黑" w:cs="方正仿宋_GBK"/>
                <w:color w:val="FF0000"/>
                <w:sz w:val="24"/>
                <w:szCs w:val="24"/>
              </w:rPr>
            </w:pPr>
            <w:r>
              <w:rPr>
                <w:rFonts w:hint="eastAsia" w:ascii="宋体" w:hAnsi="宋体" w:cs="方正仿宋_GBK"/>
                <w:color w:val="FF0000"/>
                <w:sz w:val="24"/>
                <w:szCs w:val="24"/>
              </w:rPr>
              <w:t>50</w:t>
            </w:r>
          </w:p>
        </w:tc>
        <w:tc>
          <w:tcPr>
            <w:tcW w:w="5997" w:type="dxa"/>
            <w:noWrap w:val="0"/>
            <w:vAlign w:val="center"/>
          </w:tcPr>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服务需求内容提供书面方案。</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1、服务及现场管理方案。（15分）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②方案描述较清晰，较可行，得8-14分。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③方案描述不够清晰，可行性一般，得1-7分。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pPr>
              <w:widowControl/>
              <w:spacing w:line="300" w:lineRule="exact"/>
              <w:outlineLvl w:val="2"/>
              <w:rPr>
                <w:rFonts w:ascii="宋体" w:hAnsi="宋体" w:cs="宋体"/>
                <w:color w:val="FF0000"/>
                <w:sz w:val="24"/>
                <w:szCs w:val="24"/>
              </w:rPr>
            </w:pP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2、服务优化方案。（15分）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①方案完整、详细、与本项目相适应，得15分。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②方案较完整、详细、与本项目较相适，得8-14分。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③方案不够完整、详细，与本项目不太相适，得1-7分。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pPr>
              <w:widowControl/>
              <w:spacing w:line="300" w:lineRule="exact"/>
              <w:outlineLvl w:val="2"/>
              <w:rPr>
                <w:rFonts w:ascii="宋体" w:hAnsi="宋体" w:cs="宋体"/>
                <w:color w:val="FF0000"/>
                <w:sz w:val="24"/>
                <w:szCs w:val="24"/>
              </w:rPr>
            </w:pP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3、服务质量保障方案。（10分）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②方案描述较清晰，较可行，得5-9分。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p>
            <w:pPr>
              <w:widowControl/>
              <w:spacing w:line="300" w:lineRule="exact"/>
              <w:outlineLvl w:val="2"/>
              <w:rPr>
                <w:rFonts w:ascii="宋体" w:hAnsi="宋体" w:cs="宋体"/>
                <w:color w:val="FF0000"/>
                <w:sz w:val="24"/>
                <w:szCs w:val="24"/>
              </w:rPr>
            </w:pP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4、服务现场安全保障方案（10分）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①方案描述清晰，完整可行，得10分。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②方案描述较清晰，较可行，得5-9分。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③方案描述不够清晰，可行性一般，得1-4分。</w:t>
            </w:r>
          </w:p>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④无方案，得0分。</w:t>
            </w:r>
          </w:p>
        </w:tc>
        <w:tc>
          <w:tcPr>
            <w:tcW w:w="1404" w:type="dxa"/>
            <w:noWrap w:val="0"/>
            <w:vAlign w:val="center"/>
          </w:tcPr>
          <w:p>
            <w:pPr>
              <w:spacing w:line="360" w:lineRule="exact"/>
              <w:rPr>
                <w:rFonts w:ascii="宋体" w:hAnsi="宋体" w:cs="方正仿宋_GBK"/>
                <w:color w:val="FF0000"/>
                <w:sz w:val="24"/>
                <w:szCs w:val="24"/>
              </w:rPr>
            </w:pPr>
            <w:r>
              <w:rPr>
                <w:rFonts w:hint="eastAsia" w:ascii="宋体" w:hAnsi="宋体" w:cs="宋体"/>
                <w:color w:val="FF0000"/>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color w:val="FF0000"/>
                <w:sz w:val="24"/>
                <w:szCs w:val="24"/>
              </w:rPr>
            </w:pPr>
            <w:r>
              <w:rPr>
                <w:rFonts w:hint="eastAsia" w:ascii="宋体" w:hAnsi="宋体" w:cs="方正仿宋_GBK"/>
                <w:color w:val="FF0000"/>
                <w:sz w:val="24"/>
                <w:szCs w:val="24"/>
              </w:rPr>
              <w:t>3</w:t>
            </w:r>
          </w:p>
        </w:tc>
        <w:tc>
          <w:tcPr>
            <w:tcW w:w="1269" w:type="dxa"/>
            <w:noWrap w:val="0"/>
            <w:vAlign w:val="center"/>
          </w:tcPr>
          <w:p>
            <w:pPr>
              <w:spacing w:line="320" w:lineRule="exact"/>
              <w:jc w:val="center"/>
              <w:rPr>
                <w:rFonts w:ascii="宋体" w:hAnsi="宋体" w:cs="方正仿宋_GBK"/>
                <w:color w:val="FF0000"/>
                <w:sz w:val="24"/>
                <w:szCs w:val="24"/>
              </w:rPr>
            </w:pPr>
            <w:r>
              <w:rPr>
                <w:rFonts w:hint="eastAsia" w:ascii="宋体" w:hAnsi="宋体" w:cs="方正仿宋_GBK"/>
                <w:color w:val="FF0000"/>
                <w:sz w:val="24"/>
                <w:szCs w:val="24"/>
              </w:rPr>
              <w:t>商务部分</w:t>
            </w:r>
          </w:p>
        </w:tc>
        <w:tc>
          <w:tcPr>
            <w:tcW w:w="955" w:type="dxa"/>
            <w:noWrap w:val="0"/>
            <w:vAlign w:val="center"/>
          </w:tcPr>
          <w:p>
            <w:pPr>
              <w:widowControl/>
              <w:spacing w:line="300" w:lineRule="exact"/>
              <w:jc w:val="center"/>
              <w:outlineLvl w:val="2"/>
              <w:rPr>
                <w:rFonts w:ascii="宋体" w:hAnsi="宋体" w:cs="宋体"/>
                <w:color w:val="FF0000"/>
                <w:sz w:val="24"/>
                <w:szCs w:val="24"/>
              </w:rPr>
            </w:pPr>
            <w:r>
              <w:rPr>
                <w:rFonts w:hint="eastAsia" w:ascii="宋体" w:hAnsi="宋体" w:cs="宋体"/>
                <w:color w:val="FF0000"/>
                <w:sz w:val="24"/>
                <w:szCs w:val="24"/>
              </w:rPr>
              <w:t>20</w:t>
            </w:r>
          </w:p>
        </w:tc>
        <w:tc>
          <w:tcPr>
            <w:tcW w:w="5997" w:type="dxa"/>
            <w:noWrap w:val="0"/>
            <w:vAlign w:val="center"/>
          </w:tcPr>
          <w:p>
            <w:pPr>
              <w:widowControl/>
              <w:spacing w:line="300" w:lineRule="exact"/>
              <w:outlineLvl w:val="2"/>
              <w:rPr>
                <w:rFonts w:ascii="宋体" w:hAnsi="宋体" w:cs="宋体"/>
                <w:color w:val="FF0000"/>
                <w:sz w:val="24"/>
                <w:szCs w:val="24"/>
              </w:rPr>
            </w:pPr>
            <w:r>
              <w:rPr>
                <w:rFonts w:hint="eastAsia" w:ascii="宋体" w:hAnsi="宋体" w:cs="宋体"/>
                <w:color w:val="FF0000"/>
                <w:sz w:val="24"/>
                <w:szCs w:val="24"/>
              </w:rPr>
              <w:t>供应商自2018年1月1日起在全国范围内提供过类似服务的，每提供1份合同或其他有效证明文件得5分，最高得20分。</w:t>
            </w:r>
          </w:p>
        </w:tc>
        <w:tc>
          <w:tcPr>
            <w:tcW w:w="1404" w:type="dxa"/>
            <w:noWrap w:val="0"/>
            <w:vAlign w:val="center"/>
          </w:tcPr>
          <w:p>
            <w:pPr>
              <w:spacing w:line="320" w:lineRule="exact"/>
              <w:rPr>
                <w:rFonts w:ascii="宋体" w:hAnsi="宋体" w:cs="方正仿宋_GBK"/>
                <w:color w:val="FF0000"/>
                <w:sz w:val="24"/>
                <w:szCs w:val="24"/>
              </w:rPr>
            </w:pPr>
            <w:r>
              <w:rPr>
                <w:rFonts w:hint="eastAsia" w:ascii="宋体" w:hAnsi="宋体" w:cs="宋体"/>
                <w:color w:val="FF0000"/>
                <w:sz w:val="24"/>
                <w:szCs w:val="24"/>
              </w:rPr>
              <w:t>提供合同或其他有效证明文件扫描件，原件备查。</w:t>
            </w:r>
          </w:p>
        </w:tc>
      </w:tr>
      <w:bookmarkEnd w:id="34"/>
    </w:tbl>
    <w:p>
      <w:pPr>
        <w:spacing w:line="312" w:lineRule="auto"/>
        <w:ind w:firstLine="480" w:firstLineChars="200"/>
        <w:rPr>
          <w:rFonts w:ascii="宋体" w:hAnsi="宋体" w:cs="宋体"/>
          <w:color w:val="FF0000"/>
          <w:sz w:val="24"/>
          <w:szCs w:val="24"/>
        </w:rPr>
      </w:pPr>
    </w:p>
    <w:p>
      <w:pPr>
        <w:widowControl/>
        <w:jc w:val="left"/>
        <w:rPr>
          <w:rFonts w:ascii="宋体" w:hAnsi="宋体" w:cs="宋体"/>
          <w:color w:val="FF0000"/>
          <w:sz w:val="24"/>
          <w:szCs w:val="24"/>
        </w:rPr>
      </w:pPr>
      <w:r>
        <w:rPr>
          <w:rFonts w:ascii="宋体" w:hAnsi="宋体" w:cs="宋体"/>
          <w:color w:val="FF0000"/>
          <w:sz w:val="24"/>
          <w:szCs w:val="24"/>
        </w:rPr>
        <w:br w:type="page"/>
      </w:r>
    </w:p>
    <w:p>
      <w:bookmarkStart w:id="35" w:name="_GoBack"/>
      <w:bookmarkEnd w:id="35"/>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DVhNWQ5YjdlZTBjMGJmZTNkYTgxMGM5NjkxYWMifQ=="/>
  </w:docVars>
  <w:rsids>
    <w:rsidRoot w:val="693D54F0"/>
    <w:rsid w:val="36B966AC"/>
    <w:rsid w:val="5FFB7AE9"/>
    <w:rsid w:val="693D54F0"/>
    <w:rsid w:val="7EAB5145"/>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oc 1"/>
    <w:basedOn w:val="1"/>
    <w:next w:val="1"/>
    <w:qFormat/>
    <w:uiPriority w:val="0"/>
    <w:pPr>
      <w:spacing w:line="180" w:lineRule="auto"/>
      <w:jc w:val="center"/>
    </w:pPr>
    <w:rPr>
      <w:sz w:val="30"/>
    </w:rPr>
  </w:style>
  <w:style w:type="character" w:styleId="9">
    <w:name w:val="page number"/>
    <w:basedOn w:val="8"/>
    <w:uiPriority w:val="0"/>
  </w:style>
  <w:style w:type="paragraph" w:customStyle="1" w:styleId="10">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2021-12-17T14:17:00Z</dcterms:created>
  <dc:creator>Administrator</dc:creator>
  <cp:lastModifiedBy>Administrator</cp:lastModifiedBy>
  <dcterms:modified xsi:type="dcterms:W3CDTF">2024-07-08T07:19:57Z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2CB0E791B734481A9C4443B231F29044_13</vt:lpwstr>
  </property>
</Properties>
</file>