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宋体" w:hAnsi="宋体" w:eastAsia="宋体" w:cs="宋体"/>
          <w:b/>
          <w:bCs/>
          <w:szCs w:val="28"/>
          <w:lang w:eastAsia="zh-CN"/>
        </w:rPr>
      </w:pPr>
      <w:r>
        <w:rPr>
          <w:rFonts w:hint="eastAsia" w:ascii="宋体" w:hAnsi="宋体" w:cs="宋体"/>
          <w:b/>
          <w:bCs/>
          <w:szCs w:val="28"/>
        </w:rPr>
        <w:t>评审标准</w:t>
      </w:r>
      <w:r>
        <w:rPr>
          <w:rFonts w:hint="eastAsia" w:ascii="宋体" w:hAnsi="宋体" w:cs="宋体"/>
          <w:b/>
          <w:bCs/>
          <w:szCs w:val="28"/>
          <w:lang w:eastAsia="zh-CN"/>
        </w:rPr>
        <w:t>（</w:t>
      </w:r>
      <w:r>
        <w:rPr>
          <w:rFonts w:hint="eastAsia" w:ascii="宋体" w:hAnsi="宋体" w:cs="宋体"/>
          <w:b/>
          <w:bCs/>
          <w:szCs w:val="28"/>
          <w:lang w:val="en-US" w:eastAsia="zh-CN"/>
        </w:rPr>
        <w:t>综合评分</w:t>
      </w:r>
      <w:r>
        <w:rPr>
          <w:rFonts w:hint="eastAsia" w:ascii="宋体" w:hAnsi="宋体" w:cs="宋体"/>
          <w:b/>
          <w:bCs/>
          <w:szCs w:val="28"/>
          <w:lang w:eastAsia="zh-CN"/>
        </w:rPr>
        <w:t>）</w:t>
      </w:r>
    </w:p>
    <w:tbl>
      <w:tblPr>
        <w:tblStyle w:val="8"/>
        <w:tblpPr w:leftFromText="180" w:rightFromText="180" w:vertAnchor="text" w:horzAnchor="page" w:tblpX="1203" w:tblpY="488"/>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12"/>
        <w:gridCol w:w="2236"/>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条 款 号</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 审 因 素</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7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tc>
        <w:tc>
          <w:tcPr>
            <w:tcW w:w="121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资格</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符合《政府采购法》第二十二条规定条件承诺函</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焦作市政府采购供应商资格信用承诺函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具有独立承担民事责任的能力</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响应人须具备独立的法人资格，具有有效期范围内的企业营业执照(副本)。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lang w:val="en-US" w:eastAsia="zh-CN"/>
              </w:rPr>
              <w:t>其他要求</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供应商应通过“</w:t>
            </w:r>
            <w:r>
              <w:rPr>
                <w:rFonts w:hint="eastAsia" w:ascii="宋体" w:hAnsi="宋体" w:eastAsia="宋体" w:cs="宋体"/>
                <w:color w:val="auto"/>
                <w:sz w:val="21"/>
                <w:szCs w:val="21"/>
                <w:lang w:eastAsia="zh-CN"/>
              </w:rPr>
              <w:t>信用中国”网站（www.creditchina.gov.cn）</w:t>
            </w:r>
            <w:r>
              <w:rPr>
                <w:rFonts w:hint="eastAsia" w:ascii="宋体" w:hAnsi="宋体" w:eastAsia="宋体" w:cs="宋体"/>
                <w:color w:val="auto"/>
                <w:sz w:val="21"/>
                <w:szCs w:val="21"/>
                <w:lang w:val="en-US" w:eastAsia="zh-CN"/>
              </w:rPr>
              <w:t>查询“重大税收违法失信主体”</w:t>
            </w:r>
            <w:r>
              <w:rPr>
                <w:rFonts w:hint="eastAsia" w:ascii="宋体" w:hAnsi="宋体" w:eastAsia="宋体" w:cs="宋体"/>
                <w:color w:val="auto"/>
                <w:sz w:val="21"/>
                <w:szCs w:val="21"/>
                <w:lang w:eastAsia="zh-CN"/>
              </w:rPr>
              <w:t>；“中国执行信息公开网”网站（zxgk.court.gov.cn）</w:t>
            </w:r>
            <w:r>
              <w:rPr>
                <w:rFonts w:hint="eastAsia" w:ascii="宋体" w:hAnsi="宋体" w:eastAsia="宋体" w:cs="宋体"/>
                <w:color w:val="auto"/>
                <w:sz w:val="21"/>
                <w:szCs w:val="21"/>
                <w:lang w:val="en-US" w:eastAsia="zh-CN"/>
              </w:rPr>
              <w:t>查询“失信被执行人”；</w:t>
            </w:r>
            <w:r>
              <w:rPr>
                <w:rFonts w:hint="eastAsia" w:ascii="宋体" w:hAnsi="宋体" w:eastAsia="宋体" w:cs="宋体"/>
                <w:color w:val="auto"/>
                <w:sz w:val="21"/>
                <w:szCs w:val="21"/>
                <w:lang w:eastAsia="zh-CN"/>
              </w:rPr>
              <w:t xml:space="preserve"> 中国政府采购网（www.ccgp.gov.cn）查询“</w:t>
            </w:r>
            <w:r>
              <w:rPr>
                <w:rFonts w:hint="eastAsia" w:ascii="宋体" w:hAnsi="宋体" w:eastAsia="宋体" w:cs="宋体"/>
                <w:color w:val="auto"/>
                <w:sz w:val="21"/>
                <w:szCs w:val="21"/>
                <w:lang w:val="en-US" w:eastAsia="zh-CN"/>
              </w:rPr>
              <w:t>政府采购严重违法失信行为信息记录</w:t>
            </w: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val="en-US" w:eastAsia="zh-CN" w:bidi="ar-SA"/>
              </w:rPr>
              <w:t>并提供查询截图。</w:t>
            </w:r>
            <w:r>
              <w:rPr>
                <w:rFonts w:hint="eastAsia" w:ascii="宋体" w:hAnsi="宋体" w:eastAsia="宋体" w:cs="宋体"/>
                <w:color w:val="auto"/>
                <w:sz w:val="21"/>
                <w:szCs w:val="21"/>
                <w:lang w:eastAsia="zh-CN"/>
              </w:rPr>
              <w:t>列入“严重违法失</w:t>
            </w:r>
            <w:r>
              <w:rPr>
                <w:rFonts w:hint="eastAsia" w:ascii="宋体" w:hAnsi="宋体" w:eastAsia="宋体" w:cs="宋体"/>
                <w:b w:val="0"/>
                <w:bCs w:val="0"/>
                <w:color w:val="auto"/>
                <w:kern w:val="0"/>
                <w:sz w:val="21"/>
                <w:szCs w:val="21"/>
                <w:lang w:val="en-US" w:eastAsia="zh-CN"/>
              </w:rPr>
              <w:t>信行为</w:t>
            </w:r>
            <w:r>
              <w:rPr>
                <w:rFonts w:hint="eastAsia" w:ascii="宋体" w:hAnsi="宋体" w:eastAsia="宋体" w:cs="宋体"/>
                <w:b w:val="0"/>
                <w:bCs w:val="0"/>
                <w:color w:val="000000"/>
                <w:kern w:val="0"/>
                <w:sz w:val="21"/>
                <w:szCs w:val="21"/>
                <w:lang w:val="en-US" w:eastAsia="zh-CN"/>
              </w:rPr>
              <w:t>记录名单”</w:t>
            </w:r>
            <w:r>
              <w:rPr>
                <w:rFonts w:hint="eastAsia" w:ascii="宋体" w:hAnsi="宋体" w:eastAsia="宋体" w:cs="宋体"/>
                <w:kern w:val="2"/>
                <w:sz w:val="21"/>
                <w:szCs w:val="21"/>
                <w:lang w:val="en-US" w:eastAsia="zh-CN" w:bidi="ar-SA"/>
              </w:rPr>
              <w:t>的</w:t>
            </w:r>
            <w:r>
              <w:rPr>
                <w:rFonts w:hint="eastAsia" w:ascii="宋体" w:hAnsi="宋体" w:eastAsia="宋体" w:cs="宋体"/>
                <w:b w:val="0"/>
                <w:bCs w:val="0"/>
                <w:color w:val="000000"/>
                <w:kern w:val="0"/>
                <w:sz w:val="21"/>
                <w:szCs w:val="21"/>
                <w:lang w:val="en-US" w:eastAsia="zh-CN"/>
              </w:rPr>
              <w:t>将拒绝参与本次政府采购活动；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restart"/>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21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符合性</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名称</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77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函</w:t>
            </w:r>
            <w:r>
              <w:rPr>
                <w:rFonts w:hint="eastAsia" w:ascii="宋体" w:hAnsi="宋体" w:eastAsia="宋体" w:cs="宋体"/>
                <w:color w:val="auto"/>
                <w:sz w:val="21"/>
                <w:szCs w:val="21"/>
                <w:lang w:val="en-US" w:eastAsia="zh-CN"/>
              </w:rPr>
              <w:t>及附录</w:t>
            </w:r>
            <w:r>
              <w:rPr>
                <w:rFonts w:hint="eastAsia" w:ascii="宋体" w:hAnsi="宋体" w:eastAsia="宋体" w:cs="宋体"/>
                <w:color w:val="auto"/>
                <w:sz w:val="21"/>
                <w:szCs w:val="21"/>
              </w:rPr>
              <w:t>签字盖章</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有法定代表人或其委托代理人签字（或盖章）并加盖单位公章。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7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文件格式</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内容</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符合规定的范围内容。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0"/>
                <w:sz w:val="21"/>
                <w:szCs w:val="21"/>
                <w:lang w:val="en-US" w:eastAsia="zh-CN"/>
              </w:rPr>
              <w:t>合同履行期限</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合同履约期限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有效期</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响应文件递交截止日起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76" w:type="dxa"/>
            <w:vMerge w:val="continue"/>
            <w:tcBorders>
              <w:left w:val="single" w:color="auto" w:sz="4" w:space="0"/>
              <w:right w:val="single" w:color="auto" w:sz="4" w:space="0"/>
            </w:tcBorders>
            <w:noWrap w:val="0"/>
            <w:vAlign w:val="center"/>
          </w:tcPr>
          <w:p>
            <w:pPr>
              <w:pStyle w:val="2"/>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承诺函</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符合“响应文件格式”要求</w:t>
            </w:r>
          </w:p>
        </w:tc>
      </w:tr>
    </w:tbl>
    <w:p>
      <w:pPr>
        <w:spacing w:line="312" w:lineRule="auto"/>
        <w:jc w:val="both"/>
        <w:rPr>
          <w:rFonts w:ascii="宋体" w:hAnsi="宋体" w:cs="宋体"/>
          <w:color w:val="FF0000"/>
          <w:sz w:val="21"/>
          <w:szCs w:val="21"/>
        </w:rPr>
      </w:pPr>
      <w:bookmarkStart w:id="0" w:name="_GoBack"/>
      <w:bookmarkEnd w:id="0"/>
    </w:p>
    <w:tbl>
      <w:tblPr>
        <w:tblStyle w:val="8"/>
        <w:tblpPr w:leftFromText="180" w:rightFromText="180" w:vertAnchor="text" w:horzAnchor="page" w:tblpX="1195" w:tblpY="656"/>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3"/>
        <w:gridCol w:w="1022"/>
        <w:gridCol w:w="58"/>
        <w:gridCol w:w="1560"/>
        <w:gridCol w:w="482"/>
        <w:gridCol w:w="4592"/>
        <w:gridCol w:w="13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130" w:type="dxa"/>
            <w:gridSpan w:val="3"/>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1"/>
                <w:szCs w:val="21"/>
              </w:rPr>
            </w:pPr>
            <w:r>
              <w:rPr>
                <w:rFonts w:hint="eastAsia" w:ascii="宋体" w:hAnsi="宋体" w:eastAsia="宋体" w:cs="宋体"/>
                <w:b/>
                <w:color w:val="auto"/>
                <w:spacing w:val="0"/>
                <w:kern w:val="0"/>
                <w:position w:val="0"/>
                <w:sz w:val="21"/>
                <w:szCs w:val="21"/>
              </w:rPr>
              <w:t>条款号</w:t>
            </w:r>
          </w:p>
        </w:tc>
        <w:tc>
          <w:tcPr>
            <w:tcW w:w="2100" w:type="dxa"/>
            <w:gridSpan w:val="3"/>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1"/>
                <w:szCs w:val="21"/>
              </w:rPr>
            </w:pPr>
            <w:r>
              <w:rPr>
                <w:rFonts w:hint="eastAsia" w:ascii="宋体" w:hAnsi="宋体" w:eastAsia="宋体" w:cs="宋体"/>
                <w:b/>
                <w:color w:val="auto"/>
                <w:spacing w:val="0"/>
                <w:kern w:val="0"/>
                <w:position w:val="0"/>
                <w:sz w:val="21"/>
                <w:szCs w:val="21"/>
              </w:rPr>
              <w:t>评审因素</w:t>
            </w:r>
          </w:p>
        </w:tc>
        <w:tc>
          <w:tcPr>
            <w:tcW w:w="5565" w:type="dxa"/>
            <w:gridSpan w:val="3"/>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1"/>
                <w:szCs w:val="21"/>
              </w:rPr>
            </w:pPr>
            <w:r>
              <w:rPr>
                <w:rFonts w:hint="eastAsia" w:ascii="宋体" w:hAnsi="宋体" w:eastAsia="宋体" w:cs="宋体"/>
                <w:b/>
                <w:color w:val="auto"/>
                <w:spacing w:val="0"/>
                <w:kern w:val="0"/>
                <w:positio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trPr>
        <w:tc>
          <w:tcPr>
            <w:tcW w:w="925"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eastAsia="zh-CN"/>
              </w:rPr>
            </w:pPr>
            <w:r>
              <w:rPr>
                <w:rFonts w:hint="eastAsia" w:ascii="宋体" w:hAnsi="宋体" w:eastAsia="宋体" w:cs="宋体"/>
                <w:color w:val="auto"/>
                <w:spacing w:val="0"/>
                <w:kern w:val="0"/>
                <w:position w:val="0"/>
                <w:sz w:val="21"/>
                <w:szCs w:val="21"/>
                <w:lang w:eastAsia="zh-CN"/>
              </w:rPr>
              <w:t>1</w:t>
            </w:r>
          </w:p>
        </w:tc>
        <w:tc>
          <w:tcPr>
            <w:tcW w:w="1205"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分值构成（100）</w:t>
            </w:r>
          </w:p>
        </w:tc>
        <w:tc>
          <w:tcPr>
            <w:tcW w:w="2100" w:type="dxa"/>
            <w:gridSpan w:val="3"/>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w:t>
            </w:r>
            <w:r>
              <w:rPr>
                <w:rFonts w:hint="eastAsia" w:ascii="宋体" w:hAnsi="宋体" w:eastAsia="宋体" w:cs="宋体"/>
                <w:color w:val="auto"/>
                <w:spacing w:val="0"/>
                <w:position w:val="0"/>
                <w:sz w:val="21"/>
                <w:szCs w:val="21"/>
                <w:lang w:val="en-US" w:eastAsia="zh-CN"/>
              </w:rPr>
              <w:t>报价部分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技术部分</w:t>
            </w:r>
            <w:r>
              <w:rPr>
                <w:rFonts w:hint="eastAsia" w:ascii="宋体" w:hAnsi="宋体" w:eastAsia="宋体" w:cs="宋体"/>
                <w:color w:val="auto"/>
                <w:spacing w:val="0"/>
                <w:position w:val="0"/>
                <w:sz w:val="21"/>
                <w:szCs w:val="21"/>
              </w:rPr>
              <w:t>+综合</w:t>
            </w:r>
            <w:r>
              <w:rPr>
                <w:rFonts w:hint="eastAsia" w:ascii="宋体" w:hAnsi="宋体" w:eastAsia="宋体" w:cs="宋体"/>
                <w:color w:val="auto"/>
                <w:spacing w:val="0"/>
                <w:position w:val="0"/>
                <w:sz w:val="21"/>
                <w:szCs w:val="21"/>
                <w:lang w:val="en-US" w:eastAsia="zh-CN"/>
              </w:rPr>
              <w:t>部分</w:t>
            </w:r>
          </w:p>
        </w:tc>
        <w:tc>
          <w:tcPr>
            <w:tcW w:w="5565" w:type="dxa"/>
            <w:gridSpan w:val="3"/>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5</w:t>
            </w:r>
            <w:r>
              <w:rPr>
                <w:rFonts w:hint="eastAsia" w:ascii="宋体" w:hAnsi="宋体" w:eastAsia="宋体" w:cs="宋体"/>
                <w:color w:val="auto"/>
                <w:spacing w:val="0"/>
                <w:position w:val="0"/>
                <w:sz w:val="21"/>
                <w:szCs w:val="21"/>
                <w:lang w:val="en-US" w:eastAsia="zh-CN"/>
              </w:rPr>
              <w:t>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eastAsia="zh-CN"/>
              </w:rPr>
              <w:t>技术部分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3</w:t>
            </w:r>
            <w:r>
              <w:rPr>
                <w:rFonts w:hint="eastAsia" w:ascii="宋体" w:hAnsi="宋体" w:eastAsia="宋体" w:cs="宋体"/>
                <w:color w:val="auto"/>
                <w:spacing w:val="0"/>
                <w:position w:val="0"/>
                <w:sz w:val="21"/>
                <w:szCs w:val="21"/>
                <w:lang w:val="en-US" w:eastAsia="zh-CN"/>
              </w:rPr>
              <w:t>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综合</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20</w:t>
            </w:r>
            <w:r>
              <w:rPr>
                <w:rFonts w:hint="eastAsia" w:ascii="宋体" w:hAnsi="宋体" w:eastAsia="宋体" w:cs="宋体"/>
                <w:color w:val="auto"/>
                <w:spacing w:val="0"/>
                <w:positio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925"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eastAsia="宋体" w:cs="宋体"/>
                <w:color w:val="auto"/>
                <w:spacing w:val="0"/>
                <w:kern w:val="0"/>
                <w:position w:val="0"/>
                <w:sz w:val="21"/>
                <w:szCs w:val="21"/>
                <w:lang w:val="en-US" w:eastAsia="zh-CN"/>
              </w:rPr>
              <w:t>2</w:t>
            </w:r>
          </w:p>
        </w:tc>
        <w:tc>
          <w:tcPr>
            <w:tcW w:w="1205"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val="en-US" w:eastAsia="zh-CN"/>
              </w:rPr>
              <w:t>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5</w:t>
            </w:r>
            <w:r>
              <w:rPr>
                <w:rFonts w:hint="eastAsia" w:ascii="宋体" w:hAnsi="宋体" w:eastAsia="宋体" w:cs="宋体"/>
                <w:color w:val="auto"/>
                <w:spacing w:val="0"/>
                <w:position w:val="0"/>
                <w:sz w:val="21"/>
                <w:szCs w:val="21"/>
                <w:lang w:val="en-US" w:eastAsia="zh-CN"/>
              </w:rPr>
              <w:t>0</w:t>
            </w:r>
            <w:r>
              <w:rPr>
                <w:rFonts w:hint="eastAsia" w:ascii="宋体" w:hAnsi="宋体" w:eastAsia="宋体" w:cs="宋体"/>
                <w:color w:val="auto"/>
                <w:spacing w:val="0"/>
                <w:position w:val="0"/>
                <w:sz w:val="21"/>
                <w:szCs w:val="21"/>
              </w:rPr>
              <w:t>分）</w:t>
            </w:r>
          </w:p>
        </w:tc>
        <w:tc>
          <w:tcPr>
            <w:tcW w:w="7665" w:type="dxa"/>
            <w:gridSpan w:val="6"/>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满足</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文件要求且最后报价最低的供应商报价为</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基准价，其报价得分为满分。其他供应商的价格得分统一按照下列公式计算：</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报价得分=(</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基准价／最后</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w:t>
            </w:r>
            <w:r>
              <w:rPr>
                <w:rFonts w:hint="eastAsia" w:ascii="宋体" w:hAnsi="宋体" w:cs="宋体"/>
                <w:color w:val="auto"/>
                <w:spacing w:val="0"/>
                <w:position w:val="0"/>
                <w:sz w:val="21"/>
                <w:szCs w:val="21"/>
                <w:lang w:val="en-US" w:eastAsia="zh-CN"/>
              </w:rPr>
              <w:t>5</w:t>
            </w:r>
            <w:r>
              <w:rPr>
                <w:rFonts w:hint="eastAsia" w:ascii="宋体" w:hAnsi="宋体" w:eastAsia="宋体" w:cs="宋体"/>
                <w:color w:val="auto"/>
                <w:spacing w:val="0"/>
                <w:position w:val="0"/>
                <w:sz w:val="21"/>
                <w:szCs w:val="21"/>
                <w:lang w:val="en-US" w:eastAsia="zh-CN"/>
              </w:rPr>
              <w:t>0</w:t>
            </w:r>
            <w:r>
              <w:rPr>
                <w:rFonts w:hint="eastAsia" w:ascii="宋体" w:hAnsi="宋体" w:eastAsia="宋体" w:cs="宋体"/>
                <w:color w:val="auto"/>
                <w:spacing w:val="0"/>
                <w:position w:val="0"/>
                <w:sz w:val="21"/>
                <w:szCs w:val="21"/>
              </w:rPr>
              <w:t>（小数点后保留</w:t>
            </w:r>
            <w:r>
              <w:rPr>
                <w:rFonts w:hint="eastAsia" w:ascii="宋体" w:hAnsi="宋体" w:eastAsia="宋体" w:cs="宋体"/>
                <w:color w:val="auto"/>
                <w:spacing w:val="0"/>
                <w:position w:val="0"/>
                <w:sz w:val="21"/>
                <w:szCs w:val="21"/>
                <w:lang w:val="en-US" w:eastAsia="zh-CN"/>
              </w:rPr>
              <w:t>2</w:t>
            </w:r>
            <w:r>
              <w:rPr>
                <w:rFonts w:hint="eastAsia" w:ascii="宋体" w:hAnsi="宋体" w:eastAsia="宋体" w:cs="宋体"/>
                <w:color w:val="auto"/>
                <w:spacing w:val="0"/>
                <w:position w:val="0"/>
                <w:sz w:val="21"/>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25" w:type="dxa"/>
            <w:vMerge w:val="restart"/>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eastAsia="宋体" w:cs="宋体"/>
                <w:color w:val="auto"/>
                <w:spacing w:val="0"/>
                <w:kern w:val="0"/>
                <w:position w:val="0"/>
                <w:sz w:val="21"/>
                <w:szCs w:val="21"/>
                <w:lang w:val="en-US" w:eastAsia="zh-CN"/>
              </w:rPr>
              <w:t>3</w:t>
            </w:r>
          </w:p>
        </w:tc>
        <w:tc>
          <w:tcPr>
            <w:tcW w:w="1205"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技术部分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3</w:t>
            </w:r>
            <w:r>
              <w:rPr>
                <w:rFonts w:hint="eastAsia" w:ascii="宋体" w:hAnsi="宋体" w:eastAsia="宋体" w:cs="宋体"/>
                <w:color w:val="auto"/>
                <w:spacing w:val="0"/>
                <w:position w:val="0"/>
                <w:sz w:val="21"/>
                <w:szCs w:val="21"/>
                <w:lang w:val="en-US" w:eastAsia="zh-CN"/>
              </w:rPr>
              <w:t>0</w:t>
            </w:r>
            <w:r>
              <w:rPr>
                <w:rFonts w:hint="eastAsia" w:ascii="宋体" w:hAnsi="宋体" w:eastAsia="宋体" w:cs="宋体"/>
                <w:color w:val="auto"/>
                <w:spacing w:val="0"/>
                <w:position w:val="0"/>
                <w:sz w:val="21"/>
                <w:szCs w:val="21"/>
              </w:rPr>
              <w:t>分）</w:t>
            </w:r>
          </w:p>
        </w:tc>
        <w:tc>
          <w:tcPr>
            <w:tcW w:w="2100" w:type="dxa"/>
            <w:gridSpan w:val="3"/>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审查内容</w:t>
            </w:r>
          </w:p>
        </w:tc>
        <w:tc>
          <w:tcPr>
            <w:tcW w:w="459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p>
        </w:tc>
        <w:tc>
          <w:tcPr>
            <w:tcW w:w="973"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25"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0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100" w:type="dxa"/>
            <w:gridSpan w:val="3"/>
            <w:noWrap/>
            <w:vAlign w:val="center"/>
          </w:tcPr>
          <w:p>
            <w:pPr>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内容完整性</w:t>
            </w:r>
          </w:p>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color w:val="000000"/>
                <w:sz w:val="21"/>
                <w:szCs w:val="21"/>
                <w:lang w:val="zh-CN"/>
              </w:rPr>
              <w:t>和编制水平</w:t>
            </w:r>
          </w:p>
        </w:tc>
        <w:tc>
          <w:tcPr>
            <w:tcW w:w="4592"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val="zh-CN"/>
              </w:rPr>
              <w:t>根据符合招标文件要求的情况</w:t>
            </w:r>
          </w:p>
        </w:tc>
        <w:tc>
          <w:tcPr>
            <w:tcW w:w="973"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25"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0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100" w:type="dxa"/>
            <w:gridSpan w:val="3"/>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施工方案和技术措施</w:t>
            </w:r>
          </w:p>
        </w:tc>
        <w:tc>
          <w:tcPr>
            <w:tcW w:w="4592"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val="zh-CN"/>
              </w:rPr>
              <w:t>根据方案与措施的可行性、先进性的情况得</w:t>
            </w:r>
          </w:p>
        </w:tc>
        <w:tc>
          <w:tcPr>
            <w:tcW w:w="973"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25"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0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10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color w:val="auto"/>
                <w:sz w:val="21"/>
                <w:szCs w:val="21"/>
              </w:rPr>
              <w:t>质量管理体系与措施</w:t>
            </w:r>
          </w:p>
        </w:tc>
        <w:tc>
          <w:tcPr>
            <w:tcW w:w="459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保障工程质量要求</w:t>
            </w:r>
            <w:r>
              <w:rPr>
                <w:rFonts w:hint="eastAsia" w:ascii="宋体" w:hAnsi="宋体" w:eastAsia="宋体" w:cs="宋体"/>
                <w:color w:val="000000"/>
                <w:sz w:val="21"/>
                <w:szCs w:val="21"/>
                <w:lang w:eastAsia="zh-CN"/>
              </w:rPr>
              <w:t>的情况</w:t>
            </w:r>
          </w:p>
        </w:tc>
        <w:tc>
          <w:tcPr>
            <w:tcW w:w="973"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25"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0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10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安全管理体系与措施</w:t>
            </w:r>
          </w:p>
        </w:tc>
        <w:tc>
          <w:tcPr>
            <w:tcW w:w="459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保障工程安全生产</w:t>
            </w:r>
            <w:r>
              <w:rPr>
                <w:rFonts w:hint="eastAsia" w:ascii="宋体" w:hAnsi="宋体" w:eastAsia="宋体" w:cs="宋体"/>
                <w:color w:val="000000"/>
                <w:sz w:val="21"/>
                <w:szCs w:val="21"/>
                <w:lang w:eastAsia="zh-CN"/>
              </w:rPr>
              <w:t>的情况</w:t>
            </w:r>
          </w:p>
        </w:tc>
        <w:tc>
          <w:tcPr>
            <w:tcW w:w="973"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925"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0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100" w:type="dxa"/>
            <w:gridSpan w:val="3"/>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环境保护及除尘管理体系与措施</w:t>
            </w:r>
          </w:p>
        </w:tc>
        <w:tc>
          <w:tcPr>
            <w:tcW w:w="4592"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完整、到位</w:t>
            </w:r>
            <w:r>
              <w:rPr>
                <w:rFonts w:hint="eastAsia" w:ascii="宋体" w:hAnsi="宋体" w:eastAsia="宋体" w:cs="宋体"/>
                <w:color w:val="000000"/>
                <w:sz w:val="21"/>
                <w:szCs w:val="21"/>
                <w:lang w:eastAsia="zh-CN"/>
              </w:rPr>
              <w:t>的情况</w:t>
            </w:r>
          </w:p>
        </w:tc>
        <w:tc>
          <w:tcPr>
            <w:tcW w:w="973"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both"/>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25"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05"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100" w:type="dxa"/>
            <w:gridSpan w:val="3"/>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紧急情况的处理措施、应急预案及风险控制</w:t>
            </w:r>
          </w:p>
        </w:tc>
        <w:tc>
          <w:tcPr>
            <w:tcW w:w="459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根据工程特点具有针对性措施</w:t>
            </w:r>
          </w:p>
        </w:tc>
        <w:tc>
          <w:tcPr>
            <w:tcW w:w="973"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25"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8870" w:type="dxa"/>
            <w:gridSpan w:val="8"/>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备注：以上项目若有缺项或不能满足施工要求或与该工程要求不相符，该项为0分；得分=所有评委计分后算术平均值。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108"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lang w:eastAsia="zh-CN"/>
              </w:rPr>
            </w:pPr>
            <w:r>
              <w:rPr>
                <w:rFonts w:hint="eastAsia" w:ascii="宋体" w:hAnsi="宋体" w:cs="宋体"/>
                <w:color w:val="auto"/>
                <w:spacing w:val="0"/>
                <w:position w:val="0"/>
                <w:sz w:val="21"/>
                <w:szCs w:val="21"/>
                <w:highlight w:val="none"/>
                <w:lang w:eastAsia="zh-CN"/>
              </w:rPr>
              <w:t>综合部分（</w:t>
            </w:r>
            <w:r>
              <w:rPr>
                <w:rFonts w:hint="eastAsia" w:ascii="宋体" w:hAnsi="宋体" w:cs="宋体"/>
                <w:color w:val="auto"/>
                <w:spacing w:val="0"/>
                <w:position w:val="0"/>
                <w:sz w:val="21"/>
                <w:szCs w:val="21"/>
                <w:highlight w:val="none"/>
                <w:lang w:val="en-US" w:eastAsia="zh-CN"/>
              </w:rPr>
              <w:t>20分</w:t>
            </w:r>
            <w:r>
              <w:rPr>
                <w:rFonts w:hint="eastAsia" w:ascii="宋体" w:hAnsi="宋体" w:cs="宋体"/>
                <w:color w:val="auto"/>
                <w:spacing w:val="0"/>
                <w:position w:val="0"/>
                <w:sz w:val="21"/>
                <w:szCs w:val="21"/>
                <w:highlight w:val="none"/>
                <w:lang w:eastAsia="zh-CN"/>
              </w:rPr>
              <w:t>）</w:t>
            </w:r>
          </w:p>
        </w:tc>
        <w:tc>
          <w:tcPr>
            <w:tcW w:w="15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kern w:val="2"/>
                <w:sz w:val="21"/>
                <w:szCs w:val="21"/>
              </w:rPr>
              <w:t>优惠承诺</w:t>
            </w:r>
          </w:p>
        </w:tc>
        <w:tc>
          <w:tcPr>
            <w:tcW w:w="5207"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kern w:val="2"/>
                <w:sz w:val="21"/>
                <w:szCs w:val="21"/>
              </w:rPr>
              <w:t>优惠承诺应是书面的符合工程实际情况，确保依法依规，优惠合理，详实可行。</w:t>
            </w:r>
          </w:p>
        </w:tc>
        <w:tc>
          <w:tcPr>
            <w:tcW w:w="84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108"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kern w:val="2"/>
                <w:sz w:val="21"/>
                <w:szCs w:val="21"/>
              </w:rPr>
              <w:t>履职尽责承诺</w:t>
            </w:r>
          </w:p>
        </w:tc>
        <w:tc>
          <w:tcPr>
            <w:tcW w:w="5207"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kern w:val="2"/>
                <w:sz w:val="21"/>
                <w:szCs w:val="21"/>
              </w:rPr>
              <w:t>具有全面、详实、可行、合法有效的书面保证技术措施落实到位的承诺和落实不到位的处理承诺</w:t>
            </w:r>
            <w:r>
              <w:rPr>
                <w:rFonts w:hint="eastAsia" w:ascii="宋体" w:hAnsi="宋体" w:cs="宋体"/>
                <w:color w:val="auto"/>
                <w:kern w:val="2"/>
                <w:sz w:val="21"/>
                <w:szCs w:val="21"/>
                <w:lang w:eastAsia="zh-CN"/>
              </w:rPr>
              <w:t>。</w:t>
            </w:r>
          </w:p>
        </w:tc>
        <w:tc>
          <w:tcPr>
            <w:tcW w:w="84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08"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vMerge w:val="restart"/>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服务承诺</w:t>
            </w:r>
          </w:p>
        </w:tc>
        <w:tc>
          <w:tcPr>
            <w:tcW w:w="5207"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rPr>
              <w:t>1、在施工期间不拖欠农民工工资的承诺</w:t>
            </w:r>
          </w:p>
        </w:tc>
        <w:tc>
          <w:tcPr>
            <w:tcW w:w="84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108"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vMerge w:val="continue"/>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p>
        </w:tc>
        <w:tc>
          <w:tcPr>
            <w:tcW w:w="5207"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2、有详细的安全文明施工措施，保证不发生各种安全事故，并承担由此发生的费用和经济处罚的承诺</w:t>
            </w:r>
          </w:p>
        </w:tc>
        <w:tc>
          <w:tcPr>
            <w:tcW w:w="84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08"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vMerge w:val="continue"/>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p>
        </w:tc>
        <w:tc>
          <w:tcPr>
            <w:tcW w:w="5207" w:type="dxa"/>
            <w:gridSpan w:val="3"/>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、工程质量保修期内、外的服务承诺</w:t>
            </w:r>
          </w:p>
        </w:tc>
        <w:tc>
          <w:tcPr>
            <w:tcW w:w="84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rPr>
              <w:t>分</w:t>
            </w:r>
          </w:p>
        </w:tc>
      </w:tr>
    </w:tbl>
    <w:p>
      <w:pPr>
        <w:jc w:val="center"/>
        <w:rPr>
          <w:rFonts w:hint="eastAsia" w:ascii="宋体" w:hAnsi="宋体" w:cs="宋体"/>
          <w:b/>
          <w:color w:val="auto"/>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ZDY4YzBiZjcxNTdlZTZkNTg4OTYzOWZhN2M2NzAifQ=="/>
  </w:docVars>
  <w:rsids>
    <w:rsidRoot w:val="00000000"/>
    <w:rsid w:val="0698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next w:val="4"/>
    <w:qFormat/>
    <w:uiPriority w:val="0"/>
    <w:pPr>
      <w:spacing w:line="360" w:lineRule="auto"/>
      <w:ind w:firstLine="420"/>
    </w:pPr>
    <w:rPr>
      <w:rFonts w:ascii="宋体" w:hAnsi="宋体"/>
      <w:sz w:val="24"/>
    </w:rPr>
  </w:style>
  <w:style w:type="paragraph" w:styleId="4">
    <w:name w:val="Body Text First Indent 2"/>
    <w:basedOn w:val="5"/>
    <w:next w:val="1"/>
    <w:qFormat/>
    <w:uiPriority w:val="0"/>
    <w:pPr>
      <w:spacing w:after="120" w:line="240" w:lineRule="auto"/>
      <w:ind w:left="420" w:leftChars="200" w:firstLine="420" w:firstLineChars="200"/>
    </w:pPr>
  </w:style>
  <w:style w:type="paragraph" w:styleId="5">
    <w:name w:val="Body Text Indent"/>
    <w:basedOn w:val="1"/>
    <w:next w:val="6"/>
    <w:qFormat/>
    <w:uiPriority w:val="0"/>
    <w:pPr>
      <w:spacing w:line="700" w:lineRule="exact"/>
      <w:ind w:left="960"/>
    </w:pPr>
    <w:rPr>
      <w:sz w:val="44"/>
    </w:r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2024-07-08T10:01:29Z</dcterms:created>
  <dc:creator>Administrator</dc:creator>
  <cp:lastModifiedBy>H.</cp:lastModifiedBy>
  <dcterms:modified xsi:type="dcterms:W3CDTF">2024-07-08T10:01:40Z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A3C84FC60A2E46D18927207CCEB63F43_12</vt:lpwstr>
  </property>
</Properties>
</file>