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4609F">
      <w:pPr>
        <w:pStyle w:val="3"/>
        <w:spacing w:before="0" w:after="0" w:line="312" w:lineRule="auto"/>
        <w:rPr>
          <w:rFonts w:ascii="宋体" w:hAnsi="宋体" w:eastAsia="宋体" w:cs="宋体"/>
          <w:bCs/>
          <w:sz w:val="36"/>
          <w:szCs w:val="30"/>
        </w:rPr>
      </w:pPr>
      <w:bookmarkStart w:id="0" w:name="_Toc19343"/>
      <w:r>
        <w:rPr>
          <w:rFonts w:hint="eastAsia" w:ascii="宋体" w:hAnsi="宋体" w:eastAsia="宋体" w:cs="宋体"/>
          <w:bCs/>
          <w:sz w:val="36"/>
          <w:szCs w:val="30"/>
        </w:rPr>
        <w:t>第四篇 谈判程序及方法、评审标准、无效响应和</w:t>
      </w:r>
      <w:r>
        <w:rPr>
          <w:rFonts w:hint="eastAsia" w:ascii="宋体" w:hAnsi="宋体" w:eastAsia="宋体" w:cs="宋体"/>
          <w:bCs/>
          <w:sz w:val="36"/>
          <w:szCs w:val="36"/>
        </w:rPr>
        <w:t>采购终止</w:t>
      </w:r>
      <w:bookmarkEnd w:id="0"/>
    </w:p>
    <w:p w14:paraId="758C4235">
      <w:pPr>
        <w:pStyle w:val="4"/>
        <w:spacing w:before="0" w:after="0" w:line="360" w:lineRule="auto"/>
        <w:rPr>
          <w:rFonts w:hint="eastAsia" w:ascii="宋体" w:hAnsi="宋体" w:cs="宋体"/>
          <w:sz w:val="24"/>
          <w:szCs w:val="24"/>
        </w:rPr>
      </w:pPr>
      <w:bookmarkStart w:id="1" w:name="_Toc138018593"/>
      <w:bookmarkStart w:id="2" w:name="_Toc28679"/>
      <w:r>
        <w:rPr>
          <w:rFonts w:hint="eastAsia" w:ascii="宋体" w:hAnsi="宋体" w:cs="宋体"/>
          <w:sz w:val="24"/>
          <w:szCs w:val="24"/>
        </w:rPr>
        <w:t>一、谈判程序及方法</w:t>
      </w:r>
      <w:bookmarkEnd w:id="1"/>
      <w:bookmarkEnd w:id="2"/>
    </w:p>
    <w:p w14:paraId="2C96266D">
      <w:pPr>
        <w:spacing w:line="360" w:lineRule="auto"/>
        <w:ind w:firstLine="480" w:firstLineChars="200"/>
        <w:rPr>
          <w:rFonts w:hint="eastAsia" w:ascii="宋体" w:hAnsi="宋体" w:cs="宋体"/>
          <w:sz w:val="24"/>
          <w:szCs w:val="24"/>
        </w:rPr>
      </w:pPr>
      <w:r>
        <w:rPr>
          <w:rFonts w:hint="eastAsia" w:ascii="宋体" w:hAnsi="宋体" w:cs="宋体"/>
          <w:sz w:val="24"/>
          <w:szCs w:val="24"/>
        </w:rPr>
        <w:t>（一）谈判按谈判文件规定的时间和地点进行，供应商须有法定代表人或其授权代表参加并签到。线下谈判以供应商签到顺序确定谈判顺序，由本项目的谈判小组分别与各供应商进行谈判。</w:t>
      </w:r>
    </w:p>
    <w:p w14:paraId="742F93AB">
      <w:pPr>
        <w:spacing w:line="360" w:lineRule="auto"/>
        <w:ind w:firstLine="480" w:firstLineChars="200"/>
        <w:rPr>
          <w:rFonts w:hint="eastAsia" w:ascii="宋体" w:hAnsi="宋体" w:cs="宋体"/>
          <w:sz w:val="24"/>
          <w:szCs w:val="24"/>
        </w:rPr>
      </w:pPr>
      <w:r>
        <w:rPr>
          <w:rFonts w:hint="eastAsia" w:ascii="宋体" w:hAnsi="宋体" w:cs="宋体"/>
          <w:sz w:val="24"/>
          <w:szCs w:val="24"/>
        </w:rPr>
        <w:t>（二）谈判小组对各供应商的资格条件、响应文件的有效性、完整性和响应程度进行审查。各供应商只有在完全符合要求的前提下，才能参与正式谈判。</w:t>
      </w:r>
    </w:p>
    <w:p w14:paraId="47284833">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资格性检查。依据法律法规和谈判采购文件的规定，对响应文件中的资格证明进行审查，以确定供应商是否具备谈判资格。资格性检查资料表如下：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792"/>
        <w:gridCol w:w="5301"/>
      </w:tblGrid>
      <w:tr w14:paraId="303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14:paraId="404512D6">
            <w:pPr>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4501" w:type="dxa"/>
            <w:gridSpan w:val="2"/>
            <w:noWrap w:val="0"/>
            <w:vAlign w:val="center"/>
          </w:tcPr>
          <w:p w14:paraId="6E4BB9F8">
            <w:pPr>
              <w:spacing w:line="360" w:lineRule="auto"/>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301" w:type="dxa"/>
            <w:noWrap w:val="0"/>
            <w:vAlign w:val="center"/>
          </w:tcPr>
          <w:p w14:paraId="135385A9">
            <w:pPr>
              <w:spacing w:line="360" w:lineRule="auto"/>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622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Merge w:val="restart"/>
            <w:noWrap w:val="0"/>
            <w:vAlign w:val="center"/>
          </w:tcPr>
          <w:p w14:paraId="3CCEDF5B">
            <w:pPr>
              <w:spacing w:line="360" w:lineRule="auto"/>
              <w:jc w:val="center"/>
              <w:rPr>
                <w:rFonts w:hint="eastAsia" w:ascii="宋体" w:hAnsi="宋体" w:cs="宋体"/>
                <w:sz w:val="21"/>
                <w:szCs w:val="21"/>
              </w:rPr>
            </w:pPr>
            <w:r>
              <w:rPr>
                <w:rFonts w:hint="eastAsia" w:ascii="宋体" w:hAnsi="宋体" w:cs="宋体"/>
                <w:sz w:val="21"/>
                <w:szCs w:val="21"/>
              </w:rPr>
              <w:t>1</w:t>
            </w:r>
          </w:p>
        </w:tc>
        <w:tc>
          <w:tcPr>
            <w:tcW w:w="709" w:type="dxa"/>
            <w:vMerge w:val="restart"/>
            <w:noWrap w:val="0"/>
            <w:vAlign w:val="center"/>
          </w:tcPr>
          <w:p w14:paraId="053DC538">
            <w:pPr>
              <w:spacing w:line="360" w:lineRule="auto"/>
              <w:rPr>
                <w:rFonts w:hint="eastAsia"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792" w:type="dxa"/>
            <w:noWrap w:val="0"/>
            <w:vAlign w:val="center"/>
          </w:tcPr>
          <w:p w14:paraId="49B9116C">
            <w:pPr>
              <w:spacing w:line="240" w:lineRule="auto"/>
              <w:rPr>
                <w:rFonts w:hint="eastAsia" w:ascii="宋体" w:hAnsi="宋体" w:cs="宋体"/>
                <w:sz w:val="21"/>
                <w:szCs w:val="21"/>
              </w:rPr>
            </w:pPr>
            <w:r>
              <w:rPr>
                <w:rFonts w:hint="eastAsia" w:ascii="宋体" w:hAnsi="宋体" w:cs="宋体"/>
                <w:sz w:val="21"/>
                <w:szCs w:val="21"/>
                <w:lang w:val="en-US" w:eastAsia="zh-CN"/>
              </w:rPr>
              <w:t>1.具有独立承担民事责任的能力,提供有效的营业执照或者其他主体资格证明文件</w:t>
            </w:r>
          </w:p>
        </w:tc>
        <w:tc>
          <w:tcPr>
            <w:tcW w:w="5301" w:type="dxa"/>
            <w:noWrap w:val="0"/>
            <w:vAlign w:val="center"/>
          </w:tcPr>
          <w:p w14:paraId="2B31C1BB">
            <w:pPr>
              <w:spacing w:line="240" w:lineRule="auto"/>
              <w:rPr>
                <w:rFonts w:hint="eastAsia" w:ascii="宋体" w:hAnsi="宋体" w:cs="宋体"/>
                <w:sz w:val="21"/>
                <w:szCs w:val="21"/>
              </w:rPr>
            </w:pPr>
            <w:r>
              <w:rPr>
                <w:rFonts w:hint="eastAsia" w:ascii="宋体" w:hAnsi="宋体" w:cs="宋体"/>
                <w:sz w:val="21"/>
                <w:szCs w:val="21"/>
              </w:rPr>
              <w:t>提供有效的营业执照或者其他主体资格证明文件、供应商法定代表人身份证明和法定代表人授权代表委托书。</w:t>
            </w:r>
          </w:p>
        </w:tc>
      </w:tr>
      <w:tr w14:paraId="7619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6" w:type="dxa"/>
            <w:vMerge w:val="continue"/>
            <w:noWrap w:val="0"/>
            <w:vAlign w:val="center"/>
          </w:tcPr>
          <w:p w14:paraId="2D04B845">
            <w:pPr>
              <w:spacing w:line="360" w:lineRule="auto"/>
              <w:jc w:val="center"/>
              <w:rPr>
                <w:rFonts w:hint="eastAsia" w:ascii="宋体" w:hAnsi="宋体" w:cs="宋体"/>
                <w:sz w:val="21"/>
                <w:szCs w:val="21"/>
              </w:rPr>
            </w:pPr>
          </w:p>
        </w:tc>
        <w:tc>
          <w:tcPr>
            <w:tcW w:w="709" w:type="dxa"/>
            <w:vMerge w:val="continue"/>
            <w:noWrap w:val="0"/>
            <w:vAlign w:val="center"/>
          </w:tcPr>
          <w:p w14:paraId="1C40BC07">
            <w:pPr>
              <w:spacing w:line="360" w:lineRule="auto"/>
              <w:rPr>
                <w:rFonts w:hint="eastAsia" w:ascii="宋体" w:hAnsi="宋体" w:cs="宋体"/>
                <w:sz w:val="21"/>
                <w:szCs w:val="21"/>
                <w:lang w:val="zh-CN"/>
              </w:rPr>
            </w:pPr>
          </w:p>
        </w:tc>
        <w:tc>
          <w:tcPr>
            <w:tcW w:w="3792" w:type="dxa"/>
            <w:noWrap w:val="0"/>
            <w:vAlign w:val="center"/>
          </w:tcPr>
          <w:p w14:paraId="4AAD1923">
            <w:pPr>
              <w:spacing w:line="24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具有良好的商业信誉和健全的财务会计制度</w:t>
            </w:r>
          </w:p>
        </w:tc>
        <w:tc>
          <w:tcPr>
            <w:tcW w:w="5301" w:type="dxa"/>
            <w:noWrap w:val="0"/>
            <w:vAlign w:val="center"/>
          </w:tcPr>
          <w:p w14:paraId="54F3168E">
            <w:pPr>
              <w:spacing w:line="240" w:lineRule="auto"/>
              <w:rPr>
                <w:rFonts w:hint="eastAsia" w:ascii="宋体" w:hAnsi="宋体" w:cs="宋体"/>
                <w:sz w:val="21"/>
                <w:szCs w:val="21"/>
                <w:lang w:val="zh-CN"/>
              </w:rPr>
            </w:pPr>
            <w:r>
              <w:rPr>
                <w:rFonts w:hint="eastAsia" w:ascii="宋体" w:hAnsi="宋体" w:cs="宋体"/>
                <w:sz w:val="21"/>
                <w:szCs w:val="21"/>
              </w:rPr>
              <w:t>提供近一年（2022年或2023年）的财务报表，成立不满一年的无需提供。</w:t>
            </w:r>
          </w:p>
        </w:tc>
      </w:tr>
      <w:tr w14:paraId="430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76" w:type="dxa"/>
            <w:vMerge w:val="continue"/>
            <w:noWrap w:val="0"/>
            <w:vAlign w:val="center"/>
          </w:tcPr>
          <w:p w14:paraId="383117C7">
            <w:pPr>
              <w:spacing w:line="360" w:lineRule="auto"/>
              <w:jc w:val="center"/>
              <w:rPr>
                <w:rFonts w:hint="eastAsia" w:ascii="宋体" w:hAnsi="宋体" w:cs="宋体"/>
                <w:sz w:val="21"/>
                <w:szCs w:val="21"/>
              </w:rPr>
            </w:pPr>
          </w:p>
        </w:tc>
        <w:tc>
          <w:tcPr>
            <w:tcW w:w="709" w:type="dxa"/>
            <w:vMerge w:val="continue"/>
            <w:noWrap w:val="0"/>
            <w:vAlign w:val="center"/>
          </w:tcPr>
          <w:p w14:paraId="7567B09D">
            <w:pPr>
              <w:spacing w:line="360" w:lineRule="auto"/>
              <w:rPr>
                <w:rFonts w:hint="eastAsia" w:ascii="宋体" w:hAnsi="宋体" w:cs="宋体"/>
                <w:sz w:val="21"/>
                <w:szCs w:val="21"/>
                <w:lang w:val="zh-CN"/>
              </w:rPr>
            </w:pPr>
          </w:p>
        </w:tc>
        <w:tc>
          <w:tcPr>
            <w:tcW w:w="3792" w:type="dxa"/>
            <w:noWrap w:val="0"/>
            <w:vAlign w:val="center"/>
          </w:tcPr>
          <w:p w14:paraId="24238AA8">
            <w:pPr>
              <w:spacing w:line="240" w:lineRule="auto"/>
              <w:rPr>
                <w:rFonts w:hint="eastAsia" w:ascii="宋体" w:hAnsi="宋体" w:cs="宋体"/>
                <w:sz w:val="21"/>
                <w:szCs w:val="21"/>
                <w:lang w:val="zh-CN"/>
              </w:rPr>
            </w:pPr>
            <w:r>
              <w:rPr>
                <w:rFonts w:hint="eastAsia" w:ascii="宋体" w:hAnsi="宋体" w:cs="宋体"/>
                <w:sz w:val="21"/>
                <w:szCs w:val="21"/>
                <w:lang w:val="en-US" w:eastAsia="zh-CN"/>
              </w:rPr>
              <w:t>3.</w:t>
            </w:r>
            <w:r>
              <w:rPr>
                <w:rFonts w:hint="eastAsia" w:ascii="宋体" w:hAnsi="宋体" w:cs="宋体"/>
                <w:sz w:val="21"/>
                <w:szCs w:val="21"/>
                <w:lang w:val="zh-CN"/>
              </w:rPr>
              <w:t>具有履行合同所必需的设备和专业技术能力</w:t>
            </w:r>
          </w:p>
        </w:tc>
        <w:tc>
          <w:tcPr>
            <w:tcW w:w="5301" w:type="dxa"/>
            <w:noWrap w:val="0"/>
            <w:vAlign w:val="center"/>
          </w:tcPr>
          <w:p w14:paraId="220C23EA">
            <w:pPr>
              <w:spacing w:line="240" w:lineRule="auto"/>
              <w:rPr>
                <w:rFonts w:hint="eastAsia" w:ascii="宋体" w:hAnsi="宋体" w:cs="宋体"/>
                <w:sz w:val="21"/>
                <w:szCs w:val="21"/>
                <w:lang w:val="zh-CN"/>
              </w:rPr>
            </w:pPr>
            <w:r>
              <w:rPr>
                <w:rFonts w:hint="eastAsia" w:ascii="宋体" w:hAnsi="宋体" w:cs="宋体"/>
                <w:sz w:val="21"/>
                <w:szCs w:val="21"/>
              </w:rPr>
              <w:t>供应商提供书面声明（见格式文件）</w:t>
            </w:r>
          </w:p>
        </w:tc>
      </w:tr>
      <w:tr w14:paraId="321A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76" w:type="dxa"/>
            <w:vMerge w:val="continue"/>
            <w:noWrap w:val="0"/>
            <w:vAlign w:val="center"/>
          </w:tcPr>
          <w:p w14:paraId="061BB16D">
            <w:pPr>
              <w:spacing w:line="360" w:lineRule="auto"/>
              <w:jc w:val="center"/>
              <w:rPr>
                <w:rFonts w:hint="eastAsia" w:ascii="宋体" w:hAnsi="宋体" w:cs="宋体"/>
                <w:sz w:val="21"/>
                <w:szCs w:val="21"/>
              </w:rPr>
            </w:pPr>
          </w:p>
        </w:tc>
        <w:tc>
          <w:tcPr>
            <w:tcW w:w="709" w:type="dxa"/>
            <w:vMerge w:val="continue"/>
            <w:noWrap w:val="0"/>
            <w:vAlign w:val="center"/>
          </w:tcPr>
          <w:p w14:paraId="099B0290">
            <w:pPr>
              <w:spacing w:line="360" w:lineRule="auto"/>
              <w:rPr>
                <w:rFonts w:hint="eastAsia" w:ascii="宋体" w:hAnsi="宋体" w:cs="宋体"/>
                <w:sz w:val="21"/>
                <w:szCs w:val="21"/>
                <w:lang w:val="zh-CN"/>
              </w:rPr>
            </w:pPr>
          </w:p>
        </w:tc>
        <w:tc>
          <w:tcPr>
            <w:tcW w:w="3792" w:type="dxa"/>
            <w:noWrap w:val="0"/>
            <w:vAlign w:val="center"/>
          </w:tcPr>
          <w:p w14:paraId="37104B76">
            <w:pPr>
              <w:spacing w:line="240" w:lineRule="auto"/>
              <w:rPr>
                <w:rFonts w:hint="eastAsia" w:ascii="宋体" w:hAnsi="宋体" w:cs="宋体"/>
                <w:sz w:val="21"/>
                <w:szCs w:val="21"/>
                <w:lang w:val="zh-CN"/>
              </w:rPr>
            </w:pPr>
            <w:r>
              <w:rPr>
                <w:rFonts w:hint="eastAsia" w:ascii="宋体" w:hAnsi="宋体" w:cs="宋体"/>
                <w:sz w:val="21"/>
                <w:szCs w:val="21"/>
                <w:lang w:val="en-US" w:eastAsia="zh-CN"/>
              </w:rPr>
              <w:t>4.有依法缴纳税收和社会保障资金的良好记录</w:t>
            </w:r>
          </w:p>
        </w:tc>
        <w:tc>
          <w:tcPr>
            <w:tcW w:w="5301" w:type="dxa"/>
            <w:noWrap w:val="0"/>
            <w:vAlign w:val="center"/>
          </w:tcPr>
          <w:p w14:paraId="474BF0D9">
            <w:pPr>
              <w:spacing w:line="240" w:lineRule="auto"/>
              <w:rPr>
                <w:rFonts w:hint="eastAsia" w:ascii="宋体" w:hAnsi="宋体" w:cs="宋体"/>
                <w:sz w:val="21"/>
                <w:szCs w:val="21"/>
                <w:lang w:val="zh-CN"/>
              </w:rPr>
            </w:pPr>
            <w:r>
              <w:rPr>
                <w:rFonts w:hint="eastAsia" w:ascii="宋体" w:hAnsi="宋体" w:cs="宋体"/>
                <w:sz w:val="21"/>
                <w:szCs w:val="21"/>
              </w:rPr>
              <w:t>提供20</w:t>
            </w:r>
            <w:r>
              <w:rPr>
                <w:rFonts w:hint="eastAsia" w:ascii="宋体" w:hAnsi="宋体" w:cs="宋体"/>
                <w:sz w:val="21"/>
                <w:szCs w:val="21"/>
                <w:lang w:val="en-US" w:eastAsia="zh-CN"/>
              </w:rPr>
              <w:t>23</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月至今任意1个月缴税证明和社会保险费缴纳凭证（免税企业或新成立企业提供相关证明材料）。</w:t>
            </w:r>
          </w:p>
        </w:tc>
      </w:tr>
      <w:tr w14:paraId="46FC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76" w:type="dxa"/>
            <w:vMerge w:val="continue"/>
            <w:noWrap w:val="0"/>
            <w:vAlign w:val="center"/>
          </w:tcPr>
          <w:p w14:paraId="0AF4E5EA">
            <w:pPr>
              <w:spacing w:line="360" w:lineRule="auto"/>
              <w:jc w:val="center"/>
              <w:rPr>
                <w:rFonts w:hint="eastAsia" w:ascii="宋体" w:hAnsi="宋体" w:cs="宋体"/>
                <w:sz w:val="21"/>
                <w:szCs w:val="21"/>
              </w:rPr>
            </w:pPr>
          </w:p>
        </w:tc>
        <w:tc>
          <w:tcPr>
            <w:tcW w:w="709" w:type="dxa"/>
            <w:vMerge w:val="continue"/>
            <w:noWrap w:val="0"/>
            <w:vAlign w:val="center"/>
          </w:tcPr>
          <w:p w14:paraId="6603AFFC">
            <w:pPr>
              <w:spacing w:line="360" w:lineRule="auto"/>
              <w:rPr>
                <w:rFonts w:hint="eastAsia" w:ascii="宋体" w:hAnsi="宋体" w:cs="宋体"/>
                <w:sz w:val="21"/>
                <w:szCs w:val="21"/>
                <w:lang w:val="zh-CN"/>
              </w:rPr>
            </w:pPr>
          </w:p>
        </w:tc>
        <w:tc>
          <w:tcPr>
            <w:tcW w:w="3792" w:type="dxa"/>
            <w:noWrap w:val="0"/>
            <w:vAlign w:val="center"/>
          </w:tcPr>
          <w:p w14:paraId="731EDCFF">
            <w:pPr>
              <w:spacing w:line="240" w:lineRule="auto"/>
              <w:rPr>
                <w:rFonts w:hint="eastAsia"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rPr>
              <w:t>参加政府采购活动前三年内，在经营活动中没有重大违法记录</w:t>
            </w:r>
          </w:p>
        </w:tc>
        <w:tc>
          <w:tcPr>
            <w:tcW w:w="5301" w:type="dxa"/>
            <w:noWrap w:val="0"/>
            <w:vAlign w:val="center"/>
          </w:tcPr>
          <w:p w14:paraId="23519314">
            <w:pPr>
              <w:spacing w:line="24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供应商提供书面声明（见格式文件）；</w:t>
            </w:r>
          </w:p>
          <w:p w14:paraId="155AADCB">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921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79EBD0EC">
            <w:pPr>
              <w:spacing w:line="360" w:lineRule="auto"/>
              <w:jc w:val="center"/>
              <w:rPr>
                <w:rFonts w:hint="eastAsia" w:ascii="宋体" w:hAnsi="宋体" w:cs="宋体"/>
                <w:sz w:val="21"/>
                <w:szCs w:val="21"/>
              </w:rPr>
            </w:pPr>
          </w:p>
        </w:tc>
        <w:tc>
          <w:tcPr>
            <w:tcW w:w="709" w:type="dxa"/>
            <w:vMerge w:val="continue"/>
            <w:noWrap w:val="0"/>
            <w:vAlign w:val="center"/>
          </w:tcPr>
          <w:p w14:paraId="7733078C">
            <w:pPr>
              <w:spacing w:line="360" w:lineRule="auto"/>
              <w:rPr>
                <w:rFonts w:hint="eastAsia" w:ascii="宋体" w:hAnsi="宋体" w:cs="宋体"/>
                <w:sz w:val="21"/>
                <w:szCs w:val="21"/>
                <w:lang w:val="zh-CN"/>
              </w:rPr>
            </w:pPr>
          </w:p>
        </w:tc>
        <w:tc>
          <w:tcPr>
            <w:tcW w:w="3792" w:type="dxa"/>
            <w:noWrap w:val="0"/>
            <w:vAlign w:val="center"/>
          </w:tcPr>
          <w:p w14:paraId="19063EC5">
            <w:pPr>
              <w:spacing w:line="240" w:lineRule="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法律、行政法规规定的其他条件</w:t>
            </w:r>
          </w:p>
        </w:tc>
        <w:tc>
          <w:tcPr>
            <w:tcW w:w="5301" w:type="dxa"/>
            <w:noWrap w:val="0"/>
            <w:vAlign w:val="center"/>
          </w:tcPr>
          <w:p w14:paraId="364FAD16">
            <w:pPr>
              <w:spacing w:line="240" w:lineRule="auto"/>
              <w:rPr>
                <w:rFonts w:hint="eastAsia" w:ascii="宋体" w:hAnsi="宋体" w:cs="宋体"/>
                <w:sz w:val="21"/>
                <w:szCs w:val="21"/>
              </w:rPr>
            </w:pPr>
            <w:r>
              <w:rPr>
                <w:rFonts w:hint="eastAsia" w:ascii="宋体" w:hAnsi="宋体" w:cs="宋体"/>
                <w:sz w:val="21"/>
                <w:szCs w:val="21"/>
              </w:rPr>
              <w:t>单位负责人为同一人或存在直接控股、管理关系的不同供应商，不得参加同一合同项下的政府采购活动，供应商提供书面声明（见格式文件）。</w:t>
            </w:r>
          </w:p>
        </w:tc>
      </w:tr>
      <w:tr w14:paraId="7A81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6" w:type="dxa"/>
            <w:noWrap w:val="0"/>
            <w:vAlign w:val="center"/>
          </w:tcPr>
          <w:p w14:paraId="0678F1B7">
            <w:pPr>
              <w:spacing w:line="360" w:lineRule="auto"/>
              <w:jc w:val="center"/>
              <w:rPr>
                <w:rFonts w:hint="eastAsia" w:ascii="宋体" w:hAnsi="宋体" w:cs="宋体"/>
                <w:sz w:val="21"/>
                <w:szCs w:val="21"/>
              </w:rPr>
            </w:pPr>
            <w:r>
              <w:rPr>
                <w:rFonts w:hint="eastAsia" w:ascii="宋体" w:hAnsi="宋体" w:cs="宋体"/>
                <w:sz w:val="21"/>
                <w:szCs w:val="21"/>
              </w:rPr>
              <w:t>2</w:t>
            </w:r>
          </w:p>
        </w:tc>
        <w:tc>
          <w:tcPr>
            <w:tcW w:w="709" w:type="dxa"/>
            <w:noWrap w:val="0"/>
            <w:vAlign w:val="center"/>
          </w:tcPr>
          <w:p w14:paraId="7B33AE1A">
            <w:pPr>
              <w:spacing w:line="360" w:lineRule="auto"/>
              <w:rPr>
                <w:rFonts w:hint="eastAsia" w:ascii="宋体" w:hAnsi="宋体" w:cs="宋体"/>
                <w:sz w:val="21"/>
                <w:szCs w:val="21"/>
              </w:rPr>
            </w:pPr>
            <w:r>
              <w:rPr>
                <w:rFonts w:hint="eastAsia" w:ascii="宋体" w:hAnsi="宋体" w:cs="宋体"/>
                <w:sz w:val="21"/>
                <w:szCs w:val="21"/>
              </w:rPr>
              <w:t>特定资格条件</w:t>
            </w:r>
          </w:p>
        </w:tc>
        <w:tc>
          <w:tcPr>
            <w:tcW w:w="3792" w:type="dxa"/>
            <w:noWrap w:val="0"/>
            <w:vAlign w:val="center"/>
          </w:tcPr>
          <w:p w14:paraId="5AEACA9B">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2.本项目不接受联合体投标。</w:t>
            </w:r>
          </w:p>
        </w:tc>
        <w:tc>
          <w:tcPr>
            <w:tcW w:w="5301" w:type="dxa"/>
            <w:noWrap w:val="0"/>
            <w:vAlign w:val="center"/>
          </w:tcPr>
          <w:p w14:paraId="6B0A6DBF">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符合谈判采购文件的要求。</w:t>
            </w:r>
          </w:p>
        </w:tc>
      </w:tr>
    </w:tbl>
    <w:p w14:paraId="55DAF5E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2、符合性检查。依据谈判采购文件的规定，从响应文件的有效性、完整性和对谈判采购文件的响应程度进行审查，以确定是否对谈判采购文件的实质性要求作出响应。符合性检查资料表如下：</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AD2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4D1E4AB">
            <w:pPr>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noWrap w:val="0"/>
            <w:vAlign w:val="center"/>
          </w:tcPr>
          <w:p w14:paraId="5DD94EA9">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409" w:type="dxa"/>
            <w:noWrap w:val="0"/>
            <w:vAlign w:val="center"/>
          </w:tcPr>
          <w:p w14:paraId="664CEF6C">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2FB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602FA39">
            <w:pPr>
              <w:spacing w:line="360" w:lineRule="auto"/>
              <w:jc w:val="center"/>
              <w:rPr>
                <w:rFonts w:hint="eastAsia" w:ascii="宋体" w:hAnsi="宋体" w:cs="宋体"/>
                <w:kern w:val="0"/>
                <w:sz w:val="21"/>
                <w:szCs w:val="21"/>
              </w:rPr>
            </w:pPr>
            <w:r>
              <w:rPr>
                <w:rFonts w:hint="eastAsia" w:ascii="宋体" w:hAnsi="宋体" w:cs="宋体"/>
                <w:kern w:val="0"/>
                <w:sz w:val="21"/>
                <w:szCs w:val="21"/>
              </w:rPr>
              <w:t>1</w:t>
            </w:r>
          </w:p>
        </w:tc>
        <w:tc>
          <w:tcPr>
            <w:tcW w:w="1560" w:type="dxa"/>
            <w:vMerge w:val="restart"/>
            <w:noWrap w:val="0"/>
            <w:vAlign w:val="center"/>
          </w:tcPr>
          <w:p w14:paraId="7381138F">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有效性审查</w:t>
            </w:r>
          </w:p>
        </w:tc>
        <w:tc>
          <w:tcPr>
            <w:tcW w:w="1984" w:type="dxa"/>
            <w:noWrap w:val="0"/>
            <w:vAlign w:val="center"/>
          </w:tcPr>
          <w:p w14:paraId="608ACD64">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响应文件签署</w:t>
            </w:r>
          </w:p>
        </w:tc>
        <w:tc>
          <w:tcPr>
            <w:tcW w:w="5409" w:type="dxa"/>
            <w:noWrap w:val="0"/>
            <w:vAlign w:val="center"/>
          </w:tcPr>
          <w:p w14:paraId="6046C42C">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响应文件上法定代表人或其授权代表人的签字齐全。</w:t>
            </w:r>
          </w:p>
        </w:tc>
      </w:tr>
      <w:tr w14:paraId="471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Merge w:val="continue"/>
            <w:noWrap w:val="0"/>
            <w:vAlign w:val="center"/>
          </w:tcPr>
          <w:p w14:paraId="51C24526">
            <w:pPr>
              <w:spacing w:line="360" w:lineRule="auto"/>
              <w:jc w:val="center"/>
              <w:rPr>
                <w:rFonts w:hint="eastAsia" w:ascii="宋体" w:hAnsi="宋体" w:cs="宋体"/>
                <w:kern w:val="0"/>
                <w:sz w:val="21"/>
                <w:szCs w:val="21"/>
              </w:rPr>
            </w:pPr>
          </w:p>
        </w:tc>
        <w:tc>
          <w:tcPr>
            <w:tcW w:w="1560" w:type="dxa"/>
            <w:vMerge w:val="continue"/>
            <w:noWrap w:val="0"/>
            <w:vAlign w:val="center"/>
          </w:tcPr>
          <w:p w14:paraId="1D288660">
            <w:pPr>
              <w:jc w:val="both"/>
              <w:rPr>
                <w:rFonts w:hint="eastAsia" w:ascii="Times New Roman" w:hAnsi="Times New Roman" w:eastAsia="宋体" w:cs="Times New Roman"/>
                <w:sz w:val="21"/>
                <w:szCs w:val="21"/>
              </w:rPr>
            </w:pPr>
          </w:p>
        </w:tc>
        <w:tc>
          <w:tcPr>
            <w:tcW w:w="1984" w:type="dxa"/>
            <w:noWrap w:val="0"/>
            <w:vAlign w:val="center"/>
          </w:tcPr>
          <w:p w14:paraId="256CD4B7">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法定代表人身份证明及授权委托书</w:t>
            </w:r>
          </w:p>
        </w:tc>
        <w:tc>
          <w:tcPr>
            <w:tcW w:w="5409" w:type="dxa"/>
            <w:noWrap w:val="0"/>
            <w:vAlign w:val="center"/>
          </w:tcPr>
          <w:p w14:paraId="1085D2AB">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法定代表人身份证明及授权委托书有效，符合谈判采购文件规定的格式，签字或盖章齐全。</w:t>
            </w:r>
          </w:p>
        </w:tc>
      </w:tr>
      <w:tr w14:paraId="10D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5" w:type="dxa"/>
            <w:vMerge w:val="continue"/>
            <w:noWrap w:val="0"/>
            <w:vAlign w:val="center"/>
          </w:tcPr>
          <w:p w14:paraId="5EDF3867">
            <w:pPr>
              <w:spacing w:line="360" w:lineRule="auto"/>
              <w:jc w:val="center"/>
              <w:rPr>
                <w:rFonts w:hint="eastAsia" w:ascii="宋体" w:hAnsi="宋体" w:cs="宋体"/>
                <w:kern w:val="0"/>
                <w:sz w:val="21"/>
                <w:szCs w:val="21"/>
              </w:rPr>
            </w:pPr>
          </w:p>
        </w:tc>
        <w:tc>
          <w:tcPr>
            <w:tcW w:w="1560" w:type="dxa"/>
            <w:vMerge w:val="continue"/>
            <w:noWrap w:val="0"/>
            <w:vAlign w:val="center"/>
          </w:tcPr>
          <w:p w14:paraId="10C9C7BF">
            <w:pPr>
              <w:jc w:val="both"/>
              <w:rPr>
                <w:rFonts w:hint="eastAsia" w:ascii="Times New Roman" w:hAnsi="Times New Roman" w:eastAsia="宋体" w:cs="Times New Roman"/>
                <w:sz w:val="21"/>
                <w:szCs w:val="21"/>
              </w:rPr>
            </w:pPr>
          </w:p>
        </w:tc>
        <w:tc>
          <w:tcPr>
            <w:tcW w:w="1984" w:type="dxa"/>
            <w:noWrap w:val="0"/>
            <w:vAlign w:val="center"/>
          </w:tcPr>
          <w:p w14:paraId="240DCBAF">
            <w:pPr>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方案</w:t>
            </w:r>
          </w:p>
        </w:tc>
        <w:tc>
          <w:tcPr>
            <w:tcW w:w="5409" w:type="dxa"/>
            <w:noWrap w:val="0"/>
            <w:vAlign w:val="center"/>
          </w:tcPr>
          <w:p w14:paraId="5DE1B781">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只能有一个</w:t>
            </w: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方案。</w:t>
            </w:r>
          </w:p>
        </w:tc>
      </w:tr>
      <w:tr w14:paraId="43EF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75" w:type="dxa"/>
            <w:vMerge w:val="continue"/>
            <w:noWrap w:val="0"/>
            <w:vAlign w:val="center"/>
          </w:tcPr>
          <w:p w14:paraId="11296748">
            <w:pPr>
              <w:spacing w:line="360" w:lineRule="auto"/>
              <w:jc w:val="center"/>
              <w:rPr>
                <w:rFonts w:hint="eastAsia" w:ascii="宋体" w:hAnsi="宋体" w:cs="宋体"/>
                <w:kern w:val="0"/>
                <w:sz w:val="21"/>
                <w:szCs w:val="21"/>
              </w:rPr>
            </w:pPr>
          </w:p>
        </w:tc>
        <w:tc>
          <w:tcPr>
            <w:tcW w:w="1560" w:type="dxa"/>
            <w:vMerge w:val="continue"/>
            <w:noWrap w:val="0"/>
            <w:vAlign w:val="center"/>
          </w:tcPr>
          <w:p w14:paraId="608189A9">
            <w:pPr>
              <w:jc w:val="both"/>
              <w:rPr>
                <w:rFonts w:hint="eastAsia" w:ascii="Times New Roman" w:hAnsi="Times New Roman" w:eastAsia="宋体" w:cs="Times New Roman"/>
                <w:sz w:val="21"/>
                <w:szCs w:val="21"/>
              </w:rPr>
            </w:pPr>
          </w:p>
        </w:tc>
        <w:tc>
          <w:tcPr>
            <w:tcW w:w="1984" w:type="dxa"/>
            <w:noWrap w:val="0"/>
            <w:vAlign w:val="center"/>
          </w:tcPr>
          <w:p w14:paraId="5AE7E391">
            <w:pPr>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报价唯一</w:t>
            </w:r>
          </w:p>
        </w:tc>
        <w:tc>
          <w:tcPr>
            <w:tcW w:w="5409" w:type="dxa"/>
            <w:noWrap w:val="0"/>
            <w:vAlign w:val="center"/>
          </w:tcPr>
          <w:p w14:paraId="624E3C94">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只能在</w:t>
            </w:r>
            <w:r>
              <w:rPr>
                <w:rFonts w:hint="eastAsia" w:ascii="Times New Roman" w:hAnsi="Times New Roman" w:eastAsia="宋体" w:cs="Times New Roman"/>
                <w:sz w:val="21"/>
                <w:szCs w:val="21"/>
                <w:lang w:val="en-US" w:eastAsia="zh-CN"/>
              </w:rPr>
              <w:t>最高限价范围</w:t>
            </w:r>
            <w:r>
              <w:rPr>
                <w:rFonts w:hint="eastAsia" w:ascii="Times New Roman" w:hAnsi="Times New Roman" w:eastAsia="宋体" w:cs="Times New Roman"/>
                <w:sz w:val="21"/>
                <w:szCs w:val="21"/>
                <w:lang w:val="zh-CN"/>
              </w:rPr>
              <w:t>内报价，</w:t>
            </w:r>
            <w:r>
              <w:rPr>
                <w:rFonts w:hint="eastAsia" w:ascii="Times New Roman" w:hAnsi="Times New Roman" w:eastAsia="宋体" w:cs="Times New Roman"/>
                <w:sz w:val="21"/>
                <w:szCs w:val="21"/>
              </w:rPr>
              <w:t>只能有一个有效报价，不得提交选择性报价。</w:t>
            </w:r>
          </w:p>
        </w:tc>
      </w:tr>
      <w:tr w14:paraId="57D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vMerge w:val="restart"/>
            <w:noWrap w:val="0"/>
            <w:vAlign w:val="center"/>
          </w:tcPr>
          <w:p w14:paraId="19FDBE45">
            <w:pPr>
              <w:spacing w:line="360" w:lineRule="auto"/>
              <w:jc w:val="center"/>
              <w:rPr>
                <w:rFonts w:hint="eastAsia" w:ascii="宋体" w:hAnsi="宋体" w:cs="宋体"/>
                <w:kern w:val="0"/>
                <w:sz w:val="21"/>
                <w:szCs w:val="21"/>
              </w:rPr>
            </w:pPr>
            <w:r>
              <w:rPr>
                <w:rFonts w:hint="eastAsia" w:ascii="宋体" w:hAnsi="宋体" w:cs="宋体"/>
                <w:kern w:val="0"/>
                <w:sz w:val="21"/>
                <w:szCs w:val="21"/>
              </w:rPr>
              <w:t>2</w:t>
            </w:r>
          </w:p>
        </w:tc>
        <w:tc>
          <w:tcPr>
            <w:tcW w:w="1560" w:type="dxa"/>
            <w:vMerge w:val="restart"/>
            <w:noWrap w:val="0"/>
            <w:vAlign w:val="center"/>
          </w:tcPr>
          <w:p w14:paraId="12FBDA2A">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完整性审查</w:t>
            </w:r>
          </w:p>
        </w:tc>
        <w:tc>
          <w:tcPr>
            <w:tcW w:w="1984" w:type="dxa"/>
            <w:noWrap w:val="0"/>
            <w:vAlign w:val="center"/>
          </w:tcPr>
          <w:p w14:paraId="4D0D985F">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文件份数</w:t>
            </w:r>
          </w:p>
        </w:tc>
        <w:tc>
          <w:tcPr>
            <w:tcW w:w="5409" w:type="dxa"/>
            <w:noWrap w:val="0"/>
            <w:vAlign w:val="center"/>
          </w:tcPr>
          <w:p w14:paraId="5A42144F">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文件正、副本数量符合谈判采购文件要求。</w:t>
            </w:r>
          </w:p>
        </w:tc>
      </w:tr>
      <w:tr w14:paraId="30DB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Merge w:val="continue"/>
            <w:noWrap w:val="0"/>
            <w:vAlign w:val="center"/>
          </w:tcPr>
          <w:p w14:paraId="4D6CA21A">
            <w:pPr>
              <w:spacing w:line="360" w:lineRule="auto"/>
              <w:jc w:val="center"/>
              <w:rPr>
                <w:rFonts w:hint="eastAsia" w:ascii="宋体" w:hAnsi="宋体" w:cs="宋体"/>
                <w:kern w:val="0"/>
                <w:sz w:val="21"/>
                <w:szCs w:val="21"/>
              </w:rPr>
            </w:pPr>
          </w:p>
        </w:tc>
        <w:tc>
          <w:tcPr>
            <w:tcW w:w="1560" w:type="dxa"/>
            <w:vMerge w:val="continue"/>
            <w:noWrap w:val="0"/>
            <w:vAlign w:val="center"/>
          </w:tcPr>
          <w:p w14:paraId="670A8CE4">
            <w:pPr>
              <w:jc w:val="both"/>
              <w:rPr>
                <w:rFonts w:hint="eastAsia" w:ascii="Times New Roman" w:hAnsi="Times New Roman" w:eastAsia="宋体" w:cs="Times New Roman"/>
                <w:sz w:val="21"/>
                <w:szCs w:val="21"/>
              </w:rPr>
            </w:pPr>
          </w:p>
        </w:tc>
        <w:tc>
          <w:tcPr>
            <w:tcW w:w="1984" w:type="dxa"/>
            <w:noWrap w:val="0"/>
            <w:vAlign w:val="center"/>
          </w:tcPr>
          <w:p w14:paraId="30EEA579">
            <w:pPr>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文件内容</w:t>
            </w:r>
          </w:p>
        </w:tc>
        <w:tc>
          <w:tcPr>
            <w:tcW w:w="5409" w:type="dxa"/>
            <w:noWrap w:val="0"/>
            <w:vAlign w:val="center"/>
          </w:tcPr>
          <w:p w14:paraId="18913C0A">
            <w:pPr>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响应</w:t>
            </w:r>
            <w:r>
              <w:rPr>
                <w:rFonts w:hint="eastAsia" w:ascii="Times New Roman" w:hAnsi="Times New Roman" w:eastAsia="宋体" w:cs="Times New Roman"/>
                <w:sz w:val="21"/>
                <w:szCs w:val="21"/>
                <w:lang w:val="zh-CN"/>
              </w:rPr>
              <w:t>文件内容齐全、无遗漏。</w:t>
            </w:r>
          </w:p>
        </w:tc>
      </w:tr>
      <w:tr w14:paraId="60FB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5" w:type="dxa"/>
            <w:vMerge w:val="restart"/>
            <w:noWrap w:val="0"/>
            <w:vAlign w:val="center"/>
          </w:tcPr>
          <w:p w14:paraId="75A878B9">
            <w:pPr>
              <w:spacing w:line="360" w:lineRule="auto"/>
              <w:jc w:val="center"/>
              <w:rPr>
                <w:rFonts w:hint="eastAsia" w:ascii="宋体" w:hAnsi="宋体" w:cs="宋体"/>
                <w:kern w:val="0"/>
                <w:sz w:val="21"/>
                <w:szCs w:val="21"/>
              </w:rPr>
            </w:pPr>
            <w:r>
              <w:rPr>
                <w:rFonts w:hint="eastAsia" w:ascii="宋体" w:hAnsi="宋体" w:cs="宋体"/>
                <w:kern w:val="0"/>
                <w:sz w:val="21"/>
                <w:szCs w:val="21"/>
              </w:rPr>
              <w:t>3</w:t>
            </w:r>
          </w:p>
        </w:tc>
        <w:tc>
          <w:tcPr>
            <w:tcW w:w="1560" w:type="dxa"/>
            <w:vMerge w:val="restart"/>
            <w:noWrap w:val="0"/>
            <w:vAlign w:val="center"/>
          </w:tcPr>
          <w:p w14:paraId="3688A557">
            <w:pPr>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谈判采购文件的响应程度审查</w:t>
            </w:r>
          </w:p>
        </w:tc>
        <w:tc>
          <w:tcPr>
            <w:tcW w:w="1984" w:type="dxa"/>
            <w:noWrap w:val="0"/>
            <w:vAlign w:val="center"/>
          </w:tcPr>
          <w:p w14:paraId="4665EAF0">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响应文件内容</w:t>
            </w:r>
          </w:p>
        </w:tc>
        <w:tc>
          <w:tcPr>
            <w:tcW w:w="5409" w:type="dxa"/>
            <w:noWrap w:val="0"/>
            <w:vAlign w:val="center"/>
          </w:tcPr>
          <w:p w14:paraId="22CBFAD0">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满足对谈判采购文件第二、三篇规定的谈判内容，并作出响应。</w:t>
            </w:r>
          </w:p>
        </w:tc>
      </w:tr>
      <w:tr w14:paraId="59D1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5" w:type="dxa"/>
            <w:vMerge w:val="continue"/>
            <w:noWrap w:val="0"/>
            <w:vAlign w:val="center"/>
          </w:tcPr>
          <w:p w14:paraId="6B518B02">
            <w:pPr>
              <w:spacing w:line="360" w:lineRule="auto"/>
              <w:jc w:val="center"/>
              <w:rPr>
                <w:rFonts w:hint="eastAsia" w:ascii="宋体" w:hAnsi="宋体" w:cs="宋体"/>
                <w:kern w:val="0"/>
                <w:sz w:val="21"/>
                <w:szCs w:val="21"/>
              </w:rPr>
            </w:pPr>
          </w:p>
        </w:tc>
        <w:tc>
          <w:tcPr>
            <w:tcW w:w="1560" w:type="dxa"/>
            <w:vMerge w:val="continue"/>
            <w:noWrap w:val="0"/>
            <w:vAlign w:val="center"/>
          </w:tcPr>
          <w:p w14:paraId="20D8FE85">
            <w:pPr>
              <w:spacing w:line="360" w:lineRule="auto"/>
              <w:rPr>
                <w:rFonts w:hint="eastAsia" w:ascii="宋体" w:hAnsi="宋体" w:cs="宋体"/>
                <w:sz w:val="21"/>
                <w:szCs w:val="21"/>
                <w:lang w:val="zh-CN"/>
              </w:rPr>
            </w:pPr>
          </w:p>
        </w:tc>
        <w:tc>
          <w:tcPr>
            <w:tcW w:w="1984" w:type="dxa"/>
            <w:noWrap w:val="0"/>
            <w:vAlign w:val="center"/>
          </w:tcPr>
          <w:p w14:paraId="526369B3">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谈判有效期</w:t>
            </w:r>
          </w:p>
        </w:tc>
        <w:tc>
          <w:tcPr>
            <w:tcW w:w="5409" w:type="dxa"/>
            <w:noWrap w:val="0"/>
            <w:vAlign w:val="center"/>
          </w:tcPr>
          <w:p w14:paraId="7A3D3372">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满足谈判文件</w:t>
            </w:r>
            <w:r>
              <w:rPr>
                <w:rFonts w:hint="eastAsia" w:ascii="Times New Roman" w:hAnsi="Times New Roman" w:eastAsia="宋体" w:cs="Times New Roman"/>
                <w:sz w:val="21"/>
                <w:szCs w:val="21"/>
                <w:lang w:val="zh-CN"/>
              </w:rPr>
              <w:t>规定。</w:t>
            </w:r>
          </w:p>
        </w:tc>
      </w:tr>
    </w:tbl>
    <w:p w14:paraId="0911AC02">
      <w:pPr>
        <w:spacing w:line="360" w:lineRule="auto"/>
        <w:ind w:firstLine="480" w:firstLineChars="200"/>
        <w:rPr>
          <w:rFonts w:hint="eastAsia" w:ascii="宋体" w:hAnsi="宋体" w:cs="宋体"/>
          <w:sz w:val="24"/>
          <w:szCs w:val="24"/>
        </w:rPr>
      </w:pPr>
      <w:r>
        <w:rPr>
          <w:rFonts w:hint="eastAsia" w:ascii="宋体" w:hAnsi="宋体" w:cs="宋体"/>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E4B830">
      <w:pPr>
        <w:spacing w:line="360" w:lineRule="auto"/>
        <w:ind w:firstLine="480" w:firstLineChars="200"/>
        <w:rPr>
          <w:rFonts w:hint="eastAsia" w:ascii="宋体" w:hAnsi="宋体" w:cs="宋体"/>
          <w:sz w:val="24"/>
          <w:szCs w:val="24"/>
        </w:rPr>
      </w:pPr>
      <w:r>
        <w:rPr>
          <w:rFonts w:hint="eastAsia" w:ascii="宋体" w:hAnsi="宋体" w:cs="宋体"/>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w:t>
      </w:r>
    </w:p>
    <w:p w14:paraId="2638C712">
      <w:pPr>
        <w:spacing w:line="360" w:lineRule="auto"/>
        <w:ind w:firstLine="480" w:firstLineChars="200"/>
        <w:rPr>
          <w:rFonts w:hint="eastAsia" w:ascii="宋体" w:hAnsi="宋体" w:cs="宋体"/>
          <w:sz w:val="24"/>
          <w:szCs w:val="24"/>
        </w:rPr>
      </w:pPr>
      <w:r>
        <w:rPr>
          <w:rFonts w:hint="eastAsia" w:ascii="宋体" w:hAnsi="宋体" w:cs="宋体"/>
          <w:sz w:val="24"/>
          <w:szCs w:val="24"/>
        </w:rPr>
        <w:t>（五）在谈判过程中谈判的任何一方不得向他人透露与谈判有关的技术资料、价格或其他信息。</w:t>
      </w:r>
    </w:p>
    <w:p w14:paraId="7309508E">
      <w:pPr>
        <w:spacing w:line="360" w:lineRule="auto"/>
        <w:ind w:firstLine="480" w:firstLineChars="200"/>
        <w:rPr>
          <w:rFonts w:hint="eastAsia" w:ascii="宋体" w:hAnsi="宋体" w:cs="宋体"/>
          <w:sz w:val="24"/>
          <w:szCs w:val="24"/>
        </w:rPr>
      </w:pPr>
      <w:r>
        <w:rPr>
          <w:rFonts w:hint="eastAsia" w:ascii="宋体" w:hAnsi="宋体" w:cs="宋体"/>
          <w:sz w:val="24"/>
          <w:szCs w:val="24"/>
        </w:rPr>
        <w:t>（六）在谈判过程中，谈判小组可以根据谈判采购文件和谈判情况实质性变动采购需求中的技术、服务要求以及合同草案条款，但不得变动谈判采购文件中的其他内容。实质性变动的内容，须经采购人代表确认。对谈判采购文件作出的实质性变动是谈判采购文件的有效组成部分，谈判小组应当及时以书面形式同时通知所有参加谈判的供应商。</w:t>
      </w:r>
    </w:p>
    <w:p w14:paraId="37AEAE03">
      <w:pPr>
        <w:spacing w:line="360" w:lineRule="auto"/>
        <w:ind w:firstLine="480" w:firstLineChars="200"/>
        <w:rPr>
          <w:rFonts w:hint="eastAsia" w:ascii="宋体" w:hAnsi="宋体" w:cs="宋体"/>
          <w:sz w:val="24"/>
          <w:szCs w:val="24"/>
        </w:rPr>
      </w:pPr>
      <w:r>
        <w:rPr>
          <w:rFonts w:hint="eastAsia" w:ascii="宋体" w:hAnsi="宋体" w:cs="宋体"/>
          <w:sz w:val="24"/>
          <w:szCs w:val="24"/>
        </w:rPr>
        <w:t>（七）供应商在谈判时作出的所有书面承诺须由法定代表人或其授权代表签字。</w:t>
      </w:r>
    </w:p>
    <w:p w14:paraId="6E4156AD">
      <w:pPr>
        <w:spacing w:line="360" w:lineRule="auto"/>
        <w:ind w:firstLine="480" w:firstLineChars="200"/>
        <w:rPr>
          <w:rFonts w:hint="eastAsia" w:ascii="宋体" w:hAnsi="宋体" w:cs="宋体"/>
          <w:sz w:val="24"/>
          <w:szCs w:val="24"/>
        </w:rPr>
      </w:pPr>
      <w:r>
        <w:rPr>
          <w:rFonts w:hint="eastAsia" w:ascii="宋体" w:hAnsi="宋体" w:cs="宋体"/>
          <w:sz w:val="24"/>
          <w:szCs w:val="24"/>
        </w:rPr>
        <w:t>（八）经谈判确定最终采购需求且谈判结束后，供应商应当按照谈判采购文件的变动情况和谈判小组的要求重新提交响应文件或重新做出相关的书面承诺，最后书面提交最后报价及有关承诺（填写《最</w:t>
      </w:r>
      <w:r>
        <w:rPr>
          <w:rFonts w:hint="eastAsia" w:ascii="宋体" w:hAnsi="宋体" w:cs="宋体"/>
          <w:sz w:val="24"/>
          <w:szCs w:val="24"/>
          <w:lang w:val="en-US" w:eastAsia="zh-CN"/>
        </w:rPr>
        <w:t>终</w:t>
      </w:r>
      <w:r>
        <w:rPr>
          <w:rFonts w:hint="eastAsia" w:ascii="宋体" w:hAnsi="宋体" w:cs="宋体"/>
          <w:sz w:val="24"/>
          <w:szCs w:val="24"/>
        </w:rPr>
        <w:t>报价表》并密封提交）。已提交响应文件但未在规定时间内进行最后报价的供应商，视为放弃最后报价，以供应商响应文件中的报价为准。</w:t>
      </w:r>
    </w:p>
    <w:p w14:paraId="2D49FA8F">
      <w:pPr>
        <w:spacing w:line="360" w:lineRule="auto"/>
        <w:ind w:firstLine="480" w:firstLineChars="200"/>
        <w:rPr>
          <w:rFonts w:hint="eastAsia" w:ascii="宋体" w:hAnsi="宋体" w:cs="宋体"/>
          <w:sz w:val="24"/>
          <w:szCs w:val="24"/>
        </w:rPr>
      </w:pPr>
      <w:r>
        <w:rPr>
          <w:rFonts w:hint="eastAsia" w:ascii="宋体" w:hAnsi="宋体" w:cs="宋体"/>
          <w:sz w:val="24"/>
          <w:szCs w:val="24"/>
        </w:rPr>
        <w:t>（九）谈判小组采用综合评分法对提交最后报价的供应商的响应文件和最后报价（含有效书面承诺）进行综合评分。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谈判采购文件全部实质性要求且按照评审因素的量化指标评审得分最高的供应商为成交候选供应商的评审方法。供应商总得分为价格、服务、技术等评定因素分别按照相应权重值计算分项得分后相加，满分为100分</w:t>
      </w:r>
      <w:r>
        <w:rPr>
          <w:rFonts w:hint="eastAsia" w:ascii="宋体" w:hAnsi="宋体" w:cs="宋体"/>
          <w:sz w:val="24"/>
          <w:szCs w:val="24"/>
        </w:rPr>
        <w:t>。（详见评审标准）。</w:t>
      </w:r>
    </w:p>
    <w:p w14:paraId="417CCBA6">
      <w:pPr>
        <w:spacing w:line="360" w:lineRule="auto"/>
        <w:ind w:firstLine="480" w:firstLineChars="200"/>
        <w:rPr>
          <w:rFonts w:hint="eastAsia" w:ascii="宋体" w:hAnsi="宋体" w:cs="宋体"/>
          <w:sz w:val="24"/>
          <w:szCs w:val="24"/>
        </w:rPr>
      </w:pPr>
      <w:r>
        <w:rPr>
          <w:rFonts w:hint="eastAsia" w:ascii="宋体" w:hAnsi="宋体" w:cs="宋体"/>
          <w:sz w:val="24"/>
          <w:szCs w:val="24"/>
        </w:rPr>
        <w:t>（十）谈判小组各成员独立对每个</w:t>
      </w:r>
      <w:r>
        <w:rPr>
          <w:rFonts w:hint="eastAsia" w:ascii="宋体" w:hAnsi="宋体" w:cs="宋体"/>
          <w:kern w:val="0"/>
          <w:sz w:val="24"/>
          <w:szCs w:val="24"/>
        </w:rPr>
        <w:t>实质性响应</w:t>
      </w:r>
      <w:r>
        <w:rPr>
          <w:rFonts w:hint="eastAsia" w:ascii="宋体" w:hAnsi="宋体" w:cs="宋体"/>
          <w:sz w:val="24"/>
          <w:szCs w:val="24"/>
        </w:rPr>
        <w:t>文件进行评价、打分，然后汇总每个供应商每项评分因素的得分。技术、商务得分由谈判小组成员独立评分（对各供应商响应文件的技术、商务部分独立进行分档评分）供应商各项评分因素得分为该项因素各评委评分的算术平均值（保留小数点后两位），小数点后第三位“四舍五入”。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2EA5AC7F">
      <w:pPr>
        <w:pStyle w:val="4"/>
        <w:spacing w:before="0" w:after="0" w:line="312" w:lineRule="auto"/>
        <w:rPr>
          <w:rFonts w:hint="eastAsia" w:ascii="宋体" w:hAnsi="宋体" w:cs="宋体"/>
          <w:sz w:val="24"/>
          <w:szCs w:val="24"/>
        </w:rPr>
      </w:pPr>
      <w:bookmarkStart w:id="3" w:name="_Toc138018594"/>
      <w:bookmarkStart w:id="4" w:name="_Toc16549"/>
      <w:r>
        <w:rPr>
          <w:rFonts w:hint="eastAsia" w:ascii="宋体" w:hAnsi="宋体" w:cs="宋体"/>
          <w:sz w:val="24"/>
          <w:szCs w:val="24"/>
        </w:rPr>
        <w:t>二、评审标准</w:t>
      </w:r>
      <w:bookmarkEnd w:id="3"/>
      <w:bookmarkEnd w:id="4"/>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1523"/>
        <w:gridCol w:w="4784"/>
        <w:gridCol w:w="1945"/>
      </w:tblGrid>
      <w:tr w14:paraId="21B7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noWrap w:val="0"/>
            <w:vAlign w:val="center"/>
          </w:tcPr>
          <w:p w14:paraId="24DB868D">
            <w:pPr>
              <w:snapToGrid w:val="0"/>
              <w:spacing w:line="288" w:lineRule="auto"/>
              <w:jc w:val="center"/>
              <w:rPr>
                <w:rFonts w:hint="eastAsia" w:ascii="宋体" w:hAnsi="宋体" w:cs="宋体"/>
                <w:b/>
                <w:sz w:val="21"/>
                <w:szCs w:val="21"/>
              </w:rPr>
            </w:pPr>
            <w:r>
              <w:rPr>
                <w:rFonts w:hint="eastAsia" w:ascii="宋体" w:hAnsi="宋体" w:cs="宋体"/>
                <w:b/>
                <w:sz w:val="21"/>
                <w:szCs w:val="21"/>
              </w:rPr>
              <w:t>序号</w:t>
            </w:r>
          </w:p>
        </w:tc>
        <w:tc>
          <w:tcPr>
            <w:tcW w:w="1200" w:type="dxa"/>
            <w:noWrap w:val="0"/>
            <w:vAlign w:val="center"/>
          </w:tcPr>
          <w:p w14:paraId="061515EA">
            <w:pPr>
              <w:snapToGrid w:val="0"/>
              <w:spacing w:line="288" w:lineRule="auto"/>
              <w:jc w:val="center"/>
              <w:rPr>
                <w:rFonts w:hint="eastAsia" w:ascii="宋体" w:hAnsi="宋体" w:cs="宋体"/>
                <w:b/>
                <w:sz w:val="21"/>
                <w:szCs w:val="21"/>
              </w:rPr>
            </w:pPr>
            <w:r>
              <w:rPr>
                <w:rFonts w:hint="eastAsia" w:ascii="宋体" w:hAnsi="宋体" w:cs="宋体"/>
                <w:b/>
                <w:sz w:val="21"/>
                <w:szCs w:val="21"/>
              </w:rPr>
              <w:t>评分因素</w:t>
            </w:r>
          </w:p>
          <w:p w14:paraId="672D04D7">
            <w:pPr>
              <w:snapToGrid w:val="0"/>
              <w:spacing w:line="288" w:lineRule="auto"/>
              <w:jc w:val="center"/>
              <w:rPr>
                <w:rFonts w:hint="eastAsia" w:ascii="宋体" w:hAnsi="宋体" w:cs="宋体"/>
                <w:b/>
                <w:sz w:val="21"/>
                <w:szCs w:val="21"/>
              </w:rPr>
            </w:pPr>
            <w:r>
              <w:rPr>
                <w:rFonts w:hint="eastAsia" w:ascii="宋体" w:hAnsi="宋体" w:cs="宋体"/>
                <w:b/>
                <w:sz w:val="21"/>
                <w:szCs w:val="21"/>
              </w:rPr>
              <w:t>及权重</w:t>
            </w:r>
          </w:p>
        </w:tc>
        <w:tc>
          <w:tcPr>
            <w:tcW w:w="1523" w:type="dxa"/>
            <w:noWrap w:val="0"/>
            <w:vAlign w:val="center"/>
          </w:tcPr>
          <w:p w14:paraId="68506C41">
            <w:pPr>
              <w:snapToGrid w:val="0"/>
              <w:spacing w:line="288" w:lineRule="auto"/>
              <w:jc w:val="center"/>
              <w:rPr>
                <w:rFonts w:hint="eastAsia" w:ascii="宋体" w:hAnsi="宋体" w:cs="宋体"/>
                <w:b/>
                <w:sz w:val="21"/>
                <w:szCs w:val="21"/>
              </w:rPr>
            </w:pPr>
            <w:r>
              <w:rPr>
                <w:rFonts w:hint="eastAsia" w:ascii="宋体" w:hAnsi="宋体" w:cs="宋体"/>
                <w:b/>
                <w:sz w:val="21"/>
                <w:szCs w:val="21"/>
              </w:rPr>
              <w:t>分值</w:t>
            </w:r>
          </w:p>
        </w:tc>
        <w:tc>
          <w:tcPr>
            <w:tcW w:w="4784" w:type="dxa"/>
            <w:noWrap w:val="0"/>
            <w:vAlign w:val="center"/>
          </w:tcPr>
          <w:p w14:paraId="3200BA7D">
            <w:pPr>
              <w:snapToGrid w:val="0"/>
              <w:spacing w:line="288" w:lineRule="auto"/>
              <w:jc w:val="center"/>
              <w:rPr>
                <w:rFonts w:hint="eastAsia" w:ascii="宋体" w:hAnsi="宋体" w:cs="宋体"/>
                <w:b/>
                <w:sz w:val="21"/>
                <w:szCs w:val="21"/>
              </w:rPr>
            </w:pPr>
            <w:r>
              <w:rPr>
                <w:rFonts w:hint="eastAsia" w:ascii="宋体" w:hAnsi="宋体" w:cs="宋体"/>
                <w:b/>
                <w:sz w:val="21"/>
                <w:szCs w:val="21"/>
              </w:rPr>
              <w:t>评分标准</w:t>
            </w:r>
          </w:p>
        </w:tc>
        <w:tc>
          <w:tcPr>
            <w:tcW w:w="1945" w:type="dxa"/>
            <w:noWrap w:val="0"/>
            <w:vAlign w:val="center"/>
          </w:tcPr>
          <w:p w14:paraId="0D9E1E47">
            <w:pPr>
              <w:pStyle w:val="7"/>
              <w:snapToGrid w:val="0"/>
              <w:spacing w:before="0" w:after="0" w:line="288" w:lineRule="auto"/>
              <w:rPr>
                <w:rFonts w:hint="eastAsia" w:ascii="宋体" w:hAnsi="宋体" w:eastAsia="宋体" w:cs="宋体"/>
                <w:sz w:val="21"/>
                <w:szCs w:val="21"/>
              </w:rPr>
            </w:pPr>
            <w:r>
              <w:rPr>
                <w:rFonts w:hint="eastAsia" w:ascii="宋体" w:hAnsi="宋体" w:eastAsia="宋体" w:cs="宋体"/>
                <w:sz w:val="21"/>
                <w:szCs w:val="21"/>
              </w:rPr>
              <w:t>说明</w:t>
            </w:r>
          </w:p>
        </w:tc>
      </w:tr>
      <w:tr w14:paraId="4B8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78" w:type="dxa"/>
            <w:noWrap w:val="0"/>
            <w:vAlign w:val="center"/>
          </w:tcPr>
          <w:p w14:paraId="0DA6E75F">
            <w:pPr>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1200" w:type="dxa"/>
            <w:noWrap w:val="0"/>
            <w:vAlign w:val="center"/>
          </w:tcPr>
          <w:p w14:paraId="2FE87269">
            <w:pPr>
              <w:snapToGrid w:val="0"/>
              <w:spacing w:line="288" w:lineRule="auto"/>
              <w:jc w:val="center"/>
              <w:rPr>
                <w:rFonts w:hint="eastAsia" w:ascii="宋体" w:hAnsi="宋体" w:cs="宋体"/>
                <w:sz w:val="21"/>
                <w:szCs w:val="21"/>
              </w:rPr>
            </w:pPr>
            <w:r>
              <w:rPr>
                <w:rFonts w:hint="eastAsia" w:ascii="宋体" w:hAnsi="宋体" w:cs="宋体"/>
                <w:sz w:val="21"/>
                <w:szCs w:val="21"/>
              </w:rPr>
              <w:t>投标报价</w:t>
            </w:r>
          </w:p>
          <w:p w14:paraId="6A7895B8">
            <w:pPr>
              <w:snapToGrid w:val="0"/>
              <w:spacing w:line="288" w:lineRule="auto"/>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1523" w:type="dxa"/>
            <w:noWrap w:val="0"/>
            <w:vAlign w:val="center"/>
          </w:tcPr>
          <w:p w14:paraId="321F5A6E">
            <w:pPr>
              <w:snapToGrid w:val="0"/>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sz w:val="21"/>
                <w:szCs w:val="21"/>
                <w:lang w:val="en-US" w:eastAsia="zh-CN"/>
              </w:rPr>
              <w:t>分</w:t>
            </w:r>
          </w:p>
        </w:tc>
        <w:tc>
          <w:tcPr>
            <w:tcW w:w="4784" w:type="dxa"/>
            <w:noWrap w:val="0"/>
            <w:vAlign w:val="center"/>
          </w:tcPr>
          <w:p w14:paraId="1210A4AF">
            <w:pPr>
              <w:widowControl/>
              <w:snapToGrid w:val="0"/>
              <w:spacing w:line="288" w:lineRule="auto"/>
              <w:outlineLvl w:val="2"/>
              <w:rPr>
                <w:rFonts w:hint="eastAsia" w:ascii="宋体" w:hAnsi="宋体" w:cs="宋体"/>
                <w:sz w:val="21"/>
                <w:szCs w:val="21"/>
              </w:rPr>
            </w:pPr>
            <w:r>
              <w:rPr>
                <w:rFonts w:hint="eastAsia" w:ascii="宋体" w:hAnsi="宋体" w:cs="宋体"/>
                <w:sz w:val="21"/>
                <w:szCs w:val="21"/>
              </w:rPr>
              <w:t>有效的投标报价中的最低价为评标基准价，按照下列公式计算每个供应商的投标价格得分。</w:t>
            </w:r>
          </w:p>
          <w:p w14:paraId="5C64B24C">
            <w:pPr>
              <w:widowControl/>
              <w:snapToGrid w:val="0"/>
              <w:spacing w:line="288" w:lineRule="auto"/>
              <w:outlineLvl w:val="2"/>
              <w:rPr>
                <w:rFonts w:hint="eastAsia" w:ascii="宋体" w:hAnsi="宋体" w:cs="宋体"/>
                <w:sz w:val="21"/>
                <w:szCs w:val="21"/>
              </w:rPr>
            </w:pPr>
            <w:r>
              <w:rPr>
                <w:rFonts w:hint="eastAsia" w:ascii="宋体" w:hAnsi="宋体" w:cs="宋体"/>
                <w:sz w:val="21"/>
                <w:szCs w:val="21"/>
              </w:rPr>
              <w:t>投标报价得分＝（评标基准价/投标报价）×价格权重×100。</w:t>
            </w:r>
          </w:p>
        </w:tc>
        <w:tc>
          <w:tcPr>
            <w:tcW w:w="1945" w:type="dxa"/>
            <w:noWrap w:val="0"/>
            <w:vAlign w:val="center"/>
          </w:tcPr>
          <w:p w14:paraId="77941BAF">
            <w:pPr>
              <w:snapToGrid w:val="0"/>
              <w:spacing w:line="288" w:lineRule="auto"/>
              <w:rPr>
                <w:rFonts w:hint="eastAsia" w:ascii="宋体" w:hAnsi="宋体" w:cs="宋体"/>
                <w:sz w:val="21"/>
                <w:szCs w:val="21"/>
              </w:rPr>
            </w:pPr>
            <w:r>
              <w:rPr>
                <w:rFonts w:hint="eastAsia" w:ascii="宋体" w:hAnsi="宋体" w:cs="宋体"/>
                <w:sz w:val="21"/>
                <w:szCs w:val="21"/>
              </w:rPr>
              <w:t>高于</w:t>
            </w:r>
            <w:r>
              <w:rPr>
                <w:rFonts w:hint="eastAsia" w:ascii="宋体" w:hAnsi="宋体" w:cs="宋体"/>
                <w:sz w:val="21"/>
                <w:szCs w:val="21"/>
                <w:lang w:val="en-US" w:eastAsia="zh-CN"/>
              </w:rPr>
              <w:t>最高限价的</w:t>
            </w:r>
            <w:r>
              <w:rPr>
                <w:rFonts w:hint="eastAsia" w:ascii="宋体" w:hAnsi="宋体" w:cs="宋体"/>
                <w:sz w:val="21"/>
                <w:szCs w:val="21"/>
              </w:rPr>
              <w:t>为无效报价</w:t>
            </w:r>
          </w:p>
        </w:tc>
      </w:tr>
      <w:tr w14:paraId="7000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878" w:type="dxa"/>
            <w:vMerge w:val="restart"/>
            <w:noWrap w:val="0"/>
            <w:vAlign w:val="center"/>
          </w:tcPr>
          <w:p w14:paraId="5231FFBD">
            <w:pPr>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1200" w:type="dxa"/>
            <w:vMerge w:val="restart"/>
            <w:noWrap w:val="0"/>
            <w:vAlign w:val="center"/>
          </w:tcPr>
          <w:p w14:paraId="3F3A45D7">
            <w:pPr>
              <w:snapToGrid w:val="0"/>
              <w:spacing w:line="288" w:lineRule="auto"/>
              <w:jc w:val="center"/>
              <w:rPr>
                <w:rFonts w:hint="eastAsia" w:ascii="宋体" w:hAnsi="宋体" w:cs="宋体"/>
                <w:sz w:val="21"/>
                <w:szCs w:val="21"/>
              </w:rPr>
            </w:pPr>
            <w:r>
              <w:rPr>
                <w:rFonts w:hint="eastAsia" w:ascii="宋体" w:hAnsi="宋体" w:cs="宋体"/>
                <w:sz w:val="21"/>
                <w:szCs w:val="21"/>
              </w:rPr>
              <w:t>技术部分</w:t>
            </w:r>
          </w:p>
          <w:p w14:paraId="263E0237">
            <w:pPr>
              <w:snapToGrid w:val="0"/>
              <w:spacing w:line="288" w:lineRule="auto"/>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65</w:t>
            </w:r>
            <w:r>
              <w:rPr>
                <w:rFonts w:hint="eastAsia" w:ascii="宋体" w:hAnsi="宋体" w:cs="宋体"/>
                <w:sz w:val="21"/>
                <w:szCs w:val="21"/>
              </w:rPr>
              <w:t>%）</w:t>
            </w:r>
          </w:p>
        </w:tc>
        <w:tc>
          <w:tcPr>
            <w:tcW w:w="1523" w:type="dxa"/>
            <w:noWrap w:val="0"/>
            <w:vAlign w:val="center"/>
          </w:tcPr>
          <w:p w14:paraId="7832478E">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供货及服务方案评审（满分</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4784" w:type="dxa"/>
            <w:noWrap w:val="0"/>
            <w:vAlign w:val="center"/>
          </w:tcPr>
          <w:p w14:paraId="60B7ABAB">
            <w:pPr>
              <w:widowControl/>
              <w:snapToGrid w:val="0"/>
              <w:spacing w:line="288" w:lineRule="auto"/>
              <w:outlineLvl w:val="2"/>
              <w:rPr>
                <w:rFonts w:hint="eastAsia" w:ascii="宋体" w:hAnsi="宋体" w:eastAsia="宋体" w:cs="宋体"/>
                <w:sz w:val="21"/>
                <w:szCs w:val="21"/>
              </w:rPr>
            </w:pPr>
            <w:r>
              <w:rPr>
                <w:rFonts w:hint="eastAsia" w:ascii="宋体" w:hAnsi="宋体" w:eastAsia="宋体" w:cs="宋体"/>
                <w:sz w:val="21"/>
                <w:szCs w:val="21"/>
              </w:rPr>
              <w:t>1.供货及服务方案内容完整详尽、针对性强，完全满足项目要求，服装及物品保障较好的，得</w:t>
            </w:r>
            <w:r>
              <w:rPr>
                <w:rFonts w:hint="eastAsia" w:ascii="宋体" w:hAnsi="宋体" w:eastAsia="宋体" w:cs="宋体"/>
                <w:sz w:val="21"/>
                <w:szCs w:val="21"/>
                <w:lang w:val="en-US" w:eastAsia="zh-CN"/>
              </w:rPr>
              <w:t>18</w:t>
            </w: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17F2923B">
            <w:pPr>
              <w:widowControl/>
              <w:snapToGrid w:val="0"/>
              <w:spacing w:line="288" w:lineRule="auto"/>
              <w:outlineLvl w:val="2"/>
              <w:rPr>
                <w:rFonts w:hint="eastAsia" w:ascii="宋体" w:hAnsi="宋体" w:eastAsia="宋体" w:cs="宋体"/>
                <w:sz w:val="21"/>
                <w:szCs w:val="21"/>
              </w:rPr>
            </w:pPr>
            <w:r>
              <w:rPr>
                <w:rFonts w:hint="eastAsia" w:ascii="宋体" w:hAnsi="宋体" w:eastAsia="宋体" w:cs="宋体"/>
                <w:sz w:val="21"/>
                <w:szCs w:val="21"/>
              </w:rPr>
              <w:t>2.供货及服务方案内容</w:t>
            </w:r>
            <w:r>
              <w:rPr>
                <w:rFonts w:hint="eastAsia" w:ascii="宋体" w:hAnsi="宋体" w:eastAsia="宋体" w:cs="宋体"/>
                <w:sz w:val="21"/>
                <w:szCs w:val="21"/>
                <w:lang w:val="en-US" w:eastAsia="zh-CN"/>
              </w:rPr>
              <w:t>较</w:t>
            </w:r>
            <w:r>
              <w:rPr>
                <w:rFonts w:hint="eastAsia" w:ascii="宋体" w:hAnsi="宋体" w:eastAsia="宋体" w:cs="宋体"/>
                <w:sz w:val="21"/>
                <w:szCs w:val="21"/>
              </w:rPr>
              <w:t>完整、有一定针对性，</w:t>
            </w:r>
            <w:r>
              <w:rPr>
                <w:rFonts w:hint="eastAsia" w:ascii="宋体" w:hAnsi="宋体" w:eastAsia="宋体" w:cs="宋体"/>
                <w:sz w:val="21"/>
                <w:szCs w:val="21"/>
                <w:lang w:val="en-US" w:eastAsia="zh-CN"/>
              </w:rPr>
              <w:t>基本</w:t>
            </w:r>
            <w:r>
              <w:rPr>
                <w:rFonts w:hint="eastAsia" w:ascii="宋体" w:hAnsi="宋体" w:eastAsia="宋体" w:cs="宋体"/>
                <w:sz w:val="21"/>
                <w:szCs w:val="21"/>
              </w:rPr>
              <w:t>满足项目要求的，得</w:t>
            </w:r>
            <w:r>
              <w:rPr>
                <w:rFonts w:hint="eastAsia" w:ascii="宋体" w:hAnsi="宋体" w:eastAsia="宋体" w:cs="宋体"/>
                <w:sz w:val="21"/>
                <w:szCs w:val="21"/>
                <w:lang w:val="en-US" w:eastAsia="zh-CN"/>
              </w:rPr>
              <w:t>10</w:t>
            </w: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63066A8D">
            <w:pPr>
              <w:widowControl/>
              <w:snapToGrid w:val="0"/>
              <w:spacing w:line="288" w:lineRule="auto"/>
              <w:outlineLvl w:val="2"/>
              <w:rPr>
                <w:rFonts w:hint="default" w:eastAsia="宋体"/>
                <w:lang w:val="en-US" w:eastAsia="zh-CN"/>
              </w:rPr>
            </w:pPr>
            <w:r>
              <w:rPr>
                <w:rFonts w:hint="eastAsia" w:ascii="宋体" w:hAnsi="宋体" w:eastAsia="宋体" w:cs="宋体"/>
                <w:sz w:val="21"/>
                <w:szCs w:val="21"/>
              </w:rPr>
              <w:t>3.供货及服务方案内容不完整，针对性</w:t>
            </w:r>
            <w:r>
              <w:rPr>
                <w:rFonts w:hint="eastAsia" w:ascii="宋体" w:hAnsi="宋体" w:eastAsia="宋体" w:cs="宋体"/>
                <w:sz w:val="21"/>
                <w:szCs w:val="21"/>
                <w:lang w:val="en-US" w:eastAsia="zh-CN"/>
              </w:rPr>
              <w:t>差</w:t>
            </w:r>
            <w:r>
              <w:rPr>
                <w:rFonts w:hint="eastAsia" w:ascii="宋体" w:hAnsi="宋体" w:eastAsia="宋体" w:cs="宋体"/>
                <w:sz w:val="21"/>
                <w:szCs w:val="21"/>
              </w:rPr>
              <w:t>，</w:t>
            </w:r>
            <w:r>
              <w:rPr>
                <w:rFonts w:hint="eastAsia" w:ascii="宋体" w:hAnsi="宋体" w:eastAsia="宋体" w:cs="宋体"/>
                <w:sz w:val="21"/>
                <w:szCs w:val="21"/>
                <w:lang w:val="en-US" w:eastAsia="zh-CN"/>
              </w:rPr>
              <w:t>不</w:t>
            </w:r>
            <w:r>
              <w:rPr>
                <w:rFonts w:hint="eastAsia" w:ascii="宋体" w:hAnsi="宋体" w:eastAsia="宋体" w:cs="宋体"/>
                <w:sz w:val="21"/>
                <w:szCs w:val="21"/>
              </w:rPr>
              <w:t>满足项目要求的，得</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分； </w:t>
            </w:r>
          </w:p>
        </w:tc>
        <w:tc>
          <w:tcPr>
            <w:tcW w:w="1945" w:type="dxa"/>
            <w:noWrap w:val="0"/>
            <w:vAlign w:val="center"/>
          </w:tcPr>
          <w:p w14:paraId="3E52A250">
            <w:pPr>
              <w:snapToGrid w:val="0"/>
              <w:spacing w:line="288" w:lineRule="auto"/>
              <w:rPr>
                <w:rFonts w:hint="eastAsia" w:ascii="宋体" w:hAnsi="宋体" w:cs="宋体"/>
                <w:sz w:val="21"/>
                <w:szCs w:val="21"/>
              </w:rPr>
            </w:pPr>
          </w:p>
        </w:tc>
      </w:tr>
      <w:tr w14:paraId="3DB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78" w:type="dxa"/>
            <w:vMerge w:val="continue"/>
            <w:noWrap w:val="0"/>
            <w:vAlign w:val="center"/>
          </w:tcPr>
          <w:p w14:paraId="7880EA64">
            <w:pPr>
              <w:snapToGrid w:val="0"/>
              <w:spacing w:line="288" w:lineRule="auto"/>
              <w:jc w:val="center"/>
              <w:rPr>
                <w:rFonts w:hint="eastAsia" w:ascii="宋体" w:hAnsi="宋体" w:cs="宋体"/>
                <w:sz w:val="21"/>
                <w:szCs w:val="21"/>
              </w:rPr>
            </w:pPr>
          </w:p>
        </w:tc>
        <w:tc>
          <w:tcPr>
            <w:tcW w:w="1200" w:type="dxa"/>
            <w:vMerge w:val="continue"/>
            <w:noWrap w:val="0"/>
            <w:vAlign w:val="center"/>
          </w:tcPr>
          <w:p w14:paraId="4DD087E5">
            <w:pPr>
              <w:snapToGrid w:val="0"/>
              <w:spacing w:line="288" w:lineRule="auto"/>
              <w:jc w:val="center"/>
              <w:rPr>
                <w:rFonts w:hint="eastAsia" w:ascii="宋体" w:hAnsi="宋体" w:cs="宋体"/>
                <w:sz w:val="21"/>
                <w:szCs w:val="21"/>
              </w:rPr>
            </w:pPr>
          </w:p>
        </w:tc>
        <w:tc>
          <w:tcPr>
            <w:tcW w:w="1523" w:type="dxa"/>
            <w:noWrap w:val="0"/>
            <w:vAlign w:val="center"/>
          </w:tcPr>
          <w:p w14:paraId="4677E944">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所投服装的响应</w:t>
            </w:r>
            <w:r>
              <w:rPr>
                <w:rFonts w:hint="eastAsia" w:ascii="宋体" w:hAnsi="宋体" w:eastAsia="宋体" w:cs="宋体"/>
                <w:color w:val="000000"/>
                <w:sz w:val="21"/>
                <w:szCs w:val="21"/>
                <w:lang w:val="en-US" w:eastAsia="zh-CN"/>
              </w:rPr>
              <w:t>性</w:t>
            </w:r>
            <w:r>
              <w:rPr>
                <w:rFonts w:hint="eastAsia" w:ascii="宋体" w:hAnsi="宋体" w:eastAsia="宋体" w:cs="宋体"/>
                <w:color w:val="000000"/>
                <w:sz w:val="21"/>
                <w:szCs w:val="21"/>
                <w:lang w:eastAsia="zh-CN"/>
              </w:rPr>
              <w:t>评审（满分</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lang w:eastAsia="zh-CN"/>
              </w:rPr>
              <w:t>分）</w:t>
            </w:r>
          </w:p>
        </w:tc>
        <w:tc>
          <w:tcPr>
            <w:tcW w:w="4784" w:type="dxa"/>
            <w:noWrap w:val="0"/>
            <w:vAlign w:val="center"/>
          </w:tcPr>
          <w:p w14:paraId="1CF35247">
            <w:pPr>
              <w:widowControl/>
              <w:snapToGrid w:val="0"/>
              <w:spacing w:line="288" w:lineRule="auto"/>
              <w:jc w:val="both"/>
              <w:outlineLvl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谈判采购文件第二篇“采购清单及技术需求”的要求，供应商所投服装技术参数全部满足谈判采购文件要求无偏离的得基本分10分；所投服装技术参数每有1项实质性优于（正偏离）谈判采购文件要求加1分，最多加5分，每有1项实质性低于（负偏离）谈判采购文件要求的扣1分，扣完为止。</w:t>
            </w:r>
          </w:p>
        </w:tc>
        <w:tc>
          <w:tcPr>
            <w:tcW w:w="1945" w:type="dxa"/>
            <w:noWrap w:val="0"/>
            <w:vAlign w:val="center"/>
          </w:tcPr>
          <w:p w14:paraId="3D934535">
            <w:pPr>
              <w:snapToGrid w:val="0"/>
              <w:spacing w:line="288" w:lineRule="auto"/>
              <w:rPr>
                <w:rFonts w:hint="eastAsia" w:ascii="宋体" w:hAnsi="宋体" w:cs="宋体"/>
                <w:sz w:val="21"/>
                <w:szCs w:val="21"/>
              </w:rPr>
            </w:pPr>
            <w:r>
              <w:rPr>
                <w:rFonts w:hint="eastAsia" w:ascii="宋体" w:hAnsi="宋体" w:eastAsia="宋体" w:cs="宋体"/>
                <w:sz w:val="21"/>
                <w:szCs w:val="21"/>
                <w:lang w:val="en-US" w:eastAsia="zh-CN"/>
              </w:rPr>
              <w:t>针对正（负）偏离，供应商须提供检测报告或其他有效支撑材料予以佐证。未提供相关证明材料的谈判小组不予认可。</w:t>
            </w:r>
          </w:p>
        </w:tc>
      </w:tr>
      <w:tr w14:paraId="41C0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878" w:type="dxa"/>
            <w:vMerge w:val="continue"/>
            <w:noWrap w:val="0"/>
            <w:vAlign w:val="center"/>
          </w:tcPr>
          <w:p w14:paraId="27B4D967">
            <w:pPr>
              <w:snapToGrid w:val="0"/>
              <w:spacing w:line="288" w:lineRule="auto"/>
              <w:jc w:val="center"/>
              <w:rPr>
                <w:rFonts w:hint="eastAsia" w:ascii="宋体" w:hAnsi="宋体" w:cs="宋体"/>
                <w:sz w:val="21"/>
                <w:szCs w:val="21"/>
              </w:rPr>
            </w:pPr>
          </w:p>
        </w:tc>
        <w:tc>
          <w:tcPr>
            <w:tcW w:w="1200" w:type="dxa"/>
            <w:vMerge w:val="continue"/>
            <w:noWrap w:val="0"/>
            <w:vAlign w:val="center"/>
          </w:tcPr>
          <w:p w14:paraId="5B88FEBA">
            <w:pPr>
              <w:snapToGrid w:val="0"/>
              <w:spacing w:line="288" w:lineRule="auto"/>
              <w:jc w:val="center"/>
              <w:rPr>
                <w:rFonts w:hint="eastAsia" w:ascii="宋体" w:hAnsi="宋体" w:cs="宋体"/>
                <w:sz w:val="21"/>
                <w:szCs w:val="21"/>
              </w:rPr>
            </w:pPr>
          </w:p>
        </w:tc>
        <w:tc>
          <w:tcPr>
            <w:tcW w:w="1523" w:type="dxa"/>
            <w:noWrap w:val="0"/>
            <w:vAlign w:val="center"/>
          </w:tcPr>
          <w:p w14:paraId="26942CBB">
            <w:pPr>
              <w:snapToGrid w:val="0"/>
              <w:spacing w:line="288" w:lineRule="auto"/>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质量承诺、服务承诺及保证措施评审（满分</w:t>
            </w:r>
            <w:r>
              <w:rPr>
                <w:rFonts w:hint="eastAsia" w:ascii="宋体" w:hAnsi="宋体" w:eastAsia="宋体" w:cs="宋体"/>
                <w:color w:val="000000"/>
                <w:sz w:val="21"/>
                <w:szCs w:val="21"/>
                <w:lang w:val="en-US" w:eastAsia="zh-CN"/>
              </w:rPr>
              <w:t>15</w:t>
            </w:r>
            <w:r>
              <w:rPr>
                <w:rFonts w:hint="default" w:ascii="宋体" w:hAnsi="宋体" w:eastAsia="宋体" w:cs="宋体"/>
                <w:color w:val="000000"/>
                <w:sz w:val="21"/>
                <w:szCs w:val="21"/>
                <w:lang w:val="en-US" w:eastAsia="zh-CN"/>
              </w:rPr>
              <w:t>分）</w:t>
            </w:r>
          </w:p>
        </w:tc>
        <w:tc>
          <w:tcPr>
            <w:tcW w:w="4784" w:type="dxa"/>
            <w:noWrap w:val="0"/>
            <w:vAlign w:val="center"/>
          </w:tcPr>
          <w:p w14:paraId="23F44359">
            <w:pPr>
              <w:widowControl/>
              <w:snapToGrid w:val="0"/>
              <w:spacing w:line="288" w:lineRule="auto"/>
              <w:outlineLvl w:val="2"/>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1.质量承诺、服务承诺合理、具体，保证措施针对性强的，得</w:t>
            </w:r>
            <w:r>
              <w:rPr>
                <w:rFonts w:hint="eastAsia" w:ascii="宋体" w:hAnsi="宋体" w:eastAsia="宋体" w:cs="宋体"/>
                <w:sz w:val="21"/>
                <w:szCs w:val="21"/>
                <w:lang w:val="en-US" w:eastAsia="zh-CN"/>
              </w:rPr>
              <w:t>11</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15</w:t>
            </w:r>
            <w:r>
              <w:rPr>
                <w:rFonts w:hint="default" w:ascii="宋体" w:hAnsi="宋体" w:eastAsia="宋体" w:cs="宋体"/>
                <w:sz w:val="21"/>
                <w:szCs w:val="21"/>
                <w:lang w:val="en-US" w:eastAsia="zh-CN"/>
              </w:rPr>
              <w:t>分；</w:t>
            </w:r>
          </w:p>
          <w:p w14:paraId="22B5F77D">
            <w:pPr>
              <w:widowControl/>
              <w:snapToGrid w:val="0"/>
              <w:spacing w:line="288" w:lineRule="auto"/>
              <w:outlineLvl w:val="2"/>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2.质量承诺、服务承诺基本合理、具体，保证措施针对性一般的，得</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10</w:t>
            </w:r>
            <w:r>
              <w:rPr>
                <w:rFonts w:hint="default" w:ascii="宋体" w:hAnsi="宋体" w:eastAsia="宋体" w:cs="宋体"/>
                <w:sz w:val="21"/>
                <w:szCs w:val="21"/>
                <w:lang w:val="en-US" w:eastAsia="zh-CN"/>
              </w:rPr>
              <w:t>分；</w:t>
            </w:r>
          </w:p>
          <w:p w14:paraId="786EE5AB">
            <w:pPr>
              <w:widowControl/>
              <w:snapToGrid w:val="0"/>
              <w:spacing w:line="288" w:lineRule="auto"/>
              <w:outlineLvl w:val="2"/>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3.质量承诺、服务承诺一般，保证措施针对性较差的，得0-</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分。</w:t>
            </w:r>
          </w:p>
        </w:tc>
        <w:tc>
          <w:tcPr>
            <w:tcW w:w="1945" w:type="dxa"/>
            <w:noWrap w:val="0"/>
            <w:vAlign w:val="center"/>
          </w:tcPr>
          <w:p w14:paraId="20BFD228">
            <w:pPr>
              <w:snapToGrid w:val="0"/>
              <w:spacing w:line="288" w:lineRule="auto"/>
              <w:rPr>
                <w:rFonts w:hint="eastAsia" w:ascii="宋体" w:hAnsi="宋体" w:cs="宋体"/>
                <w:sz w:val="21"/>
                <w:szCs w:val="21"/>
              </w:rPr>
            </w:pPr>
          </w:p>
        </w:tc>
      </w:tr>
      <w:tr w14:paraId="5440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78" w:type="dxa"/>
            <w:vMerge w:val="continue"/>
            <w:noWrap w:val="0"/>
            <w:vAlign w:val="center"/>
          </w:tcPr>
          <w:p w14:paraId="0A13E102">
            <w:pPr>
              <w:snapToGrid w:val="0"/>
              <w:spacing w:line="288" w:lineRule="auto"/>
              <w:jc w:val="center"/>
              <w:rPr>
                <w:rFonts w:hint="eastAsia" w:ascii="宋体" w:hAnsi="宋体" w:cs="宋体"/>
                <w:sz w:val="21"/>
                <w:szCs w:val="21"/>
              </w:rPr>
            </w:pPr>
          </w:p>
        </w:tc>
        <w:tc>
          <w:tcPr>
            <w:tcW w:w="1200" w:type="dxa"/>
            <w:vMerge w:val="continue"/>
            <w:noWrap w:val="0"/>
            <w:vAlign w:val="center"/>
          </w:tcPr>
          <w:p w14:paraId="69386303">
            <w:pPr>
              <w:snapToGrid w:val="0"/>
              <w:spacing w:line="288" w:lineRule="auto"/>
              <w:jc w:val="center"/>
              <w:rPr>
                <w:rFonts w:hint="eastAsia" w:ascii="宋体" w:hAnsi="宋体" w:cs="宋体"/>
                <w:sz w:val="21"/>
                <w:szCs w:val="21"/>
              </w:rPr>
            </w:pPr>
          </w:p>
        </w:tc>
        <w:tc>
          <w:tcPr>
            <w:tcW w:w="1523" w:type="dxa"/>
            <w:noWrap w:val="0"/>
            <w:vAlign w:val="center"/>
          </w:tcPr>
          <w:p w14:paraId="59D500FE">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1"/>
                <w:sz w:val="21"/>
                <w:szCs w:val="21"/>
                <w:lang w:val="en-US" w:eastAsia="zh-CN"/>
              </w:rPr>
              <w:t>售后服务承诺及保障措施（10分）</w:t>
            </w:r>
          </w:p>
        </w:tc>
        <w:tc>
          <w:tcPr>
            <w:tcW w:w="4784" w:type="dxa"/>
            <w:noWrap w:val="0"/>
            <w:vAlign w:val="center"/>
          </w:tcPr>
          <w:p w14:paraId="42F383CB">
            <w:pPr>
              <w:widowControl/>
              <w:snapToGrid w:val="0"/>
              <w:spacing w:line="288" w:lineRule="auto"/>
              <w:outlineLvl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1.售后服务承诺好且全面，保证措施针对性、可操作性强的，</w:t>
            </w:r>
            <w:r>
              <w:rPr>
                <w:rFonts w:hint="default" w:ascii="宋体" w:hAnsi="宋体" w:eastAsia="宋体" w:cs="宋体"/>
                <w:sz w:val="21"/>
                <w:szCs w:val="21"/>
                <w:lang w:val="en-US" w:eastAsia="zh-CN"/>
              </w:rPr>
              <w:t>得8-10分；</w:t>
            </w:r>
          </w:p>
          <w:p w14:paraId="4B7ED517">
            <w:pPr>
              <w:widowControl/>
              <w:snapToGrid w:val="0"/>
              <w:spacing w:line="288" w:lineRule="auto"/>
              <w:outlineLvl w:val="2"/>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售后服务</w:t>
            </w:r>
            <w:r>
              <w:rPr>
                <w:rFonts w:hint="default" w:ascii="宋体" w:hAnsi="宋体" w:eastAsia="宋体" w:cs="宋体"/>
                <w:sz w:val="21"/>
                <w:szCs w:val="21"/>
                <w:lang w:val="en-US" w:eastAsia="zh-CN"/>
              </w:rPr>
              <w:t>承诺</w:t>
            </w:r>
            <w:r>
              <w:rPr>
                <w:rFonts w:hint="eastAsia" w:ascii="宋体" w:hAnsi="宋体" w:eastAsia="宋体" w:cs="宋体"/>
                <w:sz w:val="21"/>
                <w:szCs w:val="21"/>
                <w:lang w:val="en-US" w:eastAsia="zh-CN"/>
              </w:rPr>
              <w:t>较好</w:t>
            </w:r>
            <w:r>
              <w:rPr>
                <w:rFonts w:hint="default" w:ascii="宋体" w:hAnsi="宋体" w:eastAsia="宋体" w:cs="宋体"/>
                <w:sz w:val="21"/>
                <w:szCs w:val="21"/>
                <w:lang w:val="en-US" w:eastAsia="zh-CN"/>
              </w:rPr>
              <w:t>、保证措施针对性</w:t>
            </w:r>
            <w:r>
              <w:rPr>
                <w:rFonts w:hint="eastAsia" w:ascii="宋体" w:hAnsi="宋体" w:eastAsia="宋体" w:cs="宋体"/>
                <w:sz w:val="21"/>
                <w:szCs w:val="21"/>
                <w:lang w:val="en-US" w:eastAsia="zh-CN"/>
              </w:rPr>
              <w:t>、可操作性</w:t>
            </w:r>
            <w:r>
              <w:rPr>
                <w:rFonts w:hint="default" w:ascii="宋体" w:hAnsi="宋体" w:eastAsia="宋体" w:cs="宋体"/>
                <w:sz w:val="21"/>
                <w:szCs w:val="21"/>
                <w:lang w:val="en-US" w:eastAsia="zh-CN"/>
              </w:rPr>
              <w:t>一般的，得5-7分；</w:t>
            </w:r>
          </w:p>
          <w:p w14:paraId="4417EA9F">
            <w:pPr>
              <w:widowControl/>
              <w:snapToGrid w:val="0"/>
              <w:spacing w:line="288" w:lineRule="auto"/>
              <w:outlineLvl w:val="2"/>
              <w:rPr>
                <w:rFonts w:hint="default"/>
                <w:lang w:val="en-US" w:eastAsia="zh-CN"/>
              </w:rPr>
            </w:pP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售后</w:t>
            </w:r>
            <w:r>
              <w:rPr>
                <w:rFonts w:hint="default" w:ascii="宋体" w:hAnsi="宋体" w:eastAsia="宋体" w:cs="宋体"/>
                <w:sz w:val="21"/>
                <w:szCs w:val="21"/>
                <w:lang w:val="en-US" w:eastAsia="zh-CN"/>
              </w:rPr>
              <w:t>服务承诺一般，保证措施针对性较差的，得0-4分。</w:t>
            </w:r>
          </w:p>
        </w:tc>
        <w:tc>
          <w:tcPr>
            <w:tcW w:w="1945" w:type="dxa"/>
            <w:noWrap w:val="0"/>
            <w:vAlign w:val="center"/>
          </w:tcPr>
          <w:p w14:paraId="427A6923">
            <w:pPr>
              <w:snapToGrid w:val="0"/>
              <w:spacing w:line="288" w:lineRule="auto"/>
              <w:rPr>
                <w:rFonts w:hint="eastAsia" w:ascii="宋体" w:hAnsi="宋体" w:cs="宋体"/>
                <w:sz w:val="21"/>
                <w:szCs w:val="21"/>
              </w:rPr>
            </w:pPr>
          </w:p>
        </w:tc>
      </w:tr>
      <w:tr w14:paraId="613B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8" w:type="dxa"/>
            <w:noWrap w:val="0"/>
            <w:vAlign w:val="center"/>
          </w:tcPr>
          <w:p w14:paraId="487D4FCC">
            <w:pPr>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1200" w:type="dxa"/>
            <w:noWrap w:val="0"/>
            <w:vAlign w:val="center"/>
          </w:tcPr>
          <w:p w14:paraId="7AC8F096">
            <w:pPr>
              <w:snapToGrid w:val="0"/>
              <w:spacing w:line="288" w:lineRule="auto"/>
              <w:jc w:val="center"/>
              <w:rPr>
                <w:rFonts w:hint="eastAsia"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5</w:t>
            </w:r>
            <w:r>
              <w:rPr>
                <w:rFonts w:hint="eastAsia" w:ascii="宋体" w:hAnsi="宋体" w:cs="宋体"/>
                <w:sz w:val="21"/>
                <w:szCs w:val="21"/>
              </w:rPr>
              <w:t>%）</w:t>
            </w:r>
          </w:p>
        </w:tc>
        <w:tc>
          <w:tcPr>
            <w:tcW w:w="1523" w:type="dxa"/>
            <w:noWrap w:val="0"/>
            <w:vAlign w:val="center"/>
          </w:tcPr>
          <w:p w14:paraId="3203DED8">
            <w:pPr>
              <w:pStyle w:val="8"/>
              <w:snapToGrid w:val="0"/>
              <w:spacing w:line="288" w:lineRule="auto"/>
              <w:jc w:val="center"/>
              <w:rPr>
                <w:rFonts w:eastAsia="宋体"/>
                <w:sz w:val="21"/>
                <w:szCs w:val="21"/>
              </w:rPr>
            </w:pPr>
            <w:r>
              <w:rPr>
                <w:rFonts w:hint="eastAsia" w:eastAsia="宋体"/>
                <w:sz w:val="21"/>
                <w:szCs w:val="21"/>
              </w:rPr>
              <w:t>类似项目业绩</w:t>
            </w:r>
          </w:p>
          <w:p w14:paraId="248CB532">
            <w:pPr>
              <w:pStyle w:val="8"/>
              <w:snapToGrid w:val="0"/>
              <w:spacing w:line="288" w:lineRule="auto"/>
              <w:jc w:val="center"/>
              <w:rPr>
                <w:rFonts w:ascii="宋体" w:hAnsi="宋体" w:cs="宋体"/>
                <w:sz w:val="21"/>
                <w:szCs w:val="21"/>
              </w:rPr>
            </w:pPr>
            <w:r>
              <w:rPr>
                <w:rFonts w:hint="eastAsia" w:eastAsia="宋体"/>
                <w:sz w:val="21"/>
                <w:szCs w:val="21"/>
              </w:rPr>
              <w:t>（满分</w:t>
            </w:r>
            <w:r>
              <w:rPr>
                <w:rFonts w:hint="eastAsia" w:eastAsia="宋体"/>
                <w:sz w:val="21"/>
                <w:szCs w:val="21"/>
                <w:lang w:val="en-US" w:eastAsia="zh-CN"/>
              </w:rPr>
              <w:t>5</w:t>
            </w:r>
            <w:r>
              <w:rPr>
                <w:rFonts w:hint="eastAsia" w:eastAsia="宋体"/>
                <w:sz w:val="21"/>
                <w:szCs w:val="21"/>
              </w:rPr>
              <w:t>分）</w:t>
            </w:r>
          </w:p>
        </w:tc>
        <w:tc>
          <w:tcPr>
            <w:tcW w:w="4784" w:type="dxa"/>
            <w:noWrap w:val="0"/>
            <w:vAlign w:val="center"/>
          </w:tcPr>
          <w:p w14:paraId="4BA45703">
            <w:pPr>
              <w:pStyle w:val="8"/>
              <w:snapToGrid w:val="0"/>
              <w:spacing w:line="288" w:lineRule="auto"/>
              <w:rPr>
                <w:rFonts w:hint="eastAsia" w:ascii="宋体" w:hAnsi="宋体" w:cs="宋体"/>
                <w:sz w:val="21"/>
                <w:szCs w:val="21"/>
              </w:rPr>
            </w:pPr>
            <w:r>
              <w:rPr>
                <w:rFonts w:hint="eastAsia" w:eastAsia="宋体"/>
                <w:sz w:val="21"/>
                <w:szCs w:val="21"/>
              </w:rPr>
              <w:t>对202</w:t>
            </w:r>
            <w:r>
              <w:rPr>
                <w:rFonts w:hint="eastAsia" w:eastAsia="宋体"/>
                <w:sz w:val="21"/>
                <w:szCs w:val="21"/>
                <w:lang w:val="en-US" w:eastAsia="zh-CN"/>
              </w:rPr>
              <w:t>1</w:t>
            </w:r>
            <w:r>
              <w:rPr>
                <w:rFonts w:hint="eastAsia" w:eastAsia="宋体"/>
                <w:sz w:val="21"/>
                <w:szCs w:val="21"/>
              </w:rPr>
              <w:t>年至今类似项目业绩进行评审，供应商</w:t>
            </w:r>
            <w:r>
              <w:rPr>
                <w:rFonts w:hint="eastAsia" w:eastAsia="宋体"/>
                <w:sz w:val="21"/>
                <w:szCs w:val="21"/>
                <w:lang w:val="en-US" w:eastAsia="zh-CN"/>
              </w:rPr>
              <w:t>每提供</w:t>
            </w:r>
            <w:r>
              <w:rPr>
                <w:rFonts w:hint="eastAsia" w:eastAsia="宋体"/>
                <w:sz w:val="21"/>
                <w:szCs w:val="21"/>
              </w:rPr>
              <w:t>一个类似</w:t>
            </w:r>
            <w:r>
              <w:rPr>
                <w:rFonts w:hint="eastAsia" w:eastAsia="宋体"/>
                <w:sz w:val="21"/>
                <w:szCs w:val="21"/>
                <w:lang w:val="en-US" w:eastAsia="zh-CN"/>
              </w:rPr>
              <w:t>服装供货</w:t>
            </w:r>
            <w:r>
              <w:rPr>
                <w:rFonts w:hint="eastAsia" w:eastAsia="宋体"/>
                <w:sz w:val="21"/>
                <w:szCs w:val="21"/>
              </w:rPr>
              <w:t>业绩得</w:t>
            </w:r>
            <w:r>
              <w:rPr>
                <w:rFonts w:hint="eastAsia" w:eastAsia="宋体"/>
                <w:sz w:val="21"/>
                <w:szCs w:val="21"/>
                <w:lang w:val="en-US" w:eastAsia="zh-CN"/>
              </w:rPr>
              <w:t>1</w:t>
            </w:r>
            <w:r>
              <w:rPr>
                <w:rFonts w:hint="eastAsia" w:eastAsia="宋体"/>
                <w:sz w:val="21"/>
                <w:szCs w:val="21"/>
              </w:rPr>
              <w:t>分，满分</w:t>
            </w:r>
            <w:r>
              <w:rPr>
                <w:rFonts w:hint="eastAsia" w:eastAsia="宋体"/>
                <w:sz w:val="21"/>
                <w:szCs w:val="21"/>
                <w:lang w:val="en-US" w:eastAsia="zh-CN"/>
              </w:rPr>
              <w:t>5</w:t>
            </w:r>
            <w:r>
              <w:rPr>
                <w:rFonts w:hint="eastAsia" w:eastAsia="宋体"/>
                <w:sz w:val="21"/>
                <w:szCs w:val="21"/>
              </w:rPr>
              <w:t>分</w:t>
            </w:r>
          </w:p>
        </w:tc>
        <w:tc>
          <w:tcPr>
            <w:tcW w:w="1945" w:type="dxa"/>
            <w:noWrap w:val="0"/>
            <w:vAlign w:val="center"/>
          </w:tcPr>
          <w:p w14:paraId="6609C932">
            <w:pPr>
              <w:snapToGrid w:val="0"/>
              <w:spacing w:line="288" w:lineRule="auto"/>
              <w:rPr>
                <w:rFonts w:hint="eastAsia" w:ascii="宋体" w:hAnsi="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业绩证明材料，业绩证明材料可为合同关键页或中标通知书</w:t>
            </w:r>
            <w:r>
              <w:rPr>
                <w:rFonts w:hint="eastAsia" w:ascii="宋体" w:hAnsi="宋体" w:eastAsia="宋体" w:cs="宋体"/>
                <w:sz w:val="21"/>
                <w:szCs w:val="21"/>
                <w:lang w:val="en-US" w:eastAsia="zh-CN"/>
              </w:rPr>
              <w:t>或业主出具证明材料的</w:t>
            </w:r>
            <w:r>
              <w:rPr>
                <w:rFonts w:hint="eastAsia" w:ascii="宋体" w:hAnsi="宋体" w:eastAsia="宋体" w:cs="宋体"/>
                <w:sz w:val="21"/>
                <w:szCs w:val="21"/>
              </w:rPr>
              <w:t>扫描件或复印件</w:t>
            </w:r>
            <w:r>
              <w:rPr>
                <w:rFonts w:hint="eastAsia"/>
              </w:rPr>
              <w:t>。</w:t>
            </w:r>
          </w:p>
        </w:tc>
      </w:tr>
    </w:tbl>
    <w:p w14:paraId="46B8A62B">
      <w:pPr>
        <w:snapToGrid w:val="0"/>
        <w:spacing w:line="312" w:lineRule="auto"/>
        <w:rPr>
          <w:rFonts w:hint="eastAsia" w:ascii="宋体" w:hAnsi="宋体" w:cs="宋体"/>
          <w:sz w:val="24"/>
          <w:szCs w:val="24"/>
        </w:rPr>
      </w:pPr>
      <w:r>
        <w:rPr>
          <w:rFonts w:hint="eastAsia" w:ascii="宋体" w:hAnsi="宋体" w:cs="宋体"/>
          <w:sz w:val="24"/>
          <w:szCs w:val="24"/>
        </w:rPr>
        <w:t xml:space="preserve"> </w:t>
      </w:r>
    </w:p>
    <w:p w14:paraId="6770C576">
      <w:pPr>
        <w:pStyle w:val="4"/>
        <w:spacing w:before="0" w:after="0" w:line="360" w:lineRule="auto"/>
        <w:rPr>
          <w:rFonts w:hint="eastAsia" w:ascii="宋体" w:hAnsi="宋体" w:cs="宋体"/>
          <w:sz w:val="24"/>
          <w:szCs w:val="24"/>
        </w:rPr>
      </w:pPr>
      <w:bookmarkStart w:id="5" w:name="_Toc138018595"/>
      <w:bookmarkStart w:id="6" w:name="_Toc6063"/>
      <w:r>
        <w:rPr>
          <w:rFonts w:hint="eastAsia" w:ascii="宋体" w:hAnsi="宋体" w:cs="宋体"/>
          <w:sz w:val="24"/>
          <w:szCs w:val="24"/>
        </w:rPr>
        <w:t>三、无效响应</w:t>
      </w:r>
      <w:bookmarkEnd w:id="5"/>
      <w:bookmarkEnd w:id="6"/>
    </w:p>
    <w:p w14:paraId="38B01CE5">
      <w:pPr>
        <w:snapToGrid w:val="0"/>
        <w:spacing w:line="360" w:lineRule="auto"/>
        <w:ind w:firstLine="465"/>
        <w:rPr>
          <w:rFonts w:hint="eastAsia" w:ascii="宋体" w:hAnsi="宋体" w:cs="宋体"/>
          <w:sz w:val="24"/>
          <w:szCs w:val="24"/>
        </w:rPr>
      </w:pPr>
      <w:r>
        <w:rPr>
          <w:rFonts w:hint="eastAsia" w:ascii="宋体" w:hAnsi="宋体" w:cs="宋体"/>
          <w:sz w:val="24"/>
          <w:szCs w:val="24"/>
        </w:rPr>
        <w:t>供应商发生以下条款情况之一者，视为无效响应，其响应文件将被拒绝：</w:t>
      </w:r>
    </w:p>
    <w:p w14:paraId="2183BC96">
      <w:pPr>
        <w:snapToGrid w:val="0"/>
        <w:spacing w:line="360" w:lineRule="auto"/>
        <w:ind w:firstLine="465"/>
        <w:rPr>
          <w:rFonts w:hint="eastAsia" w:ascii="宋体" w:hAnsi="宋体" w:cs="宋体"/>
          <w:sz w:val="24"/>
          <w:szCs w:val="24"/>
        </w:rPr>
      </w:pPr>
      <w:r>
        <w:rPr>
          <w:rFonts w:hint="eastAsia" w:ascii="宋体" w:hAnsi="宋体" w:cs="宋体"/>
          <w:sz w:val="24"/>
          <w:szCs w:val="24"/>
        </w:rPr>
        <w:t>（一）供应商不符合规定的基本资格条件；</w:t>
      </w:r>
    </w:p>
    <w:p w14:paraId="71DD9A5F">
      <w:pPr>
        <w:snapToGrid w:val="0"/>
        <w:spacing w:line="360" w:lineRule="auto"/>
        <w:ind w:firstLine="465"/>
        <w:rPr>
          <w:rFonts w:hint="eastAsia" w:ascii="宋体" w:hAnsi="宋体" w:cs="宋体"/>
          <w:sz w:val="24"/>
          <w:szCs w:val="24"/>
        </w:rPr>
      </w:pPr>
      <w:r>
        <w:rPr>
          <w:rFonts w:hint="eastAsia" w:ascii="宋体" w:hAnsi="宋体" w:cs="宋体"/>
          <w:sz w:val="24"/>
          <w:szCs w:val="24"/>
        </w:rPr>
        <w:t>（二）供应商的法定代表人或其授权代表未参加谈判；</w:t>
      </w:r>
    </w:p>
    <w:p w14:paraId="647C3B19">
      <w:pPr>
        <w:snapToGrid w:val="0"/>
        <w:spacing w:line="360" w:lineRule="auto"/>
        <w:ind w:firstLine="465"/>
        <w:rPr>
          <w:rFonts w:hint="eastAsia" w:ascii="宋体" w:hAnsi="宋体" w:cs="宋体"/>
          <w:sz w:val="24"/>
          <w:szCs w:val="24"/>
        </w:rPr>
      </w:pPr>
      <w:r>
        <w:rPr>
          <w:rFonts w:hint="eastAsia" w:ascii="宋体" w:hAnsi="宋体" w:cs="宋体"/>
          <w:sz w:val="24"/>
          <w:szCs w:val="24"/>
        </w:rPr>
        <w:t>（三）供应商所提交的响应文件不按第七篇“响应文件编制要求”规定签字、盖章；</w:t>
      </w:r>
    </w:p>
    <w:p w14:paraId="39FBCF99">
      <w:pPr>
        <w:snapToGrid w:val="0"/>
        <w:spacing w:line="360" w:lineRule="auto"/>
        <w:ind w:firstLine="465"/>
        <w:rPr>
          <w:rFonts w:hint="eastAsia" w:ascii="宋体" w:hAnsi="宋体" w:cs="宋体"/>
          <w:sz w:val="24"/>
          <w:szCs w:val="24"/>
        </w:rPr>
      </w:pPr>
      <w:r>
        <w:rPr>
          <w:rFonts w:hint="eastAsia" w:ascii="宋体" w:hAnsi="宋体" w:cs="宋体"/>
          <w:sz w:val="24"/>
          <w:szCs w:val="24"/>
        </w:rPr>
        <w:t>（四）供应商的最后报价超过采购预算的；</w:t>
      </w:r>
    </w:p>
    <w:p w14:paraId="2BB45D60">
      <w:pPr>
        <w:snapToGrid w:val="0"/>
        <w:spacing w:line="360" w:lineRule="auto"/>
        <w:ind w:firstLine="465"/>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（五）法定代表人为同一个人的两个及两个以上法人，母公司、全资子公司及其控股公司，在同一分包采购中同时参与谈判；</w:t>
      </w:r>
    </w:p>
    <w:p w14:paraId="1518B4D3">
      <w:pPr>
        <w:snapToGrid w:val="0"/>
        <w:spacing w:line="360" w:lineRule="auto"/>
        <w:ind w:firstLine="465"/>
        <w:rPr>
          <w:rFonts w:hint="eastAsia"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717381B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7F08B5D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（八）供应商的服务</w:t>
      </w:r>
      <w:r>
        <w:rPr>
          <w:rFonts w:hint="eastAsia" w:ascii="宋体" w:hAnsi="宋体" w:cs="宋体"/>
          <w:sz w:val="24"/>
          <w:szCs w:val="24"/>
          <w:lang w:val="en-US" w:eastAsia="zh-CN"/>
        </w:rPr>
        <w:t>周期</w:t>
      </w:r>
      <w:r>
        <w:rPr>
          <w:rFonts w:hint="eastAsia" w:ascii="宋体" w:hAnsi="宋体" w:cs="宋体"/>
          <w:sz w:val="24"/>
          <w:szCs w:val="24"/>
        </w:rPr>
        <w:t>、质量</w:t>
      </w:r>
      <w:r>
        <w:rPr>
          <w:rFonts w:hint="eastAsia" w:ascii="宋体" w:hAnsi="宋体" w:cs="宋体"/>
          <w:sz w:val="24"/>
          <w:szCs w:val="24"/>
          <w:lang w:val="en-US" w:eastAsia="zh-CN"/>
        </w:rPr>
        <w:t>要求</w:t>
      </w:r>
      <w:r>
        <w:rPr>
          <w:rFonts w:hint="eastAsia" w:ascii="宋体" w:hAnsi="宋体" w:cs="宋体"/>
          <w:sz w:val="24"/>
          <w:szCs w:val="24"/>
        </w:rPr>
        <w:t>及谈判有效期不满足谈判采购文件要求的；</w:t>
      </w:r>
    </w:p>
    <w:p w14:paraId="0F369224">
      <w:pPr>
        <w:snapToGrid w:val="0"/>
        <w:spacing w:line="360" w:lineRule="auto"/>
        <w:ind w:firstLine="465"/>
        <w:rPr>
          <w:rFonts w:hint="eastAsia"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6381E18D">
      <w:pPr>
        <w:pStyle w:val="4"/>
        <w:spacing w:before="0" w:after="0" w:line="360" w:lineRule="auto"/>
        <w:rPr>
          <w:rFonts w:hint="eastAsia" w:ascii="宋体" w:hAnsi="宋体" w:cs="宋体"/>
          <w:sz w:val="24"/>
          <w:szCs w:val="24"/>
        </w:rPr>
      </w:pPr>
      <w:bookmarkStart w:id="7" w:name="_Toc138018596"/>
      <w:bookmarkStart w:id="8" w:name="_Toc28436"/>
      <w:r>
        <w:rPr>
          <w:rFonts w:hint="eastAsia" w:ascii="宋体" w:hAnsi="宋体" w:cs="宋体"/>
          <w:sz w:val="24"/>
          <w:szCs w:val="24"/>
        </w:rPr>
        <w:t>四、采购终止</w:t>
      </w:r>
      <w:bookmarkEnd w:id="7"/>
      <w:bookmarkEnd w:id="8"/>
    </w:p>
    <w:p w14:paraId="567376CD">
      <w:pPr>
        <w:snapToGrid w:val="0"/>
        <w:spacing w:line="360" w:lineRule="auto"/>
        <w:ind w:firstLine="465"/>
        <w:rPr>
          <w:rFonts w:hint="eastAsia" w:ascii="宋体" w:hAnsi="宋体" w:cs="宋体"/>
          <w:sz w:val="24"/>
          <w:szCs w:val="24"/>
        </w:rPr>
      </w:pPr>
      <w:r>
        <w:rPr>
          <w:rFonts w:hint="eastAsia" w:ascii="宋体" w:hAnsi="宋体" w:cs="宋体"/>
          <w:sz w:val="24"/>
          <w:szCs w:val="24"/>
        </w:rPr>
        <w:t>出现下列情形之一的，采购人应当终止谈判采购采购活动，发布项目终止公告并说明原因，重新开展采购活动：</w:t>
      </w:r>
    </w:p>
    <w:p w14:paraId="2B04FBE7">
      <w:pPr>
        <w:snapToGrid w:val="0"/>
        <w:spacing w:line="360" w:lineRule="auto"/>
        <w:ind w:firstLine="465"/>
        <w:rPr>
          <w:rFonts w:hint="eastAsia" w:ascii="宋体" w:hAnsi="宋体" w:cs="宋体"/>
          <w:sz w:val="24"/>
          <w:szCs w:val="24"/>
        </w:rPr>
      </w:pPr>
      <w:r>
        <w:rPr>
          <w:rFonts w:hint="eastAsia" w:ascii="宋体" w:hAnsi="宋体" w:cs="宋体"/>
          <w:sz w:val="24"/>
          <w:szCs w:val="24"/>
        </w:rPr>
        <w:t>（一）因情况变化，不再符合规定的谈判采购采购方式适用情形的；</w:t>
      </w:r>
    </w:p>
    <w:p w14:paraId="1889E35A">
      <w:pPr>
        <w:snapToGrid w:val="0"/>
        <w:spacing w:line="360" w:lineRule="auto"/>
        <w:ind w:firstLine="465"/>
        <w:rPr>
          <w:rFonts w:hint="eastAsia" w:ascii="宋体" w:hAnsi="宋体" w:cs="宋体"/>
          <w:sz w:val="24"/>
          <w:szCs w:val="24"/>
        </w:rPr>
      </w:pPr>
      <w:r>
        <w:rPr>
          <w:rFonts w:hint="eastAsia" w:ascii="宋体" w:hAnsi="宋体" w:cs="宋体"/>
          <w:sz w:val="24"/>
          <w:szCs w:val="24"/>
        </w:rPr>
        <w:t>（二）出现影响采购公正的违法、违规行为的；</w:t>
      </w:r>
    </w:p>
    <w:p w14:paraId="58842E1A">
      <w:r>
        <w:rPr>
          <w:rFonts w:hint="eastAsia" w:ascii="宋体" w:hAnsi="宋体" w:cs="宋体"/>
          <w:sz w:val="24"/>
          <w:szCs w:val="24"/>
        </w:rPr>
        <w:t>（三）在采购过程中符合要求的供应商或者报价未超过采购预算的供应商不足3家的。</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OTI2ODAxNjdhZjNlYjJhNDM2OTA5YTYwNjIwYWUifQ=="/>
  </w:docVars>
  <w:rsids>
    <w:rsidRoot w:val="7B88613C"/>
    <w:rsid w:val="25406446"/>
    <w:rsid w:val="7B88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7">
    <w:name w:val="图例"/>
    <w:basedOn w:val="1"/>
    <w:qFormat/>
    <w:uiPriority w:val="0"/>
    <w:pPr>
      <w:spacing w:before="120" w:after="120" w:line="360" w:lineRule="auto"/>
      <w:jc w:val="center"/>
    </w:pPr>
    <w:rPr>
      <w:rFonts w:eastAsia="仿宋_GB2312"/>
      <w:b/>
      <w:sz w:val="24"/>
    </w:rPr>
  </w:style>
  <w:style w:type="paragraph" w:customStyle="1" w:styleId="8">
    <w:name w:val="Table Paragraph"/>
    <w:basedOn w:val="1"/>
    <w:unhideWhenUsed/>
    <w:qFormat/>
    <w:uiPriority w:val="99"/>
    <w:pPr>
      <w:autoSpaceDE w:val="0"/>
      <w:autoSpaceDN w:val="0"/>
      <w:jc w:val="left"/>
    </w:pPr>
    <w:rPr>
      <w:rFonts w:eastAsia="等线"/>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2024-07-08T02:21:00Z</dcterms:created>
  <dc:creator>木 木</dc:creator>
  <cp:lastModifiedBy>木 木</cp:lastModifiedBy>
  <dcterms:modified xsi:type="dcterms:W3CDTF">2024-07-08T02:22:29Z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ECC016BD2F814021981CCC95C3AEFC86_11</vt:lpwstr>
  </property>
</Properties>
</file>