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433"/>
        <w:gridCol w:w="838"/>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8" w:type="pct"/>
            <w:vMerge w:val="restart"/>
            <w:noWrap w:val="0"/>
            <w:vAlign w:val="center"/>
          </w:tcPr>
          <w:p>
            <w:pPr>
              <w:jc w:val="center"/>
              <w:rPr>
                <w:b/>
                <w:bCs/>
              </w:rPr>
            </w:pPr>
            <w:r>
              <w:rPr>
                <w:rFonts w:hint="eastAsia"/>
                <w:b/>
                <w:bCs/>
              </w:rPr>
              <w:t>商务部分</w:t>
            </w:r>
          </w:p>
          <w:p>
            <w:pPr>
              <w:jc w:val="center"/>
              <w:rPr>
                <w:rFonts w:ascii="仿宋" w:hAnsi="仿宋" w:eastAsia="仿宋"/>
                <w:sz w:val="24"/>
              </w:rPr>
            </w:pPr>
            <w:r>
              <w:rPr>
                <w:rFonts w:hint="eastAsia"/>
                <w:b/>
                <w:bCs/>
              </w:rPr>
              <w:t>（44</w:t>
            </w:r>
            <w:r>
              <w:rPr>
                <w:b/>
                <w:bCs/>
              </w:rPr>
              <w:t>）</w:t>
            </w:r>
          </w:p>
        </w:tc>
        <w:tc>
          <w:tcPr>
            <w:tcW w:w="774" w:type="pct"/>
            <w:noWrap w:val="0"/>
            <w:vAlign w:val="center"/>
          </w:tcPr>
          <w:p>
            <w:pPr>
              <w:spacing w:line="440" w:lineRule="exact"/>
              <w:jc w:val="center"/>
            </w:pPr>
            <w:r>
              <w:rPr>
                <w:rFonts w:hint="eastAsia"/>
              </w:rPr>
              <w:t>评分内容</w:t>
            </w:r>
          </w:p>
        </w:tc>
        <w:tc>
          <w:tcPr>
            <w:tcW w:w="453" w:type="pct"/>
            <w:noWrap w:val="0"/>
            <w:vAlign w:val="center"/>
          </w:tcPr>
          <w:p>
            <w:pPr>
              <w:spacing w:line="440" w:lineRule="exact"/>
              <w:jc w:val="center"/>
            </w:pPr>
            <w:r>
              <w:rPr>
                <w:rFonts w:hint="eastAsia"/>
              </w:rPr>
              <w:t>分值</w:t>
            </w:r>
          </w:p>
        </w:tc>
        <w:tc>
          <w:tcPr>
            <w:tcW w:w="3044" w:type="pct"/>
            <w:noWrap w:val="0"/>
            <w:vAlign w:val="center"/>
          </w:tcPr>
          <w:p>
            <w:pPr>
              <w:spacing w:line="440" w:lineRule="exact"/>
              <w:jc w:val="center"/>
              <w:rPr>
                <w:szCs w:val="21"/>
              </w:rPr>
            </w:pPr>
            <w:r>
              <w:rPr>
                <w:rFonts w:hint="eastAsia"/>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vMerge w:val="continue"/>
            <w:noWrap w:val="0"/>
            <w:vAlign w:val="center"/>
          </w:tcPr>
          <w:p>
            <w:pPr>
              <w:jc w:val="center"/>
              <w:rPr>
                <w:rFonts w:hint="eastAsia"/>
                <w:b/>
                <w:bCs/>
              </w:rPr>
            </w:pPr>
          </w:p>
        </w:tc>
        <w:tc>
          <w:tcPr>
            <w:tcW w:w="774" w:type="pct"/>
            <w:noWrap w:val="0"/>
            <w:vAlign w:val="center"/>
          </w:tcPr>
          <w:p>
            <w:pPr>
              <w:spacing w:line="360" w:lineRule="auto"/>
              <w:jc w:val="center"/>
              <w:rPr>
                <w:rFonts w:hint="eastAsia"/>
              </w:rPr>
            </w:pPr>
            <w:r>
              <w:rPr>
                <w:rFonts w:hint="eastAsia" w:cs="宋体"/>
                <w:szCs w:val="21"/>
              </w:rPr>
              <w:t>磋商报价</w:t>
            </w:r>
          </w:p>
        </w:tc>
        <w:tc>
          <w:tcPr>
            <w:tcW w:w="453" w:type="pct"/>
            <w:noWrap w:val="0"/>
            <w:vAlign w:val="center"/>
          </w:tcPr>
          <w:p>
            <w:pPr>
              <w:spacing w:line="360" w:lineRule="auto"/>
              <w:jc w:val="center"/>
              <w:rPr>
                <w:rFonts w:hint="eastAsia"/>
              </w:rPr>
            </w:pPr>
            <w:r>
              <w:rPr>
                <w:rFonts w:hint="eastAsia" w:ascii="Times New Roman" w:hAnsi="Times New Roman" w:cs="Times New Roman"/>
              </w:rPr>
              <w:t>10</w:t>
            </w:r>
          </w:p>
        </w:tc>
        <w:tc>
          <w:tcPr>
            <w:tcW w:w="3044" w:type="pct"/>
            <w:noWrap w:val="0"/>
            <w:vAlign w:val="center"/>
          </w:tcPr>
          <w:p>
            <w:pPr>
              <w:spacing w:line="360" w:lineRule="auto"/>
              <w:jc w:val="left"/>
              <w:rPr>
                <w:rFonts w:hint="eastAsia" w:cs="宋体"/>
                <w:bCs/>
                <w:color w:val="000000"/>
                <w:kern w:val="0"/>
                <w:szCs w:val="21"/>
                <w:lang w:bidi="ar"/>
              </w:rPr>
            </w:pPr>
            <w:r>
              <w:rPr>
                <w:rFonts w:hint="eastAsia" w:cs="宋体"/>
                <w:bCs/>
                <w:color w:val="000000"/>
                <w:kern w:val="0"/>
                <w:szCs w:val="21"/>
                <w:lang w:bidi="ar"/>
              </w:rPr>
              <w:t>满足磋商文件要求且最后报价最高的供应商的价格为磋商基准价，其价格分为满分10分。其他供应商的价格分按照下列公式计算：</w:t>
            </w:r>
          </w:p>
          <w:p>
            <w:pPr>
              <w:spacing w:line="360" w:lineRule="auto"/>
              <w:jc w:val="left"/>
              <w:rPr>
                <w:szCs w:val="21"/>
              </w:rPr>
            </w:pPr>
            <w:r>
              <w:rPr>
                <w:rFonts w:hint="eastAsia" w:cs="宋体"/>
                <w:bCs/>
                <w:color w:val="000000"/>
                <w:kern w:val="0"/>
                <w:szCs w:val="21"/>
                <w:lang w:bidi="ar"/>
              </w:rPr>
              <w:t xml:space="preserve">磋商报价得分＝（最后磋商报价/磋商基准价）×10分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vMerge w:val="continue"/>
            <w:noWrap w:val="0"/>
            <w:vAlign w:val="center"/>
          </w:tcPr>
          <w:p>
            <w:pPr>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社保缴纳和纳税情况</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2分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投标人需具有依法缴纳社会保障资金和纳税证明的得2分；未提供的不得分。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jc w:val="center"/>
        </w:trPr>
        <w:tc>
          <w:tcPr>
            <w:tcW w:w="728" w:type="pct"/>
            <w:vMerge w:val="continue"/>
            <w:noWrap w:val="0"/>
            <w:vAlign w:val="center"/>
          </w:tcPr>
          <w:p>
            <w:pPr>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管理体系认证情况</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8分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投标人具备有效期内的:</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 xml:space="preserve">ISO22000食品安全管理体系认证证书； </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 xml:space="preserve">ISO9001质量管理体系认证证书； </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ISO14001环境管理体系认证证书；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ISO45001职业健康管理体系认证证书；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HACCP危害分析与关键控制点体系认证证书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GB/T22080信息安全管理体系认证证书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ISO28000供应链安全管理体系认证证书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RB/T309餐饮管理认证证书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上述证书每具有1个得1分，本项最高得8分，投标文件中放置复印件且加盖公章且附带国家认证认可监督管理委员会官方网站www.cnca.gov,cn查询截图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28" w:type="pct"/>
            <w:vMerge w:val="continue"/>
            <w:noWrap w:val="0"/>
            <w:vAlign w:val="center"/>
          </w:tcPr>
          <w:p>
            <w:pPr>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信用资质</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7分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投标人具有政府部门或有关行政管理部门颁发的有效期内的企业“信用评价AAA级单位”“诚信经营AAA级示范“重合同守信用AAA级企业”“企业AAA级资信等级”“质量服务诚信AAA 级单位” “立信单位3A证书” “AAA 级 诚信供应商”。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上述证书每具有1个得1分，本项最高得7分。投标文件中放置证书复印件并加盖公章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728" w:type="pct"/>
            <w:vMerge w:val="continue"/>
            <w:noWrap w:val="0"/>
            <w:vAlign w:val="center"/>
          </w:tcPr>
          <w:p>
            <w:pPr>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同类项目业绩</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10分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每提供1项(合同在2020年1月1日之后签订或合同的服务期限包含2020年1月1日) 类似餐饮业绩，每个业绩得1分。</w:t>
            </w:r>
          </w:p>
          <w:p>
            <w:pPr>
              <w:spacing w:line="360" w:lineRule="auto"/>
              <w:jc w:val="center"/>
              <w:rPr>
                <w:rFonts w:hint="eastAsia" w:cs="宋体"/>
                <w:bCs/>
                <w:color w:val="000000"/>
                <w:kern w:val="0"/>
                <w:szCs w:val="21"/>
                <w:lang w:bidi="ar"/>
              </w:rPr>
            </w:pPr>
            <w:r>
              <w:rPr>
                <w:rFonts w:hint="eastAsia" w:cs="宋体"/>
                <w:bCs/>
                <w:color w:val="000000"/>
                <w:kern w:val="0"/>
                <w:szCs w:val="21"/>
                <w:lang w:bidi="ar"/>
              </w:rPr>
              <w:t>说明：业绩中至少包含5所学校业绩（同时附带甲方出具的 “无食物中毒事故、无消防事故、无生产事故、无重大投诉等的情况证明”）</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投标文件中放置复印件且加盖公章。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vMerge w:val="continue"/>
            <w:noWrap w:val="0"/>
            <w:vAlign w:val="center"/>
          </w:tcPr>
          <w:p>
            <w:pPr>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企业荣誉</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7分</w:t>
            </w:r>
          </w:p>
        </w:tc>
        <w:tc>
          <w:tcPr>
            <w:tcW w:w="3044" w:type="pct"/>
            <w:noWrap w:val="0"/>
            <w:vAlign w:val="top"/>
          </w:tcPr>
          <w:p>
            <w:pPr>
              <w:spacing w:line="360" w:lineRule="auto"/>
              <w:rPr>
                <w:rFonts w:cs="宋体"/>
                <w:bCs/>
                <w:color w:val="000000"/>
                <w:kern w:val="0"/>
                <w:szCs w:val="21"/>
                <w:lang w:bidi="ar"/>
              </w:rPr>
            </w:pPr>
            <w:r>
              <w:rPr>
                <w:rFonts w:hint="eastAsia" w:cs="宋体"/>
                <w:bCs/>
                <w:color w:val="000000"/>
                <w:kern w:val="0"/>
                <w:szCs w:val="21"/>
                <w:lang w:bidi="ar"/>
              </w:rPr>
              <w:t>1、投标人是国家级协会会员得1分</w:t>
            </w:r>
          </w:p>
          <w:p>
            <w:pPr>
              <w:spacing w:line="360" w:lineRule="auto"/>
              <w:rPr>
                <w:rFonts w:cs="宋体"/>
                <w:bCs/>
                <w:color w:val="000000"/>
                <w:kern w:val="0"/>
                <w:szCs w:val="21"/>
                <w:lang w:bidi="ar"/>
              </w:rPr>
            </w:pPr>
            <w:r>
              <w:rPr>
                <w:rFonts w:hint="eastAsia" w:cs="宋体"/>
                <w:bCs/>
                <w:color w:val="000000"/>
                <w:kern w:val="0"/>
                <w:szCs w:val="21"/>
                <w:lang w:bidi="ar"/>
              </w:rPr>
              <w:t>2、提供获得全国团餐百强荣誉称号1个得1分</w:t>
            </w:r>
          </w:p>
          <w:p>
            <w:pPr>
              <w:spacing w:line="360" w:lineRule="auto"/>
              <w:rPr>
                <w:rFonts w:cs="宋体"/>
                <w:bCs/>
                <w:color w:val="000000"/>
                <w:kern w:val="0"/>
                <w:szCs w:val="21"/>
                <w:lang w:bidi="ar"/>
              </w:rPr>
            </w:pPr>
            <w:r>
              <w:rPr>
                <w:rFonts w:hint="eastAsia" w:cs="宋体"/>
                <w:bCs/>
                <w:color w:val="000000"/>
                <w:kern w:val="0"/>
                <w:szCs w:val="21"/>
                <w:lang w:bidi="ar"/>
              </w:rPr>
              <w:t>3、具有中国教育后勤协会委员证书得1分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4、两年（2022、2023）审计报告年收入超过1.5亿，每提供一年且超过1.5亿得1.5分，本项最高3分；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(提供会计师事务所出具的完整的公司年度财务审计报告复印件并加盖公章)</w:t>
            </w:r>
          </w:p>
          <w:p>
            <w:pPr>
              <w:spacing w:line="360" w:lineRule="auto"/>
              <w:rPr>
                <w:rFonts w:hint="eastAsia" w:cs="宋体"/>
                <w:bCs/>
                <w:color w:val="000000"/>
                <w:kern w:val="0"/>
                <w:szCs w:val="21"/>
                <w:lang w:bidi="ar"/>
              </w:rPr>
            </w:pPr>
            <w:r>
              <w:rPr>
                <w:rFonts w:hint="eastAsia" w:cs="宋体"/>
                <w:bCs/>
                <w:color w:val="000000"/>
                <w:kern w:val="0"/>
                <w:szCs w:val="21"/>
                <w:lang w:bidi="ar"/>
              </w:rPr>
              <w:t>5、中国绿色餐饮企业荣誉证书得1分；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pct"/>
            <w:vMerge w:val="restart"/>
            <w:noWrap w:val="0"/>
            <w:vAlign w:val="center"/>
          </w:tcPr>
          <w:p>
            <w:pPr>
              <w:spacing w:line="440" w:lineRule="exact"/>
              <w:jc w:val="center"/>
              <w:rPr>
                <w:rFonts w:ascii="仿宋" w:hAnsi="仿宋" w:eastAsia="仿宋" w:cs="仿宋"/>
                <w:b/>
                <w:bCs/>
                <w:sz w:val="24"/>
              </w:rPr>
            </w:pPr>
            <w:r>
              <w:rPr>
                <w:rFonts w:hint="eastAsia" w:ascii="仿宋" w:hAnsi="仿宋" w:eastAsia="仿宋" w:cs="仿宋"/>
                <w:b/>
                <w:bCs/>
                <w:sz w:val="24"/>
              </w:rPr>
              <w:t>服务内容部分56</w:t>
            </w: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公众责任保险保障</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2分</w:t>
            </w:r>
          </w:p>
        </w:tc>
        <w:tc>
          <w:tcPr>
            <w:tcW w:w="3044" w:type="pct"/>
            <w:noWrap w:val="0"/>
            <w:vAlign w:val="center"/>
          </w:tcPr>
          <w:p>
            <w:pPr>
              <w:spacing w:line="360" w:lineRule="auto"/>
              <w:rPr>
                <w:rFonts w:hint="eastAsia" w:cs="宋体"/>
                <w:bCs/>
                <w:color w:val="000000"/>
                <w:kern w:val="0"/>
                <w:szCs w:val="21"/>
                <w:lang w:bidi="ar"/>
              </w:rPr>
            </w:pPr>
            <w:r>
              <w:rPr>
                <w:rFonts w:hint="eastAsia" w:cs="宋体"/>
                <w:bCs/>
                <w:color w:val="000000"/>
                <w:kern w:val="0"/>
                <w:szCs w:val="21"/>
                <w:lang w:bidi="ar"/>
              </w:rPr>
              <w:t>投标人承诺为本项目购买 《餐饮场所责任险》保险额度：</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年总保额≥2000万元，得2分：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年总保额≤1000万，得1分：其他不得分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728" w:type="pct"/>
            <w:vMerge w:val="continue"/>
            <w:noWrap w:val="0"/>
            <w:vAlign w:val="center"/>
          </w:tcPr>
          <w:p>
            <w:pPr>
              <w:widowControl/>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val="zh-CN" w:bidi="ar"/>
              </w:rPr>
            </w:pPr>
            <w:r>
              <w:rPr>
                <w:rFonts w:hint="eastAsia" w:cs="宋体"/>
                <w:szCs w:val="21"/>
              </w:rPr>
              <w:t>经营理念及服务方案</w:t>
            </w:r>
          </w:p>
        </w:tc>
        <w:tc>
          <w:tcPr>
            <w:tcW w:w="453" w:type="pct"/>
            <w:noWrap w:val="0"/>
            <w:vAlign w:val="center"/>
          </w:tcPr>
          <w:p>
            <w:pPr>
              <w:spacing w:line="360" w:lineRule="auto"/>
              <w:jc w:val="center"/>
              <w:rPr>
                <w:rFonts w:cs="宋体"/>
                <w:bCs/>
                <w:color w:val="000000"/>
                <w:kern w:val="0"/>
                <w:szCs w:val="21"/>
                <w:lang w:bidi="ar"/>
              </w:rPr>
            </w:pPr>
            <w:r>
              <w:rPr>
                <w:rFonts w:hint="eastAsia" w:cs="宋体"/>
                <w:szCs w:val="21"/>
              </w:rPr>
              <w:t>20</w:t>
            </w:r>
          </w:p>
        </w:tc>
        <w:tc>
          <w:tcPr>
            <w:tcW w:w="3044" w:type="pct"/>
            <w:noWrap w:val="0"/>
            <w:vAlign w:val="center"/>
          </w:tcPr>
          <w:p>
            <w:pPr>
              <w:spacing w:line="360" w:lineRule="auto"/>
              <w:jc w:val="left"/>
              <w:rPr>
                <w:rFonts w:hint="eastAsia" w:cs="宋体"/>
                <w:bCs/>
                <w:color w:val="000000"/>
                <w:kern w:val="0"/>
                <w:szCs w:val="21"/>
                <w:lang w:bidi="ar"/>
              </w:rPr>
            </w:pPr>
            <w:r>
              <w:rPr>
                <w:rFonts w:hint="eastAsia" w:cs="宋体"/>
                <w:bCs/>
                <w:color w:val="000000"/>
                <w:kern w:val="0"/>
                <w:szCs w:val="21"/>
                <w:lang w:bidi="ar"/>
              </w:rPr>
              <w:t>1、针对供应商对学生餐饮种类及各种类花色品种设计（含图片和介绍），特色区域餐饮种类、品种设计（含图片和介绍）等方面丰富5分、较为丰富3分、一般2分，不提供不得分；</w:t>
            </w:r>
            <w:r>
              <w:rPr>
                <w:rFonts w:hint="eastAsia" w:cs="宋体"/>
                <w:bCs/>
                <w:color w:val="000000"/>
                <w:kern w:val="0"/>
                <w:szCs w:val="21"/>
                <w:lang w:bidi="ar"/>
              </w:rPr>
              <w:br w:type="textWrapping"/>
            </w:r>
            <w:r>
              <w:rPr>
                <w:rFonts w:hint="eastAsia" w:cs="宋体"/>
                <w:bCs/>
                <w:color w:val="000000"/>
                <w:kern w:val="0"/>
                <w:szCs w:val="21"/>
                <w:lang w:bidi="ar"/>
              </w:rPr>
              <w:t>2、针对供应商对学生包餐方案提供两周菜单（按13天早、中、晚餐，价格约225元），要求对菜品配置品种及营养配比说明，并按照高中生人均两周菜单进行用料分析、成本核算。食材占比达到50%的得10分，每超过1%增加1分，满分15分，低于50%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6" w:hRule="atLeast"/>
          <w:jc w:val="center"/>
        </w:trPr>
        <w:tc>
          <w:tcPr>
            <w:tcW w:w="728" w:type="pct"/>
            <w:vMerge w:val="continue"/>
            <w:noWrap w:val="0"/>
            <w:vAlign w:val="center"/>
          </w:tcPr>
          <w:p>
            <w:pPr>
              <w:widowControl/>
              <w:spacing w:line="440" w:lineRule="exact"/>
              <w:jc w:val="center"/>
              <w:rPr>
                <w:rFonts w:ascii="仿宋" w:hAnsi="仿宋" w:eastAsia="仿宋" w:cs="仿宋"/>
                <w:b/>
                <w:bCs/>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val="zh-CN" w:bidi="ar"/>
              </w:rPr>
              <w:t>人员配置</w:t>
            </w:r>
            <w:r>
              <w:rPr>
                <w:rFonts w:hint="eastAsia" w:cs="宋体"/>
                <w:bCs/>
                <w:color w:val="000000"/>
                <w:kern w:val="0"/>
                <w:szCs w:val="21"/>
                <w:lang w:bidi="ar"/>
              </w:rPr>
              <w:t>方案</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5分</w:t>
            </w:r>
          </w:p>
        </w:tc>
        <w:tc>
          <w:tcPr>
            <w:tcW w:w="3044" w:type="pct"/>
            <w:noWrap w:val="0"/>
            <w:vAlign w:val="center"/>
          </w:tcPr>
          <w:p>
            <w:pPr>
              <w:spacing w:line="360" w:lineRule="auto"/>
              <w:jc w:val="left"/>
              <w:rPr>
                <w:rFonts w:hint="eastAsia" w:cs="宋体"/>
                <w:bCs/>
                <w:color w:val="000000"/>
                <w:kern w:val="0"/>
                <w:szCs w:val="21"/>
                <w:lang w:bidi="ar"/>
              </w:rPr>
            </w:pPr>
            <w:r>
              <w:rPr>
                <w:rFonts w:hint="eastAsia" w:cs="宋体"/>
                <w:bCs/>
                <w:color w:val="000000"/>
                <w:kern w:val="0"/>
                <w:szCs w:val="21"/>
                <w:lang w:bidi="ar"/>
              </w:rPr>
              <w:t>1、投标人服务团队中，食堂经理（提供证书）具有大专及以上学历同时具备食品安全管理师资格证书的得1分。（提供学校开具的工作年限及能力证明，保障单位服务合同复印件，毕业证书和学信网学历学籍截图等有效学历证明复印件）</w:t>
            </w:r>
          </w:p>
          <w:p>
            <w:pPr>
              <w:spacing w:line="360" w:lineRule="auto"/>
              <w:rPr>
                <w:rFonts w:cs="宋体"/>
                <w:bCs/>
                <w:color w:val="000000"/>
                <w:kern w:val="0"/>
                <w:szCs w:val="21"/>
                <w:lang w:bidi="ar"/>
              </w:rPr>
            </w:pPr>
            <w:r>
              <w:rPr>
                <w:rFonts w:hint="eastAsia" w:cs="宋体"/>
                <w:bCs/>
                <w:color w:val="000000"/>
                <w:kern w:val="0"/>
                <w:szCs w:val="21"/>
                <w:lang w:bidi="ar"/>
              </w:rPr>
              <w:t>2、投标人具有食品安全总监的得1分。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3、投标人服务团队中厨师长具有学校食堂管理经验不少于3年（须提供所管理食堂的业主方出具的相关年限证明及服务合同复印件），得1分。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4、投标人服务团队中员工具备厨师证资格证书的得1分。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5、投标人服务团队中有餐饮食品检验工证书的得1分。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注:持证人应为投标人的正式在册员工，提供投标人用工合同。其中项目经理和厨师长需提供近一年为其缴纳的社保（须有社保中心的电子章和防伪码）材料，补缴的证明无效。未同时提供的不得分。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28" w:type="pct"/>
            <w:vMerge w:val="continue"/>
            <w:noWrap w:val="0"/>
            <w:vAlign w:val="center"/>
          </w:tcPr>
          <w:p>
            <w:pPr>
              <w:spacing w:before="1" w:line="440" w:lineRule="exact"/>
              <w:ind w:left="108"/>
              <w:jc w:val="center"/>
              <w:rPr>
                <w:rFonts w:ascii="仿宋" w:hAnsi="仿宋" w:eastAsia="仿宋" w:cs="仿宋"/>
                <w:b/>
                <w:bCs/>
                <w:kern w:val="0"/>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食堂运营管理方案</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10分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运营服务方案应包括以下内容：总体监控方案、食品质量控制方案、服务质量控制方案、卫生管理控制方案（食品卫生，人员卫生，环境卫生，垃圾处理方案等）、餐厅环境管理方案、操作规程控制管理方案、食品保存管理方案、人员职责与管理方案、投诉处理方案、消防治安及意外事故处理，以及其它服务内容、服务规范、服务标准、服务措施、质量管理、监控体系及说明材料；</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横向对比各投标人提交的食堂运营管理方案：优秀得8-10分；良好得5-7分；一般得1-4分；未提供或较差不得分。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8" w:type="pct"/>
            <w:vMerge w:val="continue"/>
            <w:noWrap w:val="0"/>
            <w:vAlign w:val="center"/>
          </w:tcPr>
          <w:p>
            <w:pPr>
              <w:spacing w:before="1" w:line="440" w:lineRule="exact"/>
              <w:ind w:left="108"/>
              <w:jc w:val="center"/>
              <w:rPr>
                <w:rFonts w:ascii="仿宋" w:hAnsi="仿宋" w:eastAsia="仿宋" w:cs="仿宋"/>
                <w:b/>
                <w:bCs/>
                <w:kern w:val="0"/>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食堂设计方案</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5分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设计效果须以彩图方式呈现，设计思路清析、与需求贴合性高，设计功能完善等方面考虑进行综合评审：优秀得4-5分；良好得3-4分；一般得2分；未提供或较差不得分。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8" w:type="pct"/>
            <w:vMerge w:val="continue"/>
            <w:noWrap w:val="0"/>
            <w:vAlign w:val="center"/>
          </w:tcPr>
          <w:p>
            <w:pPr>
              <w:spacing w:before="1" w:line="440" w:lineRule="exact"/>
              <w:ind w:left="108"/>
              <w:jc w:val="center"/>
              <w:rPr>
                <w:rFonts w:ascii="仿宋" w:hAnsi="仿宋" w:eastAsia="仿宋" w:cs="仿宋"/>
                <w:b/>
                <w:bCs/>
                <w:kern w:val="0"/>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设备维修管理方案及保障措施承诺</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 xml:space="preserve">  </w:t>
            </w:r>
            <w:r>
              <w:rPr>
                <w:rFonts w:hint="eastAsia" w:cs="宋体"/>
                <w:bCs/>
                <w:color w:val="000000"/>
                <w:kern w:val="0"/>
                <w:szCs w:val="21"/>
                <w:lang w:val="en-US" w:eastAsia="zh-CN" w:bidi="ar"/>
              </w:rPr>
              <w:t>4</w:t>
            </w:r>
            <w:r>
              <w:rPr>
                <w:rFonts w:hint="eastAsia" w:cs="宋体"/>
                <w:bCs/>
                <w:color w:val="000000"/>
                <w:kern w:val="0"/>
                <w:szCs w:val="21"/>
                <w:lang w:bidi="ar"/>
              </w:rPr>
              <w:t>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主要从食堂设备设施维修、维护管理方面进行评价：</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维护维修管理方案及保障措施完善且执行性强，得3</w:t>
            </w:r>
            <w:r>
              <w:rPr>
                <w:rFonts w:hint="eastAsia" w:cs="宋体"/>
                <w:bCs/>
                <w:color w:val="000000"/>
                <w:kern w:val="0"/>
                <w:szCs w:val="21"/>
                <w:lang w:val="en-US" w:eastAsia="zh-CN" w:bidi="ar"/>
              </w:rPr>
              <w:t>-4</w:t>
            </w:r>
            <w:bookmarkStart w:id="0" w:name="_GoBack"/>
            <w:bookmarkEnd w:id="0"/>
            <w:r>
              <w:rPr>
                <w:rFonts w:hint="eastAsia" w:cs="宋体"/>
                <w:bCs/>
                <w:color w:val="000000"/>
                <w:kern w:val="0"/>
                <w:szCs w:val="21"/>
                <w:lang w:bidi="ar"/>
              </w:rPr>
              <w:t xml:space="preserve">分；        </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维护维修管理方案及保障措施良好，得2分。</w:t>
            </w:r>
          </w:p>
          <w:p>
            <w:pPr>
              <w:spacing w:line="360" w:lineRule="auto"/>
              <w:jc w:val="left"/>
              <w:rPr>
                <w:rFonts w:hint="eastAsia" w:cs="宋体"/>
                <w:bCs/>
                <w:color w:val="000000"/>
                <w:kern w:val="0"/>
                <w:szCs w:val="21"/>
                <w:lang w:bidi="ar"/>
              </w:rPr>
            </w:pPr>
            <w:r>
              <w:rPr>
                <w:rFonts w:hint="eastAsia" w:cs="宋体"/>
                <w:bCs/>
                <w:color w:val="000000"/>
                <w:kern w:val="0"/>
                <w:szCs w:val="21"/>
                <w:lang w:bidi="ar"/>
              </w:rPr>
              <w:t>护维修管理方案及保障措施一般，得1分。较差或没有0分。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pct"/>
            <w:vMerge w:val="continue"/>
            <w:noWrap w:val="0"/>
            <w:vAlign w:val="center"/>
          </w:tcPr>
          <w:p>
            <w:pPr>
              <w:spacing w:before="1" w:line="440" w:lineRule="exact"/>
              <w:ind w:left="108"/>
              <w:jc w:val="center"/>
              <w:rPr>
                <w:rFonts w:ascii="仿宋" w:hAnsi="仿宋" w:eastAsia="仿宋" w:cs="仿宋"/>
                <w:b/>
                <w:bCs/>
                <w:kern w:val="0"/>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应急措施</w:t>
            </w:r>
          </w:p>
          <w:p>
            <w:pPr>
              <w:spacing w:line="360" w:lineRule="auto"/>
              <w:jc w:val="center"/>
              <w:rPr>
                <w:rFonts w:hint="eastAsia" w:cs="宋体"/>
                <w:bCs/>
                <w:color w:val="000000"/>
                <w:kern w:val="0"/>
                <w:szCs w:val="21"/>
                <w:lang w:bidi="ar"/>
              </w:rPr>
            </w:pPr>
            <w:r>
              <w:rPr>
                <w:rFonts w:hint="eastAsia" w:cs="宋体"/>
                <w:bCs/>
                <w:color w:val="000000"/>
                <w:kern w:val="0"/>
                <w:szCs w:val="21"/>
                <w:lang w:bidi="ar"/>
              </w:rPr>
              <w:t>处理方案</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7分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制定有效可行实施的就餐人员临时陡增应急预案、临时加班就餐应急预案、火警火灾应急处理预案、食物中毒事件应急预案、停水处理预案、停电处理预案等：较好6-7分；一般4-5分；较差 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28" w:type="pct"/>
            <w:vMerge w:val="continue"/>
            <w:noWrap w:val="0"/>
            <w:vAlign w:val="center"/>
          </w:tcPr>
          <w:p>
            <w:pPr>
              <w:spacing w:before="1" w:line="440" w:lineRule="exact"/>
              <w:ind w:left="108"/>
              <w:jc w:val="center"/>
              <w:rPr>
                <w:rFonts w:ascii="仿宋" w:hAnsi="仿宋" w:eastAsia="仿宋" w:cs="仿宋"/>
                <w:b/>
                <w:bCs/>
                <w:kern w:val="0"/>
                <w:sz w:val="24"/>
              </w:rPr>
            </w:pPr>
          </w:p>
        </w:tc>
        <w:tc>
          <w:tcPr>
            <w:tcW w:w="774"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优惠措施</w:t>
            </w:r>
          </w:p>
        </w:tc>
        <w:tc>
          <w:tcPr>
            <w:tcW w:w="453" w:type="pct"/>
            <w:noWrap w:val="0"/>
            <w:vAlign w:val="center"/>
          </w:tcPr>
          <w:p>
            <w:pPr>
              <w:spacing w:line="360" w:lineRule="auto"/>
              <w:jc w:val="center"/>
              <w:rPr>
                <w:rFonts w:hint="eastAsia" w:cs="宋体"/>
                <w:bCs/>
                <w:color w:val="000000"/>
                <w:kern w:val="0"/>
                <w:szCs w:val="21"/>
                <w:lang w:bidi="ar"/>
              </w:rPr>
            </w:pPr>
            <w:r>
              <w:rPr>
                <w:rFonts w:hint="eastAsia" w:cs="宋体"/>
                <w:bCs/>
                <w:color w:val="000000"/>
                <w:kern w:val="0"/>
                <w:szCs w:val="21"/>
                <w:lang w:bidi="ar"/>
              </w:rPr>
              <w:t>3分</w:t>
            </w:r>
          </w:p>
        </w:tc>
        <w:tc>
          <w:tcPr>
            <w:tcW w:w="3044" w:type="pct"/>
            <w:noWrap w:val="0"/>
            <w:vAlign w:val="top"/>
          </w:tcPr>
          <w:p>
            <w:pPr>
              <w:spacing w:line="360" w:lineRule="auto"/>
              <w:jc w:val="left"/>
              <w:rPr>
                <w:rFonts w:hint="eastAsia" w:cs="宋体"/>
                <w:bCs/>
                <w:color w:val="000000"/>
                <w:kern w:val="0"/>
                <w:szCs w:val="21"/>
                <w:lang w:bidi="ar"/>
              </w:rPr>
            </w:pPr>
            <w:r>
              <w:rPr>
                <w:rFonts w:hint="eastAsia" w:cs="宋体"/>
                <w:bCs/>
                <w:color w:val="000000"/>
                <w:kern w:val="0"/>
                <w:szCs w:val="21"/>
                <w:lang w:bidi="ar"/>
              </w:rPr>
              <w:t>在重要节日期间，向学生提供免费和优惠服务，特困生帮困等优惠措施；在服务期间为学校提供其他增值服务的，措施详细、优惠力度、增值服务实用可行等进行综合比较，优3；良2；一般1；未提供或较差不得分。</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2"/>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1276" w:firstLine="0"/>
      </w:pPr>
      <w:rPr>
        <w:rFonts w:cs="Times New Roman"/>
        <w:b w:val="0"/>
        <w:bCs w:val="0"/>
        <w:i w:val="0"/>
        <w:iCs w:val="0"/>
        <w:caps w:val="0"/>
        <w:smallCaps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decimal"/>
      <w:lvlText w:val="%5)"/>
      <w:lvlJc w:val="left"/>
      <w:pPr>
        <w:tabs>
          <w:tab w:val="left" w:pos="1008"/>
        </w:tabs>
        <w:ind w:left="1008" w:hanging="432"/>
      </w:pPr>
      <w:rPr>
        <w:rFonts w:hint="default" w:ascii="Times New Roman"/>
        <w:u w:val="none" w:color="auto"/>
      </w:rPr>
    </w:lvl>
    <w:lvl w:ilvl="5" w:tentative="0">
      <w:start w:val="1"/>
      <w:numFmt w:val="lowerLetter"/>
      <w:lvlText w:val="%6)"/>
      <w:lvlJc w:val="left"/>
      <w:pPr>
        <w:tabs>
          <w:tab w:val="left" w:pos="1152"/>
        </w:tabs>
        <w:ind w:left="1152" w:hanging="432"/>
      </w:pPr>
      <w:rPr>
        <w:rFonts w:hint="default" w:ascii="Times New Roman"/>
        <w:u w:val="none" w:color="auto"/>
      </w:rPr>
    </w:lvl>
    <w:lvl w:ilvl="6" w:tentative="0">
      <w:start w:val="1"/>
      <w:numFmt w:val="lowerRoman"/>
      <w:lvlText w:val="%7)"/>
      <w:lvlJc w:val="right"/>
      <w:pPr>
        <w:tabs>
          <w:tab w:val="left" w:pos="1296"/>
        </w:tabs>
        <w:ind w:left="1296" w:hanging="288"/>
      </w:pPr>
      <w:rPr>
        <w:rFonts w:hint="default" w:ascii="Times New Roman"/>
        <w:u w:val="none" w:color="auto"/>
      </w:rPr>
    </w:lvl>
    <w:lvl w:ilvl="7" w:tentative="0">
      <w:start w:val="1"/>
      <w:numFmt w:val="lowerLetter"/>
      <w:lvlText w:val="%8."/>
      <w:lvlJc w:val="left"/>
      <w:pPr>
        <w:tabs>
          <w:tab w:val="left" w:pos="1440"/>
        </w:tabs>
        <w:ind w:left="1440" w:hanging="432"/>
      </w:pPr>
      <w:rPr>
        <w:rFonts w:hint="default" w:ascii="Times New Roman"/>
        <w:u w:val="none" w:color="auto"/>
      </w:rPr>
    </w:lvl>
    <w:lvl w:ilvl="8" w:tentative="0">
      <w:start w:val="1"/>
      <w:numFmt w:val="lowerRoman"/>
      <w:lvlText w:val="%9."/>
      <w:lvlJc w:val="right"/>
      <w:pPr>
        <w:tabs>
          <w:tab w:val="left" w:pos="1584"/>
        </w:tabs>
        <w:ind w:left="1584" w:hanging="144"/>
      </w:pPr>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7F3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6" w:lineRule="auto"/>
      <w:outlineLvl w:val="1"/>
    </w:pPr>
    <w:rPr>
      <w:rFonts w:ascii="Arial" w:hAnsi="Arial" w:eastAsia="黑体" w:cs="仿宋_GB2312"/>
      <w:b/>
      <w:bCs/>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2024-06-21T03:38:51Z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