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12" w:after="312"/>
        <w:rPr>
          <w:rFonts w:hint="eastAsia"/>
          <w:color w:val="auto"/>
          <w:highlight w:val="none"/>
        </w:rPr>
      </w:pPr>
      <w:r>
        <w:rPr>
          <w:rFonts w:hint="eastAsia"/>
          <w:color w:val="auto"/>
          <w:highlight w:val="none"/>
        </w:rPr>
        <w:t>评审办法</w:t>
      </w:r>
    </w:p>
    <w:p>
      <w:pPr>
        <w:pStyle w:val="6"/>
        <w:spacing w:before="156" w:after="156"/>
        <w:jc w:val="center"/>
        <w:rPr>
          <w:color w:val="auto"/>
          <w:highlight w:val="none"/>
        </w:rPr>
      </w:pPr>
      <w:bookmarkStart w:id="0" w:name="bookmark50"/>
      <w:bookmarkStart w:id="1" w:name="_Toc31810"/>
      <w:r>
        <w:rPr>
          <w:rFonts w:hint="eastAsia"/>
          <w:color w:val="auto"/>
          <w:highlight w:val="none"/>
        </w:rPr>
        <w:t>评审办法前附表</w:t>
      </w:r>
      <w:bookmarkEnd w:id="0"/>
      <w:bookmarkEnd w:id="1"/>
    </w:p>
    <w:tbl>
      <w:tblPr>
        <w:tblStyle w:val="8"/>
        <w:tblW w:w="9958" w:type="dxa"/>
        <w:tblInd w:w="-151" w:type="dxa"/>
        <w:tblLayout w:type="fixed"/>
        <w:tblCellMar>
          <w:top w:w="0" w:type="dxa"/>
          <w:left w:w="10" w:type="dxa"/>
          <w:bottom w:w="0" w:type="dxa"/>
          <w:right w:w="10" w:type="dxa"/>
        </w:tblCellMar>
      </w:tblPr>
      <w:tblGrid>
        <w:gridCol w:w="698"/>
        <w:gridCol w:w="1021"/>
        <w:gridCol w:w="2548"/>
        <w:gridCol w:w="5691"/>
      </w:tblGrid>
      <w:tr>
        <w:tblPrEx>
          <w:tblCellMar>
            <w:top w:w="0" w:type="dxa"/>
            <w:left w:w="10" w:type="dxa"/>
            <w:bottom w:w="0" w:type="dxa"/>
            <w:right w:w="10" w:type="dxa"/>
          </w:tblCellMar>
        </w:tblPrEx>
        <w:trPr>
          <w:trHeight w:val="150" w:hRule="atLeast"/>
        </w:trPr>
        <w:tc>
          <w:tcPr>
            <w:tcW w:w="1719" w:type="dxa"/>
            <w:gridSpan w:val="2"/>
            <w:tcBorders>
              <w:top w:val="single" w:color="auto" w:sz="4" w:space="0"/>
              <w:left w:val="single" w:color="auto" w:sz="4" w:space="0"/>
              <w:bottom w:val="nil"/>
              <w:right w:val="nil"/>
            </w:tcBorders>
            <w:shd w:val="clear" w:color="auto" w:fill="FFFFFF"/>
          </w:tcPr>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条款号及名称</w:t>
            </w:r>
          </w:p>
        </w:tc>
        <w:tc>
          <w:tcPr>
            <w:tcW w:w="2548" w:type="dxa"/>
            <w:tcBorders>
              <w:top w:val="single" w:color="auto" w:sz="4" w:space="0"/>
              <w:left w:val="single" w:color="auto" w:sz="4" w:space="0"/>
              <w:bottom w:val="nil"/>
              <w:right w:val="nil"/>
            </w:tcBorders>
            <w:shd w:val="clear" w:color="auto" w:fill="FFFFFF"/>
          </w:tcPr>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评审因素</w:t>
            </w:r>
          </w:p>
        </w:tc>
        <w:tc>
          <w:tcPr>
            <w:tcW w:w="5691" w:type="dxa"/>
            <w:tcBorders>
              <w:top w:val="single" w:color="auto" w:sz="4" w:space="0"/>
              <w:left w:val="single" w:color="auto" w:sz="4" w:space="0"/>
              <w:bottom w:val="nil"/>
              <w:right w:val="single" w:color="auto" w:sz="4" w:space="0"/>
            </w:tcBorders>
            <w:shd w:val="clear" w:color="auto" w:fill="FFFFFF"/>
          </w:tcPr>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评审标准</w:t>
            </w:r>
          </w:p>
        </w:tc>
      </w:tr>
      <w:tr>
        <w:tblPrEx>
          <w:tblCellMar>
            <w:top w:w="0" w:type="dxa"/>
            <w:left w:w="10" w:type="dxa"/>
            <w:bottom w:w="0" w:type="dxa"/>
            <w:right w:w="10" w:type="dxa"/>
          </w:tblCellMar>
        </w:tblPrEx>
        <w:trPr>
          <w:trHeight w:val="286" w:hRule="atLeast"/>
        </w:trPr>
        <w:tc>
          <w:tcPr>
            <w:tcW w:w="698" w:type="dxa"/>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1</w:t>
            </w:r>
          </w:p>
        </w:tc>
        <w:tc>
          <w:tcPr>
            <w:tcW w:w="1021" w:type="dxa"/>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评审方法</w:t>
            </w:r>
          </w:p>
        </w:tc>
        <w:tc>
          <w:tcPr>
            <w:tcW w:w="2548" w:type="dxa"/>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评审方法</w:t>
            </w:r>
          </w:p>
        </w:tc>
        <w:tc>
          <w:tcPr>
            <w:tcW w:w="5691" w:type="dxa"/>
            <w:tcBorders>
              <w:top w:val="single" w:color="auto" w:sz="4" w:space="0"/>
              <w:left w:val="single" w:color="auto" w:sz="4" w:space="0"/>
              <w:bottom w:val="nil"/>
              <w:right w:val="single" w:color="auto" w:sz="4" w:space="0"/>
            </w:tcBorders>
            <w:shd w:val="clear" w:color="auto" w:fill="FFFFFF"/>
            <w:vAlign w:val="center"/>
          </w:tcPr>
          <w:p>
            <w:pPr>
              <w:spacing w:line="276" w:lineRule="auto"/>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□最低价法 </w:t>
            </w:r>
          </w:p>
          <w:p>
            <w:pPr>
              <w:spacing w:line="276" w:lineRule="auto"/>
              <w:ind w:firstLine="420" w:firstLineChars="200"/>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sym w:font="Wingdings 2" w:char="0052"/>
            </w:r>
            <w:r>
              <w:rPr>
                <w:rFonts w:hint="eastAsia" w:ascii="Times New Roman" w:hAnsi="Times New Roman" w:eastAsia="宋体"/>
                <w:color w:val="auto"/>
                <w:sz w:val="21"/>
                <w:szCs w:val="21"/>
                <w:highlight w:val="none"/>
              </w:rPr>
              <w:t>综合评分法</w:t>
            </w:r>
          </w:p>
        </w:tc>
      </w:tr>
      <w:tr>
        <w:tblPrEx>
          <w:tblCellMar>
            <w:top w:w="0" w:type="dxa"/>
            <w:left w:w="10" w:type="dxa"/>
            <w:bottom w:w="0" w:type="dxa"/>
            <w:right w:w="10" w:type="dxa"/>
          </w:tblCellMar>
        </w:tblPrEx>
        <w:trPr>
          <w:trHeight w:val="306" w:hRule="atLeast"/>
        </w:trPr>
        <w:tc>
          <w:tcPr>
            <w:tcW w:w="698" w:type="dxa"/>
            <w:vMerge w:val="restart"/>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lang w:eastAsia="en-US" w:bidi="en-US"/>
              </w:rPr>
              <w:t xml:space="preserve">2. 1. </w:t>
            </w:r>
            <w:r>
              <w:rPr>
                <w:rFonts w:hint="eastAsia" w:ascii="Times New Roman" w:hAnsi="Times New Roman" w:eastAsia="宋体"/>
                <w:color w:val="auto"/>
                <w:sz w:val="21"/>
                <w:szCs w:val="21"/>
                <w:highlight w:val="none"/>
              </w:rPr>
              <w:t>1</w:t>
            </w:r>
          </w:p>
        </w:tc>
        <w:tc>
          <w:tcPr>
            <w:tcW w:w="1021" w:type="dxa"/>
            <w:vMerge w:val="restart"/>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形式评审 标准</w:t>
            </w:r>
          </w:p>
        </w:tc>
        <w:tc>
          <w:tcPr>
            <w:tcW w:w="2548" w:type="dxa"/>
            <w:tcBorders>
              <w:top w:val="single" w:color="auto" w:sz="4" w:space="0"/>
              <w:left w:val="single" w:color="auto" w:sz="4" w:space="0"/>
              <w:bottom w:val="nil"/>
              <w:right w:val="nil"/>
            </w:tcBorders>
            <w:shd w:val="clear" w:color="auto" w:fill="FFFFFF"/>
            <w:vAlign w:val="center"/>
          </w:tcPr>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供应商名称</w:t>
            </w:r>
          </w:p>
        </w:tc>
        <w:tc>
          <w:tcPr>
            <w:tcW w:w="5691" w:type="dxa"/>
            <w:tcBorders>
              <w:top w:val="single" w:color="auto" w:sz="4" w:space="0"/>
              <w:left w:val="single" w:color="auto" w:sz="4" w:space="0"/>
              <w:bottom w:val="nil"/>
              <w:right w:val="single" w:color="auto" w:sz="4" w:space="0"/>
            </w:tcBorders>
            <w:shd w:val="clear" w:color="auto" w:fill="FFFFFF"/>
            <w:vAlign w:val="center"/>
          </w:tcPr>
          <w:p>
            <w:pPr>
              <w:spacing w:line="276" w:lineRule="auto"/>
              <w:ind w:firstLine="420" w:firstLineChars="200"/>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与市场监管部门或其他行政机关颁发的可以合法开展业务的执照或证书一致</w:t>
            </w:r>
          </w:p>
        </w:tc>
      </w:tr>
      <w:tr>
        <w:tblPrEx>
          <w:tblCellMar>
            <w:top w:w="0" w:type="dxa"/>
            <w:left w:w="10" w:type="dxa"/>
            <w:bottom w:w="0" w:type="dxa"/>
            <w:right w:w="10" w:type="dxa"/>
          </w:tblCellMar>
        </w:tblPrEx>
        <w:trPr>
          <w:trHeight w:val="166" w:hRule="atLeast"/>
        </w:trPr>
        <w:tc>
          <w:tcPr>
            <w:tcW w:w="698" w:type="dxa"/>
            <w:vMerge w:val="continue"/>
            <w:tcBorders>
              <w:top w:val="single" w:color="auto" w:sz="4" w:space="0"/>
              <w:left w:val="single" w:color="auto" w:sz="4" w:space="0"/>
              <w:bottom w:val="nil"/>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nil"/>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nil"/>
              <w:right w:val="nil"/>
            </w:tcBorders>
            <w:shd w:val="clear" w:color="auto" w:fill="FFFFFF"/>
          </w:tcPr>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响应文件签字盖章</w:t>
            </w:r>
          </w:p>
        </w:tc>
        <w:tc>
          <w:tcPr>
            <w:tcW w:w="5691" w:type="dxa"/>
            <w:tcBorders>
              <w:top w:val="single" w:color="auto" w:sz="4" w:space="0"/>
              <w:left w:val="single" w:color="auto" w:sz="4" w:space="0"/>
              <w:bottom w:val="nil"/>
              <w:right w:val="single" w:color="auto" w:sz="4" w:space="0"/>
            </w:tcBorders>
            <w:shd w:val="clear" w:color="auto" w:fill="FFFFFF"/>
          </w:tcPr>
          <w:p>
            <w:pPr>
              <w:spacing w:line="276" w:lineRule="auto"/>
              <w:ind w:firstLine="420" w:firstLineChars="200"/>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符合第二章第</w:t>
            </w:r>
            <w:r>
              <w:rPr>
                <w:rFonts w:hint="eastAsia" w:ascii="Times New Roman" w:hAnsi="Times New Roman" w:eastAsia="宋体"/>
                <w:color w:val="auto"/>
                <w:sz w:val="21"/>
                <w:szCs w:val="21"/>
                <w:highlight w:val="none"/>
                <w:lang w:bidi="en-US"/>
              </w:rPr>
              <w:t xml:space="preserve">3. 7. </w:t>
            </w:r>
            <w:r>
              <w:rPr>
                <w:rFonts w:hint="eastAsia" w:ascii="Times New Roman" w:hAnsi="Times New Roman" w:eastAsia="宋体"/>
                <w:color w:val="auto"/>
                <w:sz w:val="21"/>
                <w:szCs w:val="21"/>
                <w:highlight w:val="none"/>
              </w:rPr>
              <w:t>2项及第</w:t>
            </w:r>
            <w:r>
              <w:rPr>
                <w:rFonts w:hint="eastAsia" w:ascii="Times New Roman" w:hAnsi="Times New Roman" w:eastAsia="宋体"/>
                <w:color w:val="auto"/>
                <w:sz w:val="21"/>
                <w:szCs w:val="21"/>
                <w:highlight w:val="none"/>
                <w:lang w:bidi="en-US"/>
              </w:rPr>
              <w:t xml:space="preserve">3. 7. </w:t>
            </w:r>
            <w:r>
              <w:rPr>
                <w:rFonts w:hint="eastAsia" w:ascii="Times New Roman" w:hAnsi="Times New Roman" w:eastAsia="宋体"/>
                <w:color w:val="auto"/>
                <w:sz w:val="21"/>
                <w:szCs w:val="21"/>
                <w:highlight w:val="none"/>
              </w:rPr>
              <w:t>3项的规定</w:t>
            </w:r>
          </w:p>
        </w:tc>
      </w:tr>
      <w:tr>
        <w:tblPrEx>
          <w:tblCellMar>
            <w:top w:w="0" w:type="dxa"/>
            <w:left w:w="10" w:type="dxa"/>
            <w:bottom w:w="0" w:type="dxa"/>
            <w:right w:w="10" w:type="dxa"/>
          </w:tblCellMar>
        </w:tblPrEx>
        <w:trPr>
          <w:trHeight w:val="309" w:hRule="atLeast"/>
        </w:trPr>
        <w:tc>
          <w:tcPr>
            <w:tcW w:w="698" w:type="dxa"/>
            <w:vMerge w:val="restart"/>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lang w:eastAsia="en-US" w:bidi="en-US"/>
              </w:rPr>
              <w:t>2. 1.2</w:t>
            </w:r>
          </w:p>
        </w:tc>
        <w:tc>
          <w:tcPr>
            <w:tcW w:w="1021" w:type="dxa"/>
            <w:vMerge w:val="restart"/>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rPr>
              <w:t xml:space="preserve">资格评审 </w:t>
            </w:r>
            <w:r>
              <w:rPr>
                <w:rFonts w:hint="eastAsia" w:ascii="Times New Roman" w:hAnsi="Times New Roman" w:eastAsia="宋体"/>
                <w:color w:val="auto"/>
                <w:sz w:val="21"/>
                <w:szCs w:val="21"/>
                <w:highlight w:val="none"/>
                <w:lang w:val="en-US" w:eastAsia="zh-CN"/>
              </w:rPr>
              <w:t xml:space="preserve"> </w:t>
            </w:r>
          </w:p>
          <w:p>
            <w:pPr>
              <w:spacing w:line="276" w:lineRule="auto"/>
              <w:jc w:val="center"/>
              <w:rPr>
                <w:rFonts w:hint="eastAsia" w:ascii="Times New Roman" w:hAnsi="Times New Roman" w:eastAsia="宋体"/>
                <w:color w:val="auto"/>
                <w:sz w:val="21"/>
                <w:szCs w:val="21"/>
                <w:highlight w:val="none"/>
                <w:lang w:val="en-US" w:eastAsia="zh-CN"/>
              </w:rPr>
            </w:pPr>
          </w:p>
          <w:p>
            <w:pPr>
              <w:spacing w:line="276" w:lineRule="auto"/>
              <w:jc w:val="center"/>
              <w:rPr>
                <w:rFonts w:ascii="Times New Roman" w:hAnsi="Times New Roman" w:eastAsia="宋体"/>
                <w:color w:val="auto"/>
                <w:sz w:val="21"/>
                <w:szCs w:val="21"/>
                <w:highlight w:val="none"/>
                <w:lang w:val="zh-TW" w:eastAsia="zh-TW" w:bidi="zh-TW"/>
              </w:rPr>
            </w:pPr>
            <w:r>
              <w:rPr>
                <w:rFonts w:hint="eastAsia" w:ascii="Times New Roman" w:hAnsi="Times New Roman" w:eastAsia="宋体"/>
                <w:color w:val="auto"/>
                <w:sz w:val="21"/>
                <w:szCs w:val="21"/>
                <w:highlight w:val="none"/>
              </w:rPr>
              <w:t>标准</w:t>
            </w:r>
          </w:p>
        </w:tc>
        <w:tc>
          <w:tcPr>
            <w:tcW w:w="2548" w:type="dxa"/>
            <w:tcBorders>
              <w:top w:val="single" w:color="auto" w:sz="4" w:space="0"/>
              <w:left w:val="single" w:color="auto" w:sz="4" w:space="0"/>
              <w:bottom w:val="nil"/>
              <w:right w:val="nil"/>
            </w:tcBorders>
            <w:shd w:val="clear" w:color="auto" w:fill="FFFFFF"/>
            <w:vAlign w:val="center"/>
          </w:tcPr>
          <w:p>
            <w:pPr>
              <w:spacing w:line="276" w:lineRule="auto"/>
              <w:jc w:val="center"/>
              <w:rPr>
                <w:rFonts w:hint="default"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营业执照</w:t>
            </w:r>
          </w:p>
        </w:tc>
        <w:tc>
          <w:tcPr>
            <w:tcW w:w="5691" w:type="dxa"/>
            <w:tcBorders>
              <w:top w:val="single" w:color="auto" w:sz="4" w:space="0"/>
              <w:left w:val="single" w:color="auto" w:sz="4" w:space="0"/>
              <w:bottom w:val="nil"/>
              <w:right w:val="single" w:color="auto" w:sz="4" w:space="0"/>
            </w:tcBorders>
            <w:shd w:val="clear" w:color="auto" w:fill="FFFFFF"/>
            <w:vAlign w:val="center"/>
          </w:tcPr>
          <w:p>
            <w:pPr>
              <w:spacing w:line="276" w:lineRule="auto"/>
              <w:ind w:firstLine="420" w:firstLineChars="200"/>
              <w:rPr>
                <w:rFonts w:hint="default"/>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须在中国境内注册，能在国内合法提供采购内容及其相应服务的企业，持有效的营业执照</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lang w:val="en-US" w:eastAsia="zh-CN"/>
              </w:rPr>
              <w:t>审查营业执照复印件</w:t>
            </w:r>
          </w:p>
        </w:tc>
      </w:tr>
      <w:tr>
        <w:tblPrEx>
          <w:tblCellMar>
            <w:top w:w="0" w:type="dxa"/>
            <w:left w:w="10" w:type="dxa"/>
            <w:bottom w:w="0" w:type="dxa"/>
            <w:right w:w="10" w:type="dxa"/>
          </w:tblCellMar>
        </w:tblPrEx>
        <w:trPr>
          <w:trHeight w:val="412"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nil"/>
              <w:right w:val="nil"/>
            </w:tcBorders>
            <w:shd w:val="clear" w:color="auto" w:fill="FFFFFF"/>
            <w:vAlign w:val="center"/>
          </w:tcPr>
          <w:p>
            <w:pPr>
              <w:spacing w:line="276" w:lineRule="auto"/>
              <w:jc w:val="center"/>
              <w:rPr>
                <w:rFonts w:hint="default"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资质证书</w:t>
            </w:r>
          </w:p>
        </w:tc>
        <w:tc>
          <w:tcPr>
            <w:tcW w:w="5691" w:type="dxa"/>
            <w:tcBorders>
              <w:top w:val="single" w:color="auto" w:sz="4" w:space="0"/>
              <w:left w:val="single" w:color="auto" w:sz="4" w:space="0"/>
              <w:bottom w:val="nil"/>
              <w:right w:val="single" w:color="auto" w:sz="4" w:space="0"/>
            </w:tcBorders>
            <w:shd w:val="clear" w:color="auto" w:fill="FFFFFF"/>
            <w:vAlign w:val="center"/>
          </w:tcPr>
          <w:p>
            <w:pPr>
              <w:spacing w:line="276" w:lineRule="auto"/>
              <w:ind w:firstLine="420" w:firstLineChars="200"/>
              <w:rPr>
                <w:rFonts w:hint="default"/>
                <w:color w:val="auto"/>
                <w:highlight w:val="none"/>
                <w:lang w:val="en-US" w:eastAsia="zh-CN"/>
              </w:rPr>
            </w:pPr>
            <w:r>
              <w:rPr>
                <w:rFonts w:hint="eastAsia"/>
                <w:color w:val="auto"/>
                <w:highlight w:val="none"/>
                <w:lang w:val="en-US" w:eastAsia="zh-CN"/>
              </w:rPr>
              <w:t>具备建筑工程施工总承包三级及以上资质、并具备有效的安全生产许可证。审查资质证书和安全生产许可证复印件。</w:t>
            </w:r>
          </w:p>
        </w:tc>
      </w:tr>
      <w:tr>
        <w:tblPrEx>
          <w:tblCellMar>
            <w:top w:w="0" w:type="dxa"/>
            <w:left w:w="10" w:type="dxa"/>
            <w:bottom w:w="0" w:type="dxa"/>
            <w:right w:w="10" w:type="dxa"/>
          </w:tblCellMar>
        </w:tblPrEx>
        <w:trPr>
          <w:trHeight w:val="683"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hint="default"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项目负责人情况</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ind w:firstLine="420" w:firstLineChars="200"/>
              <w:rPr>
                <w:rFonts w:hint="eastAsia"/>
                <w:color w:val="auto"/>
                <w:sz w:val="21"/>
                <w:szCs w:val="21"/>
                <w:highlight w:val="none"/>
                <w:lang w:val="zh-TW" w:eastAsia="zh-TW"/>
              </w:rPr>
            </w:pPr>
            <w:r>
              <w:rPr>
                <w:rFonts w:hint="eastAsia"/>
                <w:color w:val="auto"/>
                <w:sz w:val="21"/>
                <w:szCs w:val="21"/>
                <w:highlight w:val="none"/>
                <w:lang w:val="en-US" w:eastAsia="zh-CN"/>
              </w:rPr>
              <w:t>供应商拟派负责人须具有注册建造师证二级（含）以上，并取得安全生产考核合格证书。审查负责人建造师证书和安全生产考核合格证复印件</w:t>
            </w:r>
          </w:p>
        </w:tc>
      </w:tr>
      <w:tr>
        <w:tblPrEx>
          <w:tblCellMar>
            <w:top w:w="0" w:type="dxa"/>
            <w:left w:w="10" w:type="dxa"/>
            <w:bottom w:w="0" w:type="dxa"/>
            <w:right w:w="10" w:type="dxa"/>
          </w:tblCellMar>
        </w:tblPrEx>
        <w:trPr>
          <w:trHeight w:val="683"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hint="default"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信誉情况</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ind w:firstLine="420" w:firstLineChars="200"/>
              <w:rPr>
                <w:rFonts w:hint="default"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202</w:t>
            </w:r>
            <w:r>
              <w:rPr>
                <w:rFonts w:hint="eastAsia" w:ascii="宋体" w:hAnsi="宋体" w:eastAsia="宋体" w:cs="宋体"/>
                <w:i w:val="0"/>
                <w:iCs w:val="0"/>
                <w:caps w:val="0"/>
                <w:color w:val="auto"/>
                <w:spacing w:val="0"/>
                <w:sz w:val="21"/>
                <w:szCs w:val="21"/>
                <w:highlight w:val="none"/>
                <w:shd w:val="clear" w:fill="FFFFFF"/>
                <w:lang w:val="en-US" w:eastAsia="zh-CN"/>
              </w:rPr>
              <w:t>1</w:t>
            </w:r>
            <w:r>
              <w:rPr>
                <w:rFonts w:hint="eastAsia" w:ascii="宋体" w:hAnsi="宋体" w:eastAsia="宋体" w:cs="宋体"/>
                <w:i w:val="0"/>
                <w:iCs w:val="0"/>
                <w:caps w:val="0"/>
                <w:color w:val="auto"/>
                <w:spacing w:val="0"/>
                <w:sz w:val="21"/>
                <w:szCs w:val="21"/>
                <w:highlight w:val="none"/>
                <w:shd w:val="clear" w:fill="FFFFFF"/>
              </w:rPr>
              <w:t>年1月1日至今，供应商没有处于被责令停业，投标资格被暂停或取消，财产被接管、冻结、破产等状态，无国家禁止市场准入等情形，未出现重大安全事故等情形，供应商信誉良好，无不良行为记录；</w:t>
            </w:r>
            <w:r>
              <w:rPr>
                <w:rFonts w:hint="eastAsia" w:ascii="宋体" w:hAnsi="宋体" w:eastAsia="宋体" w:cs="宋体"/>
                <w:i w:val="0"/>
                <w:iCs w:val="0"/>
                <w:caps w:val="0"/>
                <w:color w:val="auto"/>
                <w:spacing w:val="0"/>
                <w:sz w:val="21"/>
                <w:szCs w:val="21"/>
                <w:highlight w:val="none"/>
                <w:shd w:val="clear" w:fill="FFFFFF"/>
                <w:lang w:val="en-US" w:eastAsia="zh-CN"/>
              </w:rPr>
              <w:t>审查供应商的承诺书</w:t>
            </w:r>
          </w:p>
        </w:tc>
      </w:tr>
      <w:tr>
        <w:tblPrEx>
          <w:tblCellMar>
            <w:top w:w="0" w:type="dxa"/>
            <w:left w:w="10" w:type="dxa"/>
            <w:bottom w:w="0" w:type="dxa"/>
            <w:right w:w="10" w:type="dxa"/>
          </w:tblCellMar>
        </w:tblPrEx>
        <w:trPr>
          <w:trHeight w:val="819"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hint="default"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失信情况</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ind w:firstLine="420" w:firstLineChars="200"/>
              <w:rPr>
                <w:rFonts w:hint="eastAsia" w:ascii="宋体" w:hAnsi="宋体" w:eastAsia="宋体" w:cs="宋体"/>
                <w:b w:val="0"/>
                <w:bCs w:val="0"/>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lang w:eastAsia="zh-CN"/>
              </w:rPr>
              <w:t>供应商</w:t>
            </w:r>
            <w:r>
              <w:rPr>
                <w:rFonts w:hint="eastAsia" w:ascii="宋体" w:hAnsi="宋体" w:eastAsia="宋体" w:cs="宋体"/>
                <w:i w:val="0"/>
                <w:iCs w:val="0"/>
                <w:caps w:val="0"/>
                <w:color w:val="auto"/>
                <w:spacing w:val="0"/>
                <w:sz w:val="21"/>
                <w:szCs w:val="21"/>
                <w:highlight w:val="none"/>
                <w:shd w:val="clear" w:fill="FFFFFF"/>
              </w:rPr>
              <w:t>未被列入“信用中国”网（www.creditchina.gov.cn）“失信被执行人”、“</w:t>
            </w:r>
            <w:r>
              <w:rPr>
                <w:rFonts w:hint="eastAsia" w:ascii="宋体" w:hAnsi="宋体" w:eastAsia="宋体" w:cs="宋体"/>
                <w:i w:val="0"/>
                <w:iCs w:val="0"/>
                <w:caps w:val="0"/>
                <w:color w:val="auto"/>
                <w:spacing w:val="0"/>
                <w:sz w:val="21"/>
                <w:szCs w:val="21"/>
                <w:highlight w:val="none"/>
                <w:shd w:val="clear" w:fill="FFFFFF"/>
                <w:lang w:eastAsia="zh-CN"/>
              </w:rPr>
              <w:t>重大税收违法失信主体</w:t>
            </w:r>
            <w:r>
              <w:rPr>
                <w:rFonts w:hint="eastAsia" w:ascii="宋体" w:hAnsi="宋体" w:eastAsia="宋体" w:cs="宋体"/>
                <w:i w:val="0"/>
                <w:iCs w:val="0"/>
                <w:caps w:val="0"/>
                <w:color w:val="auto"/>
                <w:spacing w:val="0"/>
                <w:sz w:val="21"/>
                <w:szCs w:val="21"/>
                <w:highlight w:val="none"/>
                <w:shd w:val="clear" w:fill="FFFFFF"/>
              </w:rPr>
              <w:t>”名单</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lang w:val="en-US" w:eastAsia="zh-CN"/>
              </w:rPr>
              <w:t>且未</w:t>
            </w:r>
            <w:r>
              <w:rPr>
                <w:rFonts w:hint="eastAsia" w:ascii="宋体" w:hAnsi="宋体" w:eastAsia="宋体" w:cs="宋体"/>
                <w:i w:val="0"/>
                <w:iCs w:val="0"/>
                <w:caps w:val="0"/>
                <w:color w:val="auto"/>
                <w:spacing w:val="0"/>
                <w:sz w:val="21"/>
                <w:szCs w:val="21"/>
                <w:highlight w:val="none"/>
                <w:shd w:val="clear" w:fill="FFFFFF"/>
              </w:rPr>
              <w:t>被中国政府采购网（www.ccgp.gov.cn）列入</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政府采购严重违法失信行为记录名单</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（注：</w:t>
            </w:r>
            <w:r>
              <w:rPr>
                <w:rFonts w:hint="eastAsia" w:ascii="宋体" w:hAnsi="宋体" w:eastAsia="宋体" w:cs="宋体"/>
                <w:i w:val="0"/>
                <w:iCs w:val="0"/>
                <w:caps w:val="0"/>
                <w:color w:val="auto"/>
                <w:spacing w:val="0"/>
                <w:sz w:val="21"/>
                <w:szCs w:val="21"/>
                <w:highlight w:val="none"/>
                <w:shd w:val="clear" w:fill="FFFFFF"/>
                <w:lang w:val="en-US" w:eastAsia="zh-CN"/>
              </w:rPr>
              <w:t>投标截止当天由招标代理查询后提交结果给询比小组</w:t>
            </w:r>
            <w:r>
              <w:rPr>
                <w:rFonts w:hint="eastAsia" w:ascii="宋体" w:hAnsi="宋体" w:eastAsia="宋体" w:cs="宋体"/>
                <w:i w:val="0"/>
                <w:iCs w:val="0"/>
                <w:caps w:val="0"/>
                <w:color w:val="auto"/>
                <w:spacing w:val="0"/>
                <w:sz w:val="21"/>
                <w:szCs w:val="21"/>
                <w:highlight w:val="none"/>
                <w:shd w:val="clear" w:fill="FFFFFF"/>
              </w:rPr>
              <w:t>）</w:t>
            </w:r>
          </w:p>
        </w:tc>
      </w:tr>
      <w:tr>
        <w:tblPrEx>
          <w:tblCellMar>
            <w:top w:w="0" w:type="dxa"/>
            <w:left w:w="10" w:type="dxa"/>
            <w:bottom w:w="0" w:type="dxa"/>
            <w:right w:w="10" w:type="dxa"/>
          </w:tblCellMar>
        </w:tblPrEx>
        <w:trPr>
          <w:trHeight w:val="819"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hint="default"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关联性说明</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ind w:firstLine="420" w:firstLineChars="200"/>
              <w:rPr>
                <w:rFonts w:hint="default"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eastAsia="zh-CN"/>
              </w:rPr>
              <w:t>与采购人存在利害关系可能影响招标公正性的法人、其他组织或者个人，不得参加询比；单位负责人为同一人或者存在控股、管理关系的不同单位，不得同时参加本项目的询比；为本项目提供整体设计、规范编制或者项目管理、监理、检测等服务的供应商，不得再参加本项目询比。</w:t>
            </w:r>
            <w:r>
              <w:rPr>
                <w:rFonts w:hint="eastAsia" w:ascii="宋体" w:hAnsi="宋体" w:eastAsia="宋体" w:cs="宋体"/>
                <w:i w:val="0"/>
                <w:iCs w:val="0"/>
                <w:caps w:val="0"/>
                <w:color w:val="auto"/>
                <w:spacing w:val="0"/>
                <w:sz w:val="21"/>
                <w:szCs w:val="21"/>
                <w:highlight w:val="none"/>
                <w:shd w:val="clear" w:fill="FFFFFF"/>
                <w:lang w:val="en-US" w:eastAsia="zh-CN"/>
              </w:rPr>
              <w:t>审查关联性承诺函</w:t>
            </w:r>
          </w:p>
        </w:tc>
      </w:tr>
      <w:tr>
        <w:tblPrEx>
          <w:tblCellMar>
            <w:top w:w="0" w:type="dxa"/>
            <w:left w:w="10" w:type="dxa"/>
            <w:bottom w:w="0" w:type="dxa"/>
            <w:right w:w="10" w:type="dxa"/>
          </w:tblCellMar>
        </w:tblPrEx>
        <w:trPr>
          <w:trHeight w:val="2484" w:hRule="atLeast"/>
        </w:trPr>
        <w:tc>
          <w:tcPr>
            <w:tcW w:w="698"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nil"/>
            </w:tcBorders>
            <w:vAlign w:val="center"/>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nil"/>
            </w:tcBorders>
            <w:shd w:val="clear" w:color="auto" w:fill="FFFFFF"/>
            <w:vAlign w:val="center"/>
          </w:tcPr>
          <w:p>
            <w:pPr>
              <w:spacing w:line="276" w:lineRule="auto"/>
              <w:jc w:val="center"/>
              <w:rPr>
                <w:rFonts w:hint="default"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rPr>
              <w:t>其他要求</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tabs>
                <w:tab w:val="left" w:pos="1260"/>
                <w:tab w:val="left" w:pos="1620"/>
              </w:tabs>
              <w:adjustRightInd w:val="0"/>
              <w:spacing w:line="360" w:lineRule="auto"/>
              <w:jc w:val="left"/>
              <w:textAlignment w:val="baseline"/>
              <w:rPr>
                <w:b w:val="0"/>
                <w:bCs w:val="0"/>
                <w:color w:val="auto"/>
                <w:szCs w:val="21"/>
                <w:highlight w:val="none"/>
              </w:rPr>
            </w:pPr>
            <w:r>
              <w:rPr>
                <w:rFonts w:hint="eastAsia"/>
                <w:b w:val="0"/>
                <w:bCs w:val="0"/>
                <w:color w:val="auto"/>
                <w:szCs w:val="21"/>
                <w:highlight w:val="none"/>
                <w:lang w:val="en-US" w:eastAsia="zh-CN"/>
              </w:rPr>
              <w:t>1</w:t>
            </w:r>
            <w:r>
              <w:rPr>
                <w:rFonts w:hint="eastAsia"/>
                <w:b w:val="0"/>
                <w:bCs w:val="0"/>
                <w:color w:val="auto"/>
                <w:szCs w:val="21"/>
                <w:highlight w:val="none"/>
              </w:rPr>
              <w:t>、有下列情形之一的，视为供应商相互串通：</w:t>
            </w:r>
          </w:p>
          <w:p>
            <w:pPr>
              <w:shd w:val="clear"/>
              <w:tabs>
                <w:tab w:val="left" w:pos="1260"/>
                <w:tab w:val="left" w:pos="1620"/>
              </w:tabs>
              <w:adjustRightInd w:val="0"/>
              <w:spacing w:line="360" w:lineRule="auto"/>
              <w:jc w:val="left"/>
              <w:textAlignment w:val="baseline"/>
              <w:rPr>
                <w:b w:val="0"/>
                <w:bCs w:val="0"/>
                <w:color w:val="auto"/>
                <w:szCs w:val="21"/>
                <w:highlight w:val="none"/>
              </w:rPr>
            </w:pPr>
            <w:r>
              <w:rPr>
                <w:rFonts w:hint="eastAsia"/>
                <w:b w:val="0"/>
                <w:bCs w:val="0"/>
                <w:color w:val="auto"/>
                <w:szCs w:val="21"/>
                <w:highlight w:val="none"/>
              </w:rPr>
              <w:t>（1）不同供应商的响应文件由同一单位或者个人编制；</w:t>
            </w:r>
          </w:p>
          <w:p>
            <w:pPr>
              <w:shd w:val="clear"/>
              <w:tabs>
                <w:tab w:val="left" w:pos="1260"/>
                <w:tab w:val="left" w:pos="1620"/>
              </w:tabs>
              <w:adjustRightInd w:val="0"/>
              <w:spacing w:line="360" w:lineRule="auto"/>
              <w:jc w:val="left"/>
              <w:textAlignment w:val="baseline"/>
              <w:rPr>
                <w:b w:val="0"/>
                <w:bCs w:val="0"/>
                <w:color w:val="auto"/>
                <w:szCs w:val="21"/>
                <w:highlight w:val="none"/>
              </w:rPr>
            </w:pPr>
            <w:r>
              <w:rPr>
                <w:rFonts w:hint="eastAsia"/>
                <w:b w:val="0"/>
                <w:bCs w:val="0"/>
                <w:color w:val="auto"/>
                <w:szCs w:val="21"/>
                <w:highlight w:val="none"/>
              </w:rPr>
              <w:t>（2）不同供应商委托同一单位或者个人办理参与</w:t>
            </w:r>
            <w:r>
              <w:rPr>
                <w:rFonts w:hint="eastAsia"/>
                <w:b w:val="0"/>
                <w:bCs w:val="0"/>
                <w:color w:val="auto"/>
                <w:szCs w:val="21"/>
                <w:highlight w:val="none"/>
                <w:lang w:eastAsia="zh-CN"/>
              </w:rPr>
              <w:t>询比</w:t>
            </w:r>
            <w:r>
              <w:rPr>
                <w:rFonts w:hint="eastAsia"/>
                <w:b w:val="0"/>
                <w:bCs w:val="0"/>
                <w:color w:val="auto"/>
                <w:szCs w:val="21"/>
                <w:highlight w:val="none"/>
              </w:rPr>
              <w:t>事宜；</w:t>
            </w:r>
          </w:p>
          <w:p>
            <w:pPr>
              <w:shd w:val="clear"/>
              <w:tabs>
                <w:tab w:val="left" w:pos="1260"/>
                <w:tab w:val="left" w:pos="1620"/>
              </w:tabs>
              <w:adjustRightInd w:val="0"/>
              <w:spacing w:line="360" w:lineRule="auto"/>
              <w:jc w:val="left"/>
              <w:textAlignment w:val="baseline"/>
              <w:rPr>
                <w:b w:val="0"/>
                <w:bCs w:val="0"/>
                <w:color w:val="auto"/>
                <w:szCs w:val="21"/>
                <w:highlight w:val="none"/>
              </w:rPr>
            </w:pPr>
            <w:r>
              <w:rPr>
                <w:rFonts w:hint="eastAsia"/>
                <w:b w:val="0"/>
                <w:bCs w:val="0"/>
                <w:color w:val="auto"/>
                <w:szCs w:val="21"/>
                <w:highlight w:val="none"/>
              </w:rPr>
              <w:t>（3）不同供应商的响应文件载明的项目管理成员或者联系人员为同一人；</w:t>
            </w:r>
          </w:p>
          <w:p>
            <w:pPr>
              <w:shd w:val="clear"/>
              <w:tabs>
                <w:tab w:val="left" w:pos="1260"/>
                <w:tab w:val="left" w:pos="1620"/>
              </w:tabs>
              <w:adjustRightInd w:val="0"/>
              <w:spacing w:line="360" w:lineRule="auto"/>
              <w:jc w:val="left"/>
              <w:textAlignment w:val="baseline"/>
              <w:rPr>
                <w:b w:val="0"/>
                <w:bCs w:val="0"/>
                <w:color w:val="auto"/>
                <w:szCs w:val="21"/>
                <w:highlight w:val="none"/>
              </w:rPr>
            </w:pPr>
            <w:r>
              <w:rPr>
                <w:rFonts w:hint="eastAsia"/>
                <w:b w:val="0"/>
                <w:bCs w:val="0"/>
                <w:color w:val="auto"/>
                <w:szCs w:val="21"/>
                <w:highlight w:val="none"/>
              </w:rPr>
              <w:t>（4）不同供应商的响应文件异常一致或者报价呈规律性差异；</w:t>
            </w:r>
          </w:p>
          <w:p>
            <w:pPr>
              <w:shd w:val="clear"/>
              <w:tabs>
                <w:tab w:val="left" w:pos="1260"/>
                <w:tab w:val="left" w:pos="1620"/>
              </w:tabs>
              <w:adjustRightInd w:val="0"/>
              <w:spacing w:line="360" w:lineRule="auto"/>
              <w:jc w:val="left"/>
              <w:textAlignment w:val="baseline"/>
              <w:rPr>
                <w:b w:val="0"/>
                <w:bCs w:val="0"/>
                <w:color w:val="auto"/>
                <w:szCs w:val="21"/>
                <w:highlight w:val="none"/>
              </w:rPr>
            </w:pPr>
            <w:r>
              <w:rPr>
                <w:rFonts w:hint="eastAsia"/>
                <w:b w:val="0"/>
                <w:bCs w:val="0"/>
                <w:color w:val="auto"/>
                <w:szCs w:val="21"/>
                <w:highlight w:val="none"/>
              </w:rPr>
              <w:t>（5）不同供应商的响应文件相互混装；</w:t>
            </w:r>
          </w:p>
          <w:p>
            <w:pPr>
              <w:shd w:val="clear"/>
              <w:tabs>
                <w:tab w:val="left" w:pos="1260"/>
                <w:tab w:val="left" w:pos="1620"/>
              </w:tabs>
              <w:adjustRightInd w:val="0"/>
              <w:spacing w:line="360" w:lineRule="auto"/>
              <w:jc w:val="left"/>
              <w:textAlignment w:val="baseline"/>
              <w:rPr>
                <w:b w:val="0"/>
                <w:bCs w:val="0"/>
                <w:color w:val="auto"/>
                <w:szCs w:val="21"/>
                <w:highlight w:val="none"/>
              </w:rPr>
            </w:pPr>
            <w:r>
              <w:rPr>
                <w:rFonts w:hint="eastAsia"/>
                <w:b w:val="0"/>
                <w:bCs w:val="0"/>
                <w:color w:val="auto"/>
                <w:szCs w:val="21"/>
                <w:highlight w:val="none"/>
                <w:lang w:val="en-US" w:eastAsia="zh-CN"/>
              </w:rPr>
              <w:t>2</w:t>
            </w:r>
            <w:r>
              <w:rPr>
                <w:rFonts w:hint="eastAsia"/>
                <w:b w:val="0"/>
                <w:bCs w:val="0"/>
                <w:color w:val="auto"/>
                <w:szCs w:val="21"/>
                <w:highlight w:val="none"/>
              </w:rPr>
              <w:t>、有下列情形之一的，属于提供虚假材料谋取成交的行为：</w:t>
            </w:r>
          </w:p>
          <w:p>
            <w:pPr>
              <w:shd w:val="clear"/>
              <w:tabs>
                <w:tab w:val="left" w:pos="1260"/>
                <w:tab w:val="left" w:pos="1620"/>
              </w:tabs>
              <w:adjustRightInd w:val="0"/>
              <w:spacing w:line="360" w:lineRule="auto"/>
              <w:jc w:val="left"/>
              <w:textAlignment w:val="baseline"/>
              <w:rPr>
                <w:b w:val="0"/>
                <w:bCs w:val="0"/>
                <w:color w:val="auto"/>
                <w:szCs w:val="21"/>
                <w:highlight w:val="none"/>
              </w:rPr>
            </w:pPr>
            <w:r>
              <w:rPr>
                <w:rFonts w:hint="eastAsia"/>
                <w:b w:val="0"/>
                <w:bCs w:val="0"/>
                <w:color w:val="auto"/>
                <w:szCs w:val="21"/>
                <w:highlight w:val="none"/>
              </w:rPr>
              <w:t>（1）使用伪造、变造的许可证件；</w:t>
            </w:r>
          </w:p>
          <w:p>
            <w:pPr>
              <w:shd w:val="clear"/>
              <w:tabs>
                <w:tab w:val="left" w:pos="1260"/>
                <w:tab w:val="left" w:pos="1620"/>
              </w:tabs>
              <w:adjustRightInd w:val="0"/>
              <w:spacing w:line="360" w:lineRule="auto"/>
              <w:jc w:val="left"/>
              <w:textAlignment w:val="baseline"/>
              <w:rPr>
                <w:b w:val="0"/>
                <w:bCs w:val="0"/>
                <w:color w:val="auto"/>
                <w:szCs w:val="21"/>
                <w:highlight w:val="none"/>
              </w:rPr>
            </w:pPr>
            <w:r>
              <w:rPr>
                <w:rFonts w:hint="eastAsia"/>
                <w:b w:val="0"/>
                <w:bCs w:val="0"/>
                <w:color w:val="auto"/>
                <w:szCs w:val="21"/>
                <w:highlight w:val="none"/>
              </w:rPr>
              <w:t>（2）提供虚假的财务状况或者业绩；</w:t>
            </w:r>
          </w:p>
          <w:p>
            <w:pPr>
              <w:shd w:val="clear"/>
              <w:tabs>
                <w:tab w:val="left" w:pos="1260"/>
                <w:tab w:val="left" w:pos="1620"/>
              </w:tabs>
              <w:adjustRightInd w:val="0"/>
              <w:spacing w:line="360" w:lineRule="auto"/>
              <w:jc w:val="left"/>
              <w:textAlignment w:val="baseline"/>
              <w:rPr>
                <w:b w:val="0"/>
                <w:bCs w:val="0"/>
                <w:color w:val="auto"/>
                <w:szCs w:val="21"/>
                <w:highlight w:val="none"/>
              </w:rPr>
            </w:pPr>
            <w:r>
              <w:rPr>
                <w:rFonts w:hint="eastAsia"/>
                <w:b w:val="0"/>
                <w:bCs w:val="0"/>
                <w:color w:val="auto"/>
                <w:szCs w:val="21"/>
                <w:highlight w:val="none"/>
              </w:rPr>
              <w:t>（3）提供虚假的项目负责人或者主要技术人员简历、劳动关系证明；</w:t>
            </w:r>
          </w:p>
          <w:p>
            <w:pPr>
              <w:shd w:val="clear"/>
              <w:tabs>
                <w:tab w:val="left" w:pos="1260"/>
                <w:tab w:val="left" w:pos="1620"/>
              </w:tabs>
              <w:adjustRightInd w:val="0"/>
              <w:spacing w:line="360" w:lineRule="auto"/>
              <w:jc w:val="left"/>
              <w:textAlignment w:val="baseline"/>
              <w:rPr>
                <w:b w:val="0"/>
                <w:bCs w:val="0"/>
                <w:color w:val="auto"/>
                <w:szCs w:val="21"/>
                <w:highlight w:val="none"/>
              </w:rPr>
            </w:pPr>
            <w:r>
              <w:rPr>
                <w:rFonts w:hint="eastAsia"/>
                <w:b w:val="0"/>
                <w:bCs w:val="0"/>
                <w:color w:val="auto"/>
                <w:szCs w:val="21"/>
                <w:highlight w:val="none"/>
              </w:rPr>
              <w:t>（4）提供虚假的信用状况；</w:t>
            </w:r>
          </w:p>
          <w:p>
            <w:pPr>
              <w:shd w:val="clear"/>
              <w:tabs>
                <w:tab w:val="left" w:pos="1260"/>
                <w:tab w:val="left" w:pos="1620"/>
              </w:tabs>
              <w:adjustRightInd w:val="0"/>
              <w:spacing w:line="360" w:lineRule="auto"/>
              <w:jc w:val="left"/>
              <w:textAlignment w:val="baseline"/>
              <w:rPr>
                <w:rFonts w:ascii="Times New Roman" w:hAnsi="Times New Roman" w:eastAsia="宋体"/>
                <w:b w:val="0"/>
                <w:bCs w:val="0"/>
                <w:color w:val="auto"/>
                <w:sz w:val="21"/>
                <w:szCs w:val="21"/>
                <w:highlight w:val="none"/>
                <w:lang w:val="zh-TW" w:eastAsia="zh-TW" w:bidi="zh-TW"/>
              </w:rPr>
            </w:pPr>
            <w:r>
              <w:rPr>
                <w:rFonts w:hint="eastAsia"/>
                <w:b w:val="0"/>
                <w:bCs w:val="0"/>
                <w:color w:val="auto"/>
                <w:szCs w:val="21"/>
                <w:highlight w:val="none"/>
              </w:rPr>
              <w:t>（5）其他弄虚作假的行为。</w:t>
            </w:r>
          </w:p>
        </w:tc>
      </w:tr>
      <w:tr>
        <w:tblPrEx>
          <w:tblCellMar>
            <w:top w:w="0" w:type="dxa"/>
            <w:left w:w="10" w:type="dxa"/>
            <w:bottom w:w="0" w:type="dxa"/>
            <w:right w:w="10" w:type="dxa"/>
          </w:tblCellMar>
        </w:tblPrEx>
        <w:trPr>
          <w:trHeight w:val="311" w:hRule="atLeast"/>
        </w:trPr>
        <w:tc>
          <w:tcPr>
            <w:tcW w:w="6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default"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2.1.3</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响应性评审</w:t>
            </w:r>
          </w:p>
        </w:tc>
        <w:tc>
          <w:tcPr>
            <w:tcW w:w="25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投标文件签署盖章</w:t>
            </w:r>
          </w:p>
        </w:tc>
        <w:tc>
          <w:tcPr>
            <w:tcW w:w="569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按</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要求在规定位置加盖</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公章和有法定代表人或其授权代表签字加盖人名章的</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投标报价</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投标报价是固定价且未超过预算金额（</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有最高限价的，报价未超过最高限价。</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附加条件</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投标文件不含有采购人不能接受的附加条件</w:t>
            </w:r>
          </w:p>
        </w:tc>
      </w:tr>
      <w:tr>
        <w:tblPrEx>
          <w:tblCellMar>
            <w:top w:w="0" w:type="dxa"/>
            <w:left w:w="10" w:type="dxa"/>
            <w:bottom w:w="0" w:type="dxa"/>
            <w:right w:w="10" w:type="dxa"/>
          </w:tblCellMar>
        </w:tblPrEx>
        <w:trPr>
          <w:trHeight w:val="314"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公平竞争</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遵循公平竞争的原则，没有弄虚作假、恶意串通或妨碍其他</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的竞争行为，损害采购人或者其他</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的合法权益。</w:t>
            </w:r>
          </w:p>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弄虚作假、串通投标的情形见附注</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报价修正</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报价出现前后不一致时，</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按照</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评标办法要求确认修正后的报价。</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其他无效情形</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法律、法规和</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规定的其他无效情形</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投标有效期</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投标有效期满足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要求的</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备选方案</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strike/>
                <w:color w:val="auto"/>
                <w:kern w:val="2"/>
                <w:sz w:val="21"/>
                <w:szCs w:val="21"/>
                <w:highlight w:val="none"/>
                <w:lang w:val="en-US" w:eastAsia="zh-CN" w:bidi="ar-SA"/>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不得提交两份或者多份内容不同的投标文件，或者在同一份投标文件中对同一招标项目有两个或者多个报价。</w:t>
            </w:r>
          </w:p>
        </w:tc>
      </w:tr>
      <w:tr>
        <w:tblPrEx>
          <w:tblCellMar>
            <w:top w:w="0" w:type="dxa"/>
            <w:left w:w="10" w:type="dxa"/>
            <w:bottom w:w="0" w:type="dxa"/>
            <w:right w:w="10" w:type="dxa"/>
          </w:tblCellMar>
        </w:tblPrEx>
        <w:trPr>
          <w:trHeight w:val="311" w:hRule="atLeast"/>
        </w:trPr>
        <w:tc>
          <w:tcPr>
            <w:tcW w:w="698" w:type="dxa"/>
            <w:vMerge w:val="continue"/>
            <w:tcBorders>
              <w:top w:val="single" w:color="auto" w:sz="4" w:space="0"/>
              <w:left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投标内容</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无实质性遗漏</w:t>
            </w:r>
          </w:p>
        </w:tc>
      </w:tr>
      <w:tr>
        <w:tblPrEx>
          <w:tblCellMar>
            <w:top w:w="0" w:type="dxa"/>
            <w:left w:w="10" w:type="dxa"/>
            <w:bottom w:w="0" w:type="dxa"/>
            <w:right w:w="10" w:type="dxa"/>
          </w:tblCellMar>
        </w:tblPrEx>
        <w:trPr>
          <w:trHeight w:val="311" w:hRule="atLeast"/>
        </w:trPr>
        <w:tc>
          <w:tcPr>
            <w:tcW w:w="698" w:type="dxa"/>
            <w:vMerge w:val="continue"/>
            <w:tcBorders>
              <w:left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left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是否允许采用分包方式履行合同</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不允许分包时，</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未分包</w:t>
            </w:r>
          </w:p>
        </w:tc>
      </w:tr>
      <w:tr>
        <w:tblPrEx>
          <w:tblCellMar>
            <w:top w:w="0" w:type="dxa"/>
            <w:left w:w="10" w:type="dxa"/>
            <w:bottom w:w="0" w:type="dxa"/>
            <w:right w:w="10" w:type="dxa"/>
          </w:tblCellMar>
        </w:tblPrEx>
        <w:trPr>
          <w:trHeight w:val="311" w:hRule="atLeast"/>
        </w:trPr>
        <w:tc>
          <w:tcPr>
            <w:tcW w:w="698" w:type="dxa"/>
            <w:vMerge w:val="continue"/>
            <w:tcBorders>
              <w:left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left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技术响应</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符合“采购需求”要求，标记为“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”的内容无重大负偏差</w:t>
            </w:r>
          </w:p>
        </w:tc>
      </w:tr>
      <w:tr>
        <w:tblPrEx>
          <w:tblCellMar>
            <w:top w:w="0" w:type="dxa"/>
            <w:left w:w="10" w:type="dxa"/>
            <w:bottom w:w="0" w:type="dxa"/>
            <w:right w:w="10" w:type="dxa"/>
          </w:tblCellMar>
        </w:tblPrEx>
        <w:trPr>
          <w:trHeight w:val="311" w:hRule="atLeast"/>
        </w:trPr>
        <w:tc>
          <w:tcPr>
            <w:tcW w:w="698" w:type="dxa"/>
            <w:vMerge w:val="continue"/>
            <w:tcBorders>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工期和建设地点</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要求</w:t>
            </w:r>
          </w:p>
        </w:tc>
      </w:tr>
      <w:tr>
        <w:tblPrEx>
          <w:tblCellMar>
            <w:top w:w="0" w:type="dxa"/>
            <w:left w:w="10" w:type="dxa"/>
            <w:bottom w:w="0" w:type="dxa"/>
            <w:right w:w="10" w:type="dxa"/>
          </w:tblCellMar>
        </w:tblPrEx>
        <w:trPr>
          <w:trHeight w:val="315" w:hRule="atLeast"/>
        </w:trPr>
        <w:tc>
          <w:tcPr>
            <w:tcW w:w="698"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1021" w:type="dxa"/>
            <w:vMerge w:val="continue"/>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eastAsia="宋体"/>
                <w:color w:val="auto"/>
                <w:sz w:val="21"/>
                <w:szCs w:val="21"/>
                <w:highlight w:val="none"/>
                <w:lang w:val="zh-TW" w:eastAsia="zh-TW" w:bidi="zh-TW"/>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olor w:val="auto"/>
                <w:sz w:val="21"/>
                <w:szCs w:val="21"/>
                <w:highlight w:val="none"/>
                <w:lang w:val="en-US" w:eastAsia="zh-CN" w:bidi="zh-TW"/>
              </w:rPr>
            </w:pPr>
            <w:r>
              <w:rPr>
                <w:rFonts w:hint="eastAsia" w:ascii="Times New Roman" w:hAnsi="Times New Roman" w:eastAsia="宋体"/>
                <w:color w:val="auto"/>
                <w:sz w:val="21"/>
                <w:szCs w:val="21"/>
                <w:highlight w:val="none"/>
                <w:lang w:val="en-US" w:eastAsia="zh-CN" w:bidi="zh-TW"/>
              </w:rPr>
              <w:t>付款方式</w:t>
            </w:r>
          </w:p>
        </w:tc>
        <w:tc>
          <w:tcPr>
            <w:tcW w:w="5691" w:type="dxa"/>
            <w:tcBorders>
              <w:top w:val="single" w:color="auto" w:sz="4" w:space="0"/>
              <w:left w:val="single" w:color="auto" w:sz="4" w:space="0"/>
              <w:bottom w:val="single" w:color="auto" w:sz="4" w:space="0"/>
              <w:right w:val="single" w:color="auto" w:sz="4" w:space="0"/>
            </w:tcBorders>
            <w:vAlign w:val="center"/>
          </w:tcPr>
          <w:p>
            <w:pPr>
              <w:shd w:val="clea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不允许偏差时，投标文件无负偏差。</w:t>
            </w:r>
          </w:p>
        </w:tc>
      </w:tr>
    </w:tbl>
    <w:p>
      <w:pPr>
        <w:pStyle w:val="6"/>
        <w:pageBreakBefore w:val="0"/>
        <w:widowControl w:val="0"/>
        <w:kinsoku/>
        <w:wordWrap/>
        <w:overflowPunct/>
        <w:topLinePunct w:val="0"/>
        <w:autoSpaceDE/>
        <w:autoSpaceDN/>
        <w:bidi w:val="0"/>
        <w:adjustRightInd/>
        <w:snapToGrid/>
        <w:spacing w:before="156" w:after="156"/>
        <w:textAlignment w:val="auto"/>
        <w:rPr>
          <w:rFonts w:hint="eastAsia"/>
          <w:color w:val="auto"/>
          <w:sz w:val="21"/>
          <w:szCs w:val="21"/>
          <w:highlight w:val="none"/>
          <w:lang w:val="en-US" w:eastAsia="zh-CN"/>
        </w:rPr>
      </w:pPr>
      <w:bookmarkStart w:id="2" w:name="_Toc7827"/>
      <w:r>
        <w:rPr>
          <w:rFonts w:hint="eastAsia"/>
          <w:color w:val="auto"/>
          <w:sz w:val="21"/>
          <w:szCs w:val="21"/>
          <w:highlight w:val="none"/>
          <w:lang w:val="en-US" w:eastAsia="zh-CN"/>
        </w:rPr>
        <w:t>综合评审因素及分值</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867"/>
        <w:gridCol w:w="1245"/>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0" w:type="dxa"/>
            <w:noWrap w:val="0"/>
            <w:vAlign w:val="center"/>
          </w:tcPr>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67" w:type="dxa"/>
            <w:noWrap w:val="0"/>
            <w:vAlign w:val="center"/>
          </w:tcPr>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1245" w:type="dxa"/>
            <w:noWrap w:val="0"/>
            <w:vAlign w:val="center"/>
          </w:tcPr>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p>
        </w:tc>
        <w:tc>
          <w:tcPr>
            <w:tcW w:w="6226" w:type="dxa"/>
            <w:noWrap w:val="0"/>
            <w:vAlign w:val="center"/>
          </w:tcPr>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0" w:type="dxa"/>
            <w:noWrap w:val="0"/>
            <w:vAlign w:val="center"/>
          </w:tcPr>
          <w:p>
            <w:pPr>
              <w:tabs>
                <w:tab w:val="left" w:pos="1260"/>
                <w:tab w:val="left" w:pos="1620"/>
              </w:tabs>
              <w:adjustRightInd w:val="0"/>
              <w:snapToGrid w:val="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67" w:type="dxa"/>
            <w:noWrap w:val="0"/>
            <w:vAlign w:val="center"/>
          </w:tcPr>
          <w:p>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方正仿宋_GBK"/>
                <w:color w:val="auto"/>
                <w:sz w:val="21"/>
                <w:szCs w:val="21"/>
                <w:highlight w:val="none"/>
              </w:rPr>
              <w:t>投标报价</w:t>
            </w:r>
          </w:p>
        </w:tc>
        <w:tc>
          <w:tcPr>
            <w:tcW w:w="1245" w:type="dxa"/>
            <w:noWrap w:val="0"/>
            <w:vAlign w:val="center"/>
          </w:tcPr>
          <w:p>
            <w:pPr>
              <w:tabs>
                <w:tab w:val="left" w:pos="1260"/>
                <w:tab w:val="left" w:pos="1620"/>
              </w:tabs>
              <w:adjustRightInd w:val="0"/>
              <w:snapToGrid w:val="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6226" w:type="dxa"/>
            <w:noWrap w:val="0"/>
            <w:vAlign w:val="center"/>
          </w:tcPr>
          <w:p>
            <w:pPr>
              <w:widowControl/>
              <w:spacing w:line="300" w:lineRule="exact"/>
              <w:outlineLvl w:val="2"/>
              <w:rPr>
                <w:rFonts w:ascii="宋体" w:hAnsi="宋体" w:cs="宋体"/>
                <w:color w:val="auto"/>
                <w:sz w:val="21"/>
                <w:szCs w:val="21"/>
                <w:highlight w:val="none"/>
              </w:rPr>
            </w:pPr>
            <w:r>
              <w:rPr>
                <w:rFonts w:hint="eastAsia" w:ascii="宋体" w:hAnsi="宋体" w:cs="宋体"/>
                <w:color w:val="auto"/>
                <w:sz w:val="21"/>
                <w:szCs w:val="21"/>
                <w:highlight w:val="none"/>
              </w:rPr>
              <w:t>有效的投标报价中的最低价为评标基准价，按照下列公式计算每个投标人的投标价格得分。</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投标报价得分＝（评标基准价/投标报价）×</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40" w:type="dxa"/>
            <w:noWrap w:val="0"/>
            <w:vAlign w:val="center"/>
          </w:tcPr>
          <w:p>
            <w:pPr>
              <w:tabs>
                <w:tab w:val="left" w:pos="1260"/>
                <w:tab w:val="left" w:pos="1620"/>
              </w:tabs>
              <w:adjustRightInd w:val="0"/>
              <w:snapToGrid w:val="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67" w:type="dxa"/>
            <w:noWrap w:val="0"/>
            <w:vAlign w:val="center"/>
          </w:tcPr>
          <w:p>
            <w:pPr>
              <w:tabs>
                <w:tab w:val="left" w:pos="1260"/>
                <w:tab w:val="left" w:pos="1620"/>
              </w:tabs>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进度控制</w:t>
            </w:r>
          </w:p>
        </w:tc>
        <w:tc>
          <w:tcPr>
            <w:tcW w:w="1245" w:type="dxa"/>
            <w:noWrap w:val="0"/>
            <w:vAlign w:val="center"/>
          </w:tcPr>
          <w:p>
            <w:pPr>
              <w:tabs>
                <w:tab w:val="left" w:pos="1260"/>
                <w:tab w:val="left" w:pos="1620"/>
              </w:tabs>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6226" w:type="dxa"/>
            <w:noWrap w:val="0"/>
            <w:vAlign w:val="center"/>
          </w:tcPr>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第一档次（1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分）：人员配备合理完善、技术保障全面，设备艺术选型、数量符合要求，计划安排科学合理，能满足采购人要求，针对性强，逻辑清晰，专业性强；</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第二档次（</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分）：人员配备方案较完整且较可行，内容较详细，基本满足项目要求，针对性、公益性、专业性一般；</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第三档次（</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员配备方案描述有，可行性一般，内容一般，针对性、专业性较差，难以与本项目实际相结合或方案有明显错误；</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第四档次（</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员配备方案描述有，基本满足采购人需要</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第五档次（1分）：经营服务方案难以满足招标文件要求</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没有进度控制方案的此项得0分。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40" w:type="dxa"/>
            <w:noWrap w:val="0"/>
            <w:vAlign w:val="center"/>
          </w:tcPr>
          <w:p>
            <w:pPr>
              <w:tabs>
                <w:tab w:val="left" w:pos="1260"/>
                <w:tab w:val="left" w:pos="1620"/>
              </w:tabs>
              <w:adjustRightInd w:val="0"/>
              <w:snapToGrid w:val="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67" w:type="dxa"/>
            <w:noWrap w:val="0"/>
            <w:vAlign w:val="center"/>
          </w:tcPr>
          <w:p>
            <w:pPr>
              <w:tabs>
                <w:tab w:val="left" w:pos="1260"/>
                <w:tab w:val="left" w:pos="1620"/>
              </w:tabs>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w:t>
            </w:r>
          </w:p>
        </w:tc>
        <w:tc>
          <w:tcPr>
            <w:tcW w:w="1245" w:type="dxa"/>
            <w:noWrap w:val="0"/>
            <w:vAlign w:val="center"/>
          </w:tcPr>
          <w:p>
            <w:pPr>
              <w:tabs>
                <w:tab w:val="left" w:pos="1260"/>
                <w:tab w:val="left" w:pos="1620"/>
              </w:tabs>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6226" w:type="dxa"/>
            <w:noWrap w:val="0"/>
            <w:vAlign w:val="center"/>
          </w:tcPr>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第一个档次（</w:t>
            </w:r>
            <w:r>
              <w:rPr>
                <w:rFonts w:hint="eastAsia" w:ascii="宋体" w:hAnsi="宋体" w:eastAsia="宋体" w:cs="宋体"/>
                <w:color w:val="auto"/>
                <w:sz w:val="21"/>
                <w:szCs w:val="21"/>
                <w:highlight w:val="none"/>
                <w:lang w:val="en-US" w:eastAsia="zh-CN"/>
              </w:rPr>
              <w:t>25分</w:t>
            </w:r>
            <w:r>
              <w:rPr>
                <w:rFonts w:hint="eastAsia" w:ascii="宋体" w:hAnsi="宋体" w:eastAsia="宋体" w:cs="宋体"/>
                <w:color w:val="auto"/>
                <w:sz w:val="21"/>
                <w:szCs w:val="21"/>
                <w:highlight w:val="none"/>
              </w:rPr>
              <w:t>）：响应文件中有具体的服务承诺，具有针对性，有相应的措施内容，完善具体，针对性强，违约内容明确；</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第二个档次（</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分）：响应文件中有一定的服务承诺，但是针对性一般，或相应的措施内容具体可行，有一定的针对性，有违约内容；</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第三个档次（</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分）：服务承诺满足采购要求，相应措施基本可行，但缺乏针对性，或者没有违约承诺；</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第四个档次（</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分）：服务承诺较差，措施简单，或者没有违约承诺；</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响应文件中没有提供服务承诺的此项得0分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40" w:type="dxa"/>
            <w:noWrap w:val="0"/>
            <w:vAlign w:val="center"/>
          </w:tcPr>
          <w:p>
            <w:pPr>
              <w:tabs>
                <w:tab w:val="left" w:pos="1260"/>
                <w:tab w:val="left" w:pos="1620"/>
              </w:tabs>
              <w:adjustRightInd w:val="0"/>
              <w:snapToGrid w:val="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67" w:type="dxa"/>
            <w:noWrap w:val="0"/>
            <w:vAlign w:val="center"/>
          </w:tcPr>
          <w:p>
            <w:pPr>
              <w:tabs>
                <w:tab w:val="left" w:pos="1260"/>
                <w:tab w:val="left" w:pos="1620"/>
              </w:tabs>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p>
        </w:tc>
        <w:tc>
          <w:tcPr>
            <w:tcW w:w="1245" w:type="dxa"/>
            <w:noWrap w:val="0"/>
            <w:vAlign w:val="center"/>
          </w:tcPr>
          <w:p>
            <w:pPr>
              <w:tabs>
                <w:tab w:val="left" w:pos="1260"/>
                <w:tab w:val="left" w:pos="1620"/>
              </w:tabs>
              <w:adjustRightInd w:val="0"/>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6226" w:type="dxa"/>
            <w:noWrap w:val="0"/>
            <w:vAlign w:val="center"/>
          </w:tcPr>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第一档次（20分）：有明确的质量控制目标、安全文明施工、措施明确、周密、详尽、可行，能满足采购人要求，针对性强。</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第二档次（15分）：有明确的质量控制目标、安全文明施工、措施明确、周密、详尽、可行，基本能满足采购人要求，有一定的针对性，企业文化管理经营理念先进、具体。</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第三档次（10分）：有明确的质量控制目标、安全文明施工、措施明确、周密、详尽、可行，基本能满足采购人要求，针对性一般，企业文化管理经营理念比较具体，但是针对性一般；</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第四档次（5分）：有质量控制目标、安全文明施工、措施基本能满足采购人要求，但是针对性较弱；</w:t>
            </w:r>
          </w:p>
          <w:p>
            <w:pPr>
              <w:tabs>
                <w:tab w:val="left" w:pos="1260"/>
                <w:tab w:val="left" w:pos="1620"/>
              </w:tabs>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响应文件中没有提供质量方案的此项得0分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40" w:type="dxa"/>
            <w:noWrap w:val="0"/>
            <w:vAlign w:val="center"/>
          </w:tcPr>
          <w:p>
            <w:pPr>
              <w:tabs>
                <w:tab w:val="left" w:pos="1260"/>
                <w:tab w:val="left" w:pos="1620"/>
              </w:tabs>
              <w:adjustRightInd w:val="0"/>
              <w:snapToGrid w:val="0"/>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867" w:type="dxa"/>
            <w:noWrap w:val="0"/>
            <w:vAlign w:val="center"/>
          </w:tcPr>
          <w:p>
            <w:pPr>
              <w:tabs>
                <w:tab w:val="left" w:pos="1260"/>
                <w:tab w:val="left" w:pos="1620"/>
              </w:tabs>
              <w:adjustRightInd w:val="0"/>
              <w:snapToGrid w:val="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业绩</w:t>
            </w:r>
          </w:p>
        </w:tc>
        <w:tc>
          <w:tcPr>
            <w:tcW w:w="1245" w:type="dxa"/>
            <w:noWrap w:val="0"/>
            <w:vAlign w:val="center"/>
          </w:tcPr>
          <w:p>
            <w:pPr>
              <w:tabs>
                <w:tab w:val="left" w:pos="1260"/>
                <w:tab w:val="left" w:pos="1620"/>
              </w:tabs>
              <w:adjustRightInd w:val="0"/>
              <w:snapToGrid w:val="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226" w:type="dxa"/>
            <w:noWrap w:val="0"/>
            <w:vAlign w:val="center"/>
          </w:tcPr>
          <w:p>
            <w:pPr>
              <w:tabs>
                <w:tab w:val="left" w:pos="1260"/>
                <w:tab w:val="left" w:pos="1620"/>
              </w:tabs>
              <w:adjustRightInd w:val="0"/>
              <w:snapToGrid w:val="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供应商目前有类似项目业绩。每有一个业绩得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,满分10分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业绩证明材料为中标通知书或合同复印件。</w:t>
            </w:r>
          </w:p>
        </w:tc>
      </w:tr>
    </w:tbl>
    <w:p>
      <w:pPr>
        <w:pStyle w:val="6"/>
        <w:pageBreakBefore w:val="0"/>
        <w:widowControl w:val="0"/>
        <w:kinsoku/>
        <w:wordWrap/>
        <w:overflowPunct/>
        <w:topLinePunct w:val="0"/>
        <w:autoSpaceDE/>
        <w:autoSpaceDN/>
        <w:bidi w:val="0"/>
        <w:adjustRightInd/>
        <w:snapToGrid/>
        <w:spacing w:before="156" w:after="156"/>
        <w:textAlignment w:val="auto"/>
        <w:rPr>
          <w:rFonts w:hint="eastAsia"/>
          <w:color w:val="auto"/>
          <w:sz w:val="21"/>
          <w:szCs w:val="21"/>
          <w:highlight w:val="none"/>
        </w:rPr>
      </w:pPr>
      <w:r>
        <w:rPr>
          <w:rFonts w:hint="eastAsia"/>
          <w:color w:val="auto"/>
          <w:sz w:val="21"/>
          <w:szCs w:val="21"/>
          <w:highlight w:val="none"/>
        </w:rPr>
        <w:t>1评审方法(综合评分法）</w:t>
      </w:r>
      <w:bookmarkEnd w:id="2"/>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本次评审采用综合评分法。评审小组对满足采购文件实质性要求的响应文件，按照本章第3条规定的评分标准进行打分，并按得分由高到低的顺序推荐候选成交供应商。</w:t>
      </w:r>
    </w:p>
    <w:p>
      <w:pPr>
        <w:pStyle w:val="6"/>
        <w:pageBreakBefore w:val="0"/>
        <w:widowControl w:val="0"/>
        <w:kinsoku/>
        <w:wordWrap/>
        <w:overflowPunct/>
        <w:topLinePunct w:val="0"/>
        <w:autoSpaceDE/>
        <w:autoSpaceDN/>
        <w:bidi w:val="0"/>
        <w:adjustRightInd/>
        <w:snapToGrid/>
        <w:spacing w:before="156" w:after="156"/>
        <w:textAlignment w:val="auto"/>
        <w:rPr>
          <w:rFonts w:hint="eastAsia"/>
          <w:color w:val="auto"/>
          <w:sz w:val="21"/>
          <w:szCs w:val="21"/>
          <w:highlight w:val="none"/>
        </w:rPr>
      </w:pPr>
      <w:bookmarkStart w:id="3" w:name="_Toc19494"/>
      <w:r>
        <w:rPr>
          <w:rFonts w:hint="eastAsia"/>
          <w:color w:val="auto"/>
          <w:sz w:val="21"/>
          <w:szCs w:val="21"/>
          <w:highlight w:val="none"/>
        </w:rPr>
        <w:t>2初步评审标准和程序</w:t>
      </w:r>
      <w:bookmarkEnd w:id="3"/>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bookmarkStart w:id="4" w:name="_Toc25734"/>
      <w:r>
        <w:rPr>
          <w:rFonts w:hint="eastAsia"/>
          <w:color w:val="auto"/>
          <w:sz w:val="21"/>
          <w:szCs w:val="21"/>
          <w:highlight w:val="none"/>
        </w:rPr>
        <w:t>2.1初步评审标准</w:t>
      </w:r>
      <w:bookmarkEnd w:id="4"/>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2.1.1形式评审标准：见评审办法前附表。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2.1.2资格评审标准：见评审办法前附表。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2.1.3响应性评审标准：见评审办法前附表。</w:t>
      </w:r>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bookmarkStart w:id="5" w:name="_Toc23564"/>
      <w:r>
        <w:rPr>
          <w:rFonts w:hint="eastAsia"/>
          <w:color w:val="auto"/>
          <w:sz w:val="21"/>
          <w:szCs w:val="21"/>
          <w:highlight w:val="none"/>
        </w:rPr>
        <w:t>2.2初步评审程序</w:t>
      </w:r>
      <w:bookmarkEnd w:id="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2.2.2除评审办法前附表另有规定外，评审价格为供应商在响应函中填报的大写含税价格。</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评审价格若超过最高限价(如有），其响应文件将被视为无效。</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响应报价有算术错误及其他错误的，评审小组按以下原则要求供应商对响应报价 进行修正，并要求供应商书面澄清确认。供应商拒不澄清确认的，其响应文件将被视 为无效：</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ab/>
      </w:r>
      <w:r>
        <w:rPr>
          <w:rFonts w:hint="eastAsia" w:ascii="Times New Roman" w:hAnsi="Times New Roman" w:eastAsia="宋体"/>
          <w:color w:val="auto"/>
          <w:sz w:val="21"/>
          <w:szCs w:val="21"/>
          <w:highlight w:val="none"/>
        </w:rPr>
        <w:t>大写金额与小写金额不一致的，以大写金额为准；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w:t>
      </w:r>
      <w:r>
        <w:rPr>
          <w:rFonts w:hint="eastAsia" w:ascii="Times New Roman" w:hAnsi="Times New Roman" w:eastAsia="宋体"/>
          <w:color w:val="auto"/>
          <w:sz w:val="21"/>
          <w:szCs w:val="21"/>
          <w:highlight w:val="none"/>
        </w:rPr>
        <w:tab/>
      </w:r>
      <w:r>
        <w:rPr>
          <w:rFonts w:hint="eastAsia" w:ascii="Times New Roman" w:hAnsi="Times New Roman" w:eastAsia="宋体"/>
          <w:color w:val="auto"/>
          <w:sz w:val="21"/>
          <w:szCs w:val="21"/>
          <w:highlight w:val="none"/>
        </w:rPr>
        <w:t>总价金额与单价金额不一致的，以单价金额为准，但单价金额小数点有明显 错误的除外；</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(3)</w:t>
      </w:r>
      <w:r>
        <w:rPr>
          <w:rFonts w:hint="eastAsia" w:ascii="Times New Roman" w:hAnsi="Times New Roman" w:eastAsia="宋体"/>
          <w:color w:val="auto"/>
          <w:sz w:val="21"/>
          <w:szCs w:val="21"/>
          <w:highlight w:val="none"/>
        </w:rPr>
        <w:tab/>
      </w:r>
      <w:r>
        <w:rPr>
          <w:rFonts w:hint="eastAsia" w:ascii="Times New Roman" w:hAnsi="Times New Roman" w:eastAsia="宋体"/>
          <w:color w:val="auto"/>
          <w:sz w:val="21"/>
          <w:szCs w:val="21"/>
          <w:highlight w:val="none"/>
        </w:rPr>
        <w:t>报价表合计报价与分项报价的合计不一致的，以各分项报价的合价累计数为准；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(4)</w:t>
      </w:r>
      <w:r>
        <w:rPr>
          <w:rFonts w:hint="eastAsia" w:ascii="Times New Roman" w:hAnsi="Times New Roman" w:eastAsia="宋体"/>
          <w:color w:val="auto"/>
          <w:sz w:val="21"/>
          <w:szCs w:val="21"/>
          <w:highlight w:val="none"/>
        </w:rPr>
        <w:tab/>
      </w:r>
      <w:r>
        <w:rPr>
          <w:rFonts w:hint="eastAsia" w:ascii="Times New Roman" w:hAnsi="Times New Roman" w:eastAsia="宋体"/>
          <w:color w:val="auto"/>
          <w:sz w:val="21"/>
          <w:szCs w:val="21"/>
          <w:highlight w:val="none"/>
        </w:rPr>
        <w:t>如果分项报价中存在缺漏项，且缺漏项内容不属于实质性偏差的，则视为缺 漏项内容的价格已包含在其他分项报价之中。</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响应报价的算术错误修正不改变评审依据的响应总报价。当修正后的总报价高于 原响应报价时，视同供应商响应报价错误产生少漏计费用，签订合同时由供应商承担， 如评审小组认为供应商无法承受少漏计费用，可以将响应报价作为异常低价处理；当修正后的总报价低于原响应报价时，签订合同时以修正后的报价为准。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2.2.4供应商有串通、弄虚作假、行贿等违法行为的，其响应文件将被视为无效。</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2.2.5特殊情形处理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初步评审后，如评审小组认为所有响应文件均无效，或者所有响应报价竞争性不足，高于市场预期价格，评审小组应当终止评审，或经采购人同意，直接转换选择其他采购方式，与原供应商共同完成后续采购程序。</w:t>
      </w:r>
    </w:p>
    <w:p>
      <w:pPr>
        <w:pStyle w:val="6"/>
        <w:pageBreakBefore w:val="0"/>
        <w:widowControl w:val="0"/>
        <w:kinsoku/>
        <w:wordWrap/>
        <w:overflowPunct/>
        <w:topLinePunct w:val="0"/>
        <w:autoSpaceDE/>
        <w:autoSpaceDN/>
        <w:bidi w:val="0"/>
        <w:adjustRightInd/>
        <w:snapToGrid/>
        <w:spacing w:before="156" w:after="156"/>
        <w:textAlignment w:val="auto"/>
        <w:rPr>
          <w:rFonts w:hint="eastAsia"/>
          <w:color w:val="auto"/>
          <w:sz w:val="21"/>
          <w:szCs w:val="21"/>
          <w:highlight w:val="none"/>
        </w:rPr>
      </w:pPr>
      <w:bookmarkStart w:id="6" w:name="_Toc1973"/>
      <w:r>
        <w:rPr>
          <w:rFonts w:hint="eastAsia"/>
          <w:color w:val="auto"/>
          <w:sz w:val="21"/>
          <w:szCs w:val="21"/>
          <w:highlight w:val="none"/>
        </w:rPr>
        <w:t>3详细评审标准和程序(综合评分法）</w:t>
      </w:r>
      <w:bookmarkEnd w:id="6"/>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bookmarkStart w:id="7" w:name="_Toc4476"/>
      <w:r>
        <w:rPr>
          <w:rFonts w:hint="eastAsia"/>
          <w:color w:val="auto"/>
          <w:sz w:val="21"/>
          <w:szCs w:val="21"/>
          <w:highlight w:val="none"/>
        </w:rPr>
        <w:t>3.1分值构成</w:t>
      </w:r>
      <w:bookmarkEnd w:id="7"/>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ab/>
      </w:r>
      <w:r>
        <w:rPr>
          <w:rFonts w:hint="eastAsia" w:ascii="Times New Roman" w:hAnsi="Times New Roman" w:eastAsia="宋体"/>
          <w:color w:val="auto"/>
          <w:sz w:val="21"/>
          <w:szCs w:val="21"/>
          <w:highlight w:val="none"/>
        </w:rPr>
        <w:t>商务部分：见评审办法前附表；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w:t>
      </w:r>
      <w:r>
        <w:rPr>
          <w:rFonts w:hint="eastAsia" w:ascii="Times New Roman" w:hAnsi="Times New Roman" w:eastAsia="宋体"/>
          <w:color w:val="auto"/>
          <w:sz w:val="21"/>
          <w:szCs w:val="21"/>
          <w:highlight w:val="none"/>
        </w:rPr>
        <w:tab/>
      </w:r>
      <w:r>
        <w:rPr>
          <w:rFonts w:hint="eastAsia" w:ascii="Times New Roman" w:hAnsi="Times New Roman" w:eastAsia="宋体"/>
          <w:color w:val="auto"/>
          <w:sz w:val="21"/>
          <w:szCs w:val="21"/>
          <w:highlight w:val="none"/>
        </w:rPr>
        <w:t>技术部分：见评审办法前附表；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(3)</w:t>
      </w:r>
      <w:r>
        <w:rPr>
          <w:rFonts w:hint="eastAsia" w:ascii="Times New Roman" w:hAnsi="Times New Roman" w:eastAsia="宋体"/>
          <w:color w:val="auto"/>
          <w:sz w:val="21"/>
          <w:szCs w:val="21"/>
          <w:highlight w:val="none"/>
        </w:rPr>
        <w:tab/>
      </w:r>
      <w:r>
        <w:rPr>
          <w:rFonts w:hint="eastAsia" w:ascii="Times New Roman" w:hAnsi="Times New Roman" w:eastAsia="宋体"/>
          <w:color w:val="auto"/>
          <w:sz w:val="21"/>
          <w:szCs w:val="21"/>
          <w:highlight w:val="none"/>
        </w:rPr>
        <w:t>报价：见评审办法前附表；</w:t>
      </w:r>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bookmarkStart w:id="8" w:name="_Toc17299"/>
      <w:r>
        <w:rPr>
          <w:rFonts w:hint="eastAsia"/>
          <w:color w:val="auto"/>
          <w:sz w:val="21"/>
          <w:szCs w:val="21"/>
          <w:highlight w:val="none"/>
        </w:rPr>
        <w:t>3.</w:t>
      </w:r>
      <w:r>
        <w:rPr>
          <w:rFonts w:hint="eastAsia"/>
          <w:color w:val="auto"/>
          <w:sz w:val="21"/>
          <w:szCs w:val="21"/>
          <w:highlight w:val="none"/>
          <w:lang w:val="en-US" w:eastAsia="zh-CN"/>
        </w:rPr>
        <w:t>2</w:t>
      </w:r>
      <w:r>
        <w:rPr>
          <w:rFonts w:hint="eastAsia"/>
          <w:color w:val="auto"/>
          <w:sz w:val="21"/>
          <w:szCs w:val="21"/>
          <w:highlight w:val="none"/>
        </w:rPr>
        <w:t>评分标准</w:t>
      </w:r>
      <w:bookmarkEnd w:id="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ab/>
      </w:r>
      <w:r>
        <w:rPr>
          <w:rFonts w:hint="eastAsia" w:ascii="Times New Roman" w:hAnsi="Times New Roman" w:eastAsia="宋体"/>
          <w:color w:val="auto"/>
          <w:sz w:val="21"/>
          <w:szCs w:val="21"/>
          <w:highlight w:val="none"/>
        </w:rPr>
        <w:t>商务评分标准：见评审办法前附表；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w:t>
      </w:r>
      <w:r>
        <w:rPr>
          <w:rFonts w:hint="eastAsia" w:ascii="Times New Roman" w:hAnsi="Times New Roman" w:eastAsia="宋体"/>
          <w:color w:val="auto"/>
          <w:sz w:val="21"/>
          <w:szCs w:val="21"/>
          <w:highlight w:val="none"/>
        </w:rPr>
        <w:tab/>
      </w:r>
      <w:r>
        <w:rPr>
          <w:rFonts w:hint="eastAsia" w:ascii="Times New Roman" w:hAnsi="Times New Roman" w:eastAsia="宋体"/>
          <w:color w:val="auto"/>
          <w:sz w:val="21"/>
          <w:szCs w:val="21"/>
          <w:highlight w:val="none"/>
        </w:rPr>
        <w:t>技术评分标准：见评审办法前附表；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(3)</w:t>
      </w:r>
      <w:r>
        <w:rPr>
          <w:rFonts w:hint="eastAsia" w:ascii="Times New Roman" w:hAnsi="Times New Roman" w:eastAsia="宋体"/>
          <w:color w:val="auto"/>
          <w:sz w:val="21"/>
          <w:szCs w:val="21"/>
          <w:highlight w:val="none"/>
        </w:rPr>
        <w:tab/>
      </w:r>
      <w:r>
        <w:rPr>
          <w:rFonts w:hint="eastAsia" w:ascii="Times New Roman" w:hAnsi="Times New Roman" w:eastAsia="宋体"/>
          <w:color w:val="auto"/>
          <w:sz w:val="21"/>
          <w:szCs w:val="21"/>
          <w:highlight w:val="none"/>
        </w:rPr>
        <w:t>报价评分标准：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报价得分可采用如下方法计算：</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lang w:eastAsia="zh-CN"/>
        </w:rPr>
      </w:pPr>
      <w:bookmarkStart w:id="9" w:name="_Toc7676"/>
      <w:r>
        <w:rPr>
          <w:rFonts w:hint="eastAsia" w:ascii="Times New Roman" w:hAnsi="Times New Roman" w:eastAsia="宋体"/>
          <w:color w:val="auto"/>
          <w:sz w:val="21"/>
          <w:szCs w:val="21"/>
          <w:highlight w:val="none"/>
          <w:lang w:eastAsia="zh-CN"/>
        </w:rPr>
        <w:t>满足</w:t>
      </w:r>
      <w:r>
        <w:rPr>
          <w:rFonts w:hint="eastAsia" w:ascii="Times New Roman" w:hAnsi="Times New Roman" w:eastAsia="宋体"/>
          <w:color w:val="auto"/>
          <w:sz w:val="21"/>
          <w:szCs w:val="21"/>
          <w:highlight w:val="none"/>
          <w:lang w:val="en-US" w:eastAsia="zh-CN"/>
        </w:rPr>
        <w:t>询比</w:t>
      </w:r>
      <w:r>
        <w:rPr>
          <w:rFonts w:hint="eastAsia" w:ascii="Times New Roman" w:hAnsi="Times New Roman" w:eastAsia="宋体"/>
          <w:color w:val="auto"/>
          <w:sz w:val="21"/>
          <w:szCs w:val="21"/>
          <w:highlight w:val="none"/>
          <w:lang w:eastAsia="zh-CN"/>
        </w:rPr>
        <w:t>文件要求且报价最低的供应商的价格为评审基准价，供应商报价</w:t>
      </w:r>
      <w:r>
        <w:rPr>
          <w:rFonts w:hint="eastAsia" w:ascii="Times New Roman" w:hAnsi="Times New Roman" w:eastAsia="宋体"/>
          <w:color w:val="auto"/>
          <w:sz w:val="21"/>
          <w:szCs w:val="21"/>
          <w:highlight w:val="none"/>
          <w:lang w:val="en-US" w:eastAsia="zh-CN"/>
        </w:rPr>
        <w:t>得分</w:t>
      </w:r>
      <w:r>
        <w:rPr>
          <w:rFonts w:hint="eastAsia" w:ascii="Times New Roman" w:hAnsi="Times New Roman" w:eastAsia="宋体"/>
          <w:color w:val="auto"/>
          <w:sz w:val="21"/>
          <w:szCs w:val="21"/>
          <w:highlight w:val="none"/>
          <w:lang w:eastAsia="zh-CN"/>
        </w:rPr>
        <w:t xml:space="preserve">等于评审基准价得满分 </w:t>
      </w:r>
      <w:r>
        <w:rPr>
          <w:rFonts w:hint="eastAsia" w:ascii="Times New Roman" w:hAnsi="Times New Roman" w:eastAsia="宋体"/>
          <w:color w:val="auto"/>
          <w:sz w:val="21"/>
          <w:szCs w:val="21"/>
          <w:highlight w:val="none"/>
          <w:lang w:val="en-US" w:eastAsia="zh-CN"/>
        </w:rPr>
        <w:t>3</w:t>
      </w:r>
      <w:r>
        <w:rPr>
          <w:rFonts w:hint="eastAsia" w:ascii="Times New Roman" w:hAnsi="Times New Roman" w:eastAsia="宋体"/>
          <w:color w:val="auto"/>
          <w:sz w:val="21"/>
          <w:szCs w:val="21"/>
          <w:highlight w:val="none"/>
          <w:lang w:eastAsia="zh-CN"/>
        </w:rPr>
        <w:t>0分，其他供应商的报价得分计算方法如下：</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报价得分=（评审基准价/</w:t>
      </w:r>
      <w:r>
        <w:rPr>
          <w:rFonts w:hint="eastAsia" w:ascii="Times New Roman" w:hAnsi="Times New Roman" w:eastAsia="宋体"/>
          <w:color w:val="auto"/>
          <w:sz w:val="21"/>
          <w:szCs w:val="21"/>
          <w:highlight w:val="none"/>
          <w:lang w:val="en-US" w:eastAsia="zh-CN"/>
        </w:rPr>
        <w:t>投标</w:t>
      </w:r>
      <w:r>
        <w:rPr>
          <w:rFonts w:hint="eastAsia" w:ascii="Times New Roman" w:hAnsi="Times New Roman" w:eastAsia="宋体"/>
          <w:color w:val="auto"/>
          <w:sz w:val="21"/>
          <w:szCs w:val="21"/>
          <w:highlight w:val="none"/>
          <w:lang w:eastAsia="zh-CN"/>
        </w:rPr>
        <w:t>报价）×</w:t>
      </w:r>
      <w:r>
        <w:rPr>
          <w:rFonts w:hint="eastAsia" w:ascii="Times New Roman" w:hAnsi="Times New Roman" w:eastAsia="宋体"/>
          <w:color w:val="auto"/>
          <w:sz w:val="21"/>
          <w:szCs w:val="21"/>
          <w:highlight w:val="none"/>
          <w:lang w:val="en-US" w:eastAsia="zh-CN"/>
        </w:rPr>
        <w:t>3</w:t>
      </w:r>
      <w:r>
        <w:rPr>
          <w:rFonts w:hint="eastAsia" w:ascii="Times New Roman" w:hAnsi="Times New Roman" w:eastAsia="宋体"/>
          <w:color w:val="auto"/>
          <w:sz w:val="21"/>
          <w:szCs w:val="21"/>
          <w:highlight w:val="none"/>
          <w:lang w:eastAsia="zh-CN"/>
        </w:rPr>
        <w:t>0</w:t>
      </w:r>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r>
        <w:rPr>
          <w:rFonts w:hint="eastAsia"/>
          <w:color w:val="auto"/>
          <w:sz w:val="21"/>
          <w:szCs w:val="21"/>
          <w:highlight w:val="none"/>
        </w:rPr>
        <w:t>3.4评分</w:t>
      </w:r>
      <w:bookmarkEnd w:id="9"/>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小组成员按照评分标准独立对供应商的商务、技术和其他因素进行评分。报价评分由评审小组统一计算。各项得分汇总后为该成员给供应商的评分总分。评分分值计算保留小数点后两位，小数点后第三位“四舍五</w:t>
      </w:r>
      <w:r>
        <w:rPr>
          <w:rFonts w:hint="eastAsia" w:ascii="Times New Roman" w:hAnsi="Times New Roman" w:eastAsia="宋体"/>
          <w:color w:val="auto"/>
          <w:sz w:val="21"/>
          <w:szCs w:val="21"/>
          <w:highlight w:val="none"/>
          <w:lang w:val="en-US" w:eastAsia="zh-CN"/>
        </w:rPr>
        <w:t>入</w:t>
      </w:r>
      <w:r>
        <w:rPr>
          <w:rFonts w:hint="eastAsia" w:ascii="Times New Roman" w:hAnsi="Times New Roman" w:eastAsia="宋体"/>
          <w:color w:val="auto"/>
          <w:sz w:val="21"/>
          <w:szCs w:val="21"/>
          <w:highlight w:val="none"/>
        </w:rPr>
        <w:t>”。</w:t>
      </w:r>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bookmarkStart w:id="10" w:name="_Toc24548"/>
      <w:r>
        <w:rPr>
          <w:rFonts w:hint="eastAsia"/>
          <w:color w:val="auto"/>
          <w:sz w:val="21"/>
          <w:szCs w:val="21"/>
          <w:highlight w:val="none"/>
        </w:rPr>
        <w:t>3.5汇总</w:t>
      </w:r>
      <w:bookmarkEnd w:id="10"/>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评审小组汇总每个成员对供应商的评分总分，每个供应商的评分总分的算术平均值为供应商最终得分。</w:t>
      </w:r>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bookmarkStart w:id="11" w:name="_Toc32051"/>
      <w:r>
        <w:rPr>
          <w:rFonts w:hint="eastAsia"/>
          <w:color w:val="auto"/>
          <w:sz w:val="21"/>
          <w:szCs w:val="21"/>
          <w:highlight w:val="none"/>
        </w:rPr>
        <w:t>3.6排序</w:t>
      </w:r>
      <w:bookmarkEnd w:id="11"/>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bookmarkStart w:id="12" w:name="_Toc14561"/>
      <w:r>
        <w:rPr>
          <w:rFonts w:hint="eastAsia"/>
          <w:color w:val="auto"/>
          <w:sz w:val="21"/>
          <w:szCs w:val="21"/>
          <w:highlight w:val="none"/>
        </w:rPr>
        <w:t>3.7特殊情形处理</w:t>
      </w:r>
      <w:bookmarkEnd w:id="12"/>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当通过初步评审的供应商数量未超过询比采购公告第1. 6款规定的成交供应商数量、评审小组认为供应商的响应报价合理且物有所值时，不再进行详细评审，直接推荐上述供应商为候选成交供应商。</w:t>
      </w:r>
    </w:p>
    <w:p>
      <w:pPr>
        <w:pStyle w:val="6"/>
        <w:pageBreakBefore w:val="0"/>
        <w:widowControl w:val="0"/>
        <w:kinsoku/>
        <w:wordWrap/>
        <w:overflowPunct/>
        <w:topLinePunct w:val="0"/>
        <w:autoSpaceDE/>
        <w:autoSpaceDN/>
        <w:bidi w:val="0"/>
        <w:adjustRightInd/>
        <w:snapToGrid/>
        <w:spacing w:before="156" w:after="156"/>
        <w:textAlignment w:val="auto"/>
        <w:rPr>
          <w:rFonts w:hint="eastAsia"/>
          <w:color w:val="auto"/>
          <w:sz w:val="21"/>
          <w:szCs w:val="21"/>
          <w:highlight w:val="none"/>
        </w:rPr>
      </w:pPr>
      <w:bookmarkStart w:id="13" w:name="_Toc21751"/>
      <w:r>
        <w:rPr>
          <w:rFonts w:hint="eastAsia"/>
          <w:color w:val="auto"/>
          <w:sz w:val="21"/>
          <w:szCs w:val="21"/>
          <w:highlight w:val="none"/>
        </w:rPr>
        <w:t>4评审结果</w:t>
      </w:r>
      <w:bookmarkEnd w:id="13"/>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bookmarkStart w:id="14" w:name="_Toc13693"/>
      <w:r>
        <w:rPr>
          <w:rFonts w:hint="eastAsia"/>
          <w:color w:val="auto"/>
          <w:sz w:val="21"/>
          <w:szCs w:val="21"/>
          <w:highlight w:val="none"/>
        </w:rPr>
        <w:t>4.1提交书面评审报告</w:t>
      </w:r>
      <w:bookmarkEnd w:id="14"/>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评审小组完成评审后，应当向采购人提交书面评审报告。</w:t>
      </w:r>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bookmarkStart w:id="15" w:name="_Toc20229"/>
      <w:r>
        <w:rPr>
          <w:rFonts w:hint="eastAsia"/>
          <w:color w:val="auto"/>
          <w:sz w:val="21"/>
          <w:szCs w:val="21"/>
          <w:highlight w:val="none"/>
        </w:rPr>
        <w:t>4.2推荐候选成交供应商排序要求及数量</w:t>
      </w:r>
      <w:bookmarkEnd w:id="1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评审小组应在书面评审报告中按照供应商排列的优先顺序向采购人推荐候选成交供应商。候选成交供应商的排序要求及数量见第二章“供应商须知”。</w:t>
      </w:r>
    </w:p>
    <w:p>
      <w:pPr>
        <w:pStyle w:val="6"/>
        <w:pageBreakBefore w:val="0"/>
        <w:widowControl w:val="0"/>
        <w:kinsoku/>
        <w:wordWrap/>
        <w:overflowPunct/>
        <w:topLinePunct w:val="0"/>
        <w:autoSpaceDE/>
        <w:autoSpaceDN/>
        <w:bidi w:val="0"/>
        <w:adjustRightInd/>
        <w:snapToGrid/>
        <w:spacing w:before="156" w:after="156"/>
        <w:textAlignment w:val="auto"/>
        <w:rPr>
          <w:rFonts w:hint="eastAsia"/>
          <w:color w:val="auto"/>
          <w:sz w:val="21"/>
          <w:szCs w:val="21"/>
          <w:highlight w:val="none"/>
        </w:rPr>
      </w:pPr>
      <w:bookmarkStart w:id="16" w:name="_Toc1234"/>
      <w:r>
        <w:rPr>
          <w:rFonts w:hint="eastAsia"/>
          <w:color w:val="auto"/>
          <w:sz w:val="21"/>
          <w:szCs w:val="21"/>
          <w:highlight w:val="none"/>
        </w:rPr>
        <w:t>5直接转换采购方式评审程序</w:t>
      </w:r>
      <w:bookmarkEnd w:id="16"/>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bookmarkStart w:id="17" w:name="_Toc303"/>
      <w:r>
        <w:rPr>
          <w:rFonts w:hint="eastAsia"/>
          <w:color w:val="auto"/>
          <w:sz w:val="21"/>
          <w:szCs w:val="21"/>
          <w:highlight w:val="none"/>
        </w:rPr>
        <w:t>5.1初步评审</w:t>
      </w:r>
      <w:bookmarkEnd w:id="17"/>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5.1. 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5.1.2响应文件的形式或供应商资格不符合采购文件的要求、响应文件未实质性响应 采购文件的要求，或响应文件中有含义不明确、同类问题表述不一致或有明显文字和 计算错误的内容</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评审小组应要求供应商在规定时间内进行澄清、说明和补正。供应商澄清、说明和补正的内容应由法定代表人(单位负责人）或其授权的代理人签字或加盖单位章。澄清、说明和补正的内容作为响应文件的组成部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5.1.3只有形式评审和资格评审合格且实质性响应采购文件要求的供应商才可通过初步评审。经供应商澄清、说明和补正后仍未通过初步评审的响应文件将被视为无效，评审小组应告知有关供应商。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5.1.4当通过初步评审的供应商数量大于</w:t>
      </w:r>
      <w:r>
        <w:rPr>
          <w:rFonts w:hint="eastAsia" w:ascii="Times New Roman" w:hAnsi="Times New Roman" w:eastAsia="宋体"/>
          <w:color w:val="auto"/>
          <w:sz w:val="21"/>
          <w:szCs w:val="21"/>
          <w:highlight w:val="none"/>
          <w:lang w:eastAsia="zh-CN"/>
        </w:rPr>
        <w:t>询比采购公告</w:t>
      </w:r>
      <w:r>
        <w:rPr>
          <w:rFonts w:hint="eastAsia" w:ascii="Times New Roman" w:hAnsi="Times New Roman" w:eastAsia="宋体"/>
          <w:color w:val="auto"/>
          <w:sz w:val="21"/>
          <w:szCs w:val="21"/>
          <w:highlight w:val="none"/>
        </w:rPr>
        <w:t>第1. 6款规定的成交供应商数量时，可以改为参照谈判方式继续评审选择成交供应商。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当通过初步评审的供应商数量等于询比采购公告规定的成交供应商数量时，可以改为参照直接采购方式继续评审选择成交供应商。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当</w:t>
      </w:r>
      <w:r>
        <w:rPr>
          <w:rFonts w:hint="eastAsia" w:ascii="Times New Roman" w:hAnsi="Times New Roman" w:eastAsia="宋体"/>
          <w:color w:val="auto"/>
          <w:sz w:val="21"/>
          <w:szCs w:val="21"/>
          <w:highlight w:val="none"/>
          <w:lang w:eastAsia="zh-CN"/>
        </w:rPr>
        <w:t>询比采购公告</w:t>
      </w:r>
      <w:r>
        <w:rPr>
          <w:rFonts w:hint="eastAsia" w:ascii="Times New Roman" w:hAnsi="Times New Roman" w:eastAsia="宋体"/>
          <w:color w:val="auto"/>
          <w:sz w:val="21"/>
          <w:szCs w:val="21"/>
          <w:highlight w:val="none"/>
        </w:rPr>
        <w:t>第1.6款选择多家成交供应商，通过初步评审的供应商数量小于约定成交供应商数量且大于等于一家的，可以改为参照直接采购方式 继续评审选择一部分成交供应商，或者终止全部采购，重新组织采购选择全部成交供应商。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初步评审后，当所有响应文件均无效时，应重新组织采购。</w:t>
      </w:r>
    </w:p>
    <w:p>
      <w:pPr>
        <w:pStyle w:val="7"/>
        <w:pageBreakBefore w:val="0"/>
        <w:widowControl w:val="0"/>
        <w:kinsoku/>
        <w:wordWrap/>
        <w:overflowPunct/>
        <w:topLinePunct w:val="0"/>
        <w:autoSpaceDE/>
        <w:autoSpaceDN/>
        <w:bidi w:val="0"/>
        <w:adjustRightInd/>
        <w:snapToGrid/>
        <w:textAlignment w:val="auto"/>
        <w:rPr>
          <w:rFonts w:hint="eastAsia"/>
          <w:color w:val="auto"/>
          <w:sz w:val="21"/>
          <w:szCs w:val="21"/>
          <w:highlight w:val="none"/>
        </w:rPr>
      </w:pPr>
      <w:bookmarkStart w:id="18" w:name="_Toc1025"/>
      <w:r>
        <w:rPr>
          <w:rFonts w:hint="eastAsia"/>
          <w:color w:val="auto"/>
          <w:sz w:val="21"/>
          <w:szCs w:val="21"/>
          <w:highlight w:val="none"/>
        </w:rPr>
        <w:t>5.2转换采购方式</w:t>
      </w:r>
      <w:bookmarkEnd w:id="1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5.2.1参照谈判采购方式评审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(1)谈判。</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ab/>
      </w:r>
      <w:r>
        <w:rPr>
          <w:rFonts w:hint="eastAsia" w:ascii="Times New Roman" w:hAnsi="Times New Roman" w:eastAsia="宋体"/>
          <w:color w:val="auto"/>
          <w:sz w:val="21"/>
          <w:szCs w:val="21"/>
          <w:highlight w:val="none"/>
        </w:rPr>
        <w:t>评审小组应按照供应商递交响应文件的顺序或评审小组抽签确定的顺序与通过 初步评审的供应商逐一进行谈判。评审小组可以根据谈判情况决定谈判轮次，并给予所有参加谈判的供应商平等的谈判机会。在谈判过程中，评审小组可根据谈判情况修 改和补充采购文件中的非实质性内容，但不得改变评审标准或可能影响初步评审结果的内容。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2)供应商的法定代表人(单位负责人）或其授权的代理人应参加谈判。供应商的法定代表人(单位负责人）或其授权的代理人在谈判中作出的承诺构成响应文件的组成部分。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3)谈判结束后，评审小组将要求所有参加谈判的供应商在规定时间内递交最终报价。最终报价应由供应商的法定代表人(单位负责人）或其授权的代理人签字或盖单位章。最终报价是供应商响应文件的组成部分。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(2)公开开启最终报价。</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评审小组将在递交最终报价的截止时间公开开启最终报价，供应商未派代表参加开启会议的，视为默认开启结果。</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(3)详细评审。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评审小组将按本章第3条规定对响应文件及其最终报价进行详细评审。采用综合 评分法的，评审小组有权对本章第3.2项规定的评审基准价和第3.3 (3)目规定的报 价评分标准进行调整，但评审小组应在谈判开始前向供应商公布，未公布的，视为评 审基准价和报价评分标准不作调整；详细评审标准中除报价评审标准外的其他评审标 准不作调整。</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通过谈判后，评审小组认为所有供应商的最终报价仍然不合理的，应向采购人提 出终止采购建议。</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(4)编写评审报告。</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评审小组按本章第4. 2款规定推荐候选成交供应商或按本章第5. 2. 1 ( 3)规定提 出终止采购建议，并向采购人提交书面评审报告。</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5.2.2参照直接采购方式评审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(1)谈判。</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评审小组所有成员集中与供应商进行谈判，供应商的法定代表人(单位负责人）或其授权的代理人应参加谈判。在谈判过程中，评审小组可根据谈判情况修改和补充 采购文件中的非实质性内容，但不得改变可能影响初步评审结果的内容。供应商的法 定代表人(单位负责人或其授权的代理人）在谈判中作出的承诺构成响应文件的组成部分。评审小组可根据需要，安排多轮谈判。</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(2)详细评审。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评审小组通过对采购成本、供应能力、风险管控、采购目标等的分析，对供应商 拟提供标的技术、商务进行物有所值综合评价。</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(3) 编写评审报告。</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olor w:val="auto"/>
          <w:sz w:val="24"/>
          <w:highlight w:val="none"/>
        </w:rPr>
        <w:sectPr>
          <w:pgSz w:w="11906" w:h="16838"/>
          <w:pgMar w:top="1440" w:right="1080" w:bottom="1440" w:left="1080" w:header="851" w:footer="992" w:gutter="0"/>
          <w:cols w:space="425" w:num="1"/>
          <w:docGrid w:type="lines" w:linePitch="312" w:charSpace="0"/>
        </w:sectPr>
      </w:pPr>
      <w:r>
        <w:rPr>
          <w:rFonts w:hint="eastAsia" w:ascii="Times New Roman" w:hAnsi="Times New Roman" w:eastAsia="宋体"/>
          <w:color w:val="auto"/>
          <w:sz w:val="21"/>
          <w:szCs w:val="21"/>
          <w:highlight w:val="none"/>
        </w:rPr>
        <w:t>评审小组根据预期的谈判目标综合谈判纪要编写评审报告，推荐候选成</w:t>
      </w:r>
      <w:r>
        <w:rPr>
          <w:rFonts w:hint="eastAsia" w:ascii="Times New Roman" w:hAnsi="Times New Roman" w:eastAsia="宋体"/>
          <w:color w:val="auto"/>
          <w:sz w:val="21"/>
          <w:szCs w:val="21"/>
          <w:highlight w:val="none"/>
          <w:lang w:val="en-US" w:eastAsia="zh-CN"/>
        </w:rPr>
        <w:t>交</w:t>
      </w:r>
      <w:r>
        <w:rPr>
          <w:rFonts w:hint="eastAsia" w:ascii="Times New Roman" w:hAnsi="Times New Roman" w:eastAsia="宋体"/>
          <w:color w:val="auto"/>
          <w:sz w:val="21"/>
          <w:szCs w:val="21"/>
          <w:highlight w:val="none"/>
        </w:rPr>
        <w:t>供应商或提出谈判终止建议。</w:t>
      </w:r>
    </w:p>
    <w:p>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Wingdings 2">
    <w:panose1 w:val="05020102010507070707"/>
    <w:charset w:val="00"/>
    <w:family w:val="auto"/>
    <w:pitch w:val="default"/>
    <w:sig w:usb0="00000000" w:usb1="00000000" w:usb2="00000000" w:usb3="00000000" w:csb0="8000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GYxYjkxY2MyMTk4MjBiNTNmMDk3NzRkZWI3MjIifQ=="/>
  </w:docVars>
  <w:rsids>
    <w:rsidRoot w:val="10B54431"/>
    <w:rsid w:val="00FF47A8"/>
    <w:rsid w:val="041E593A"/>
    <w:rsid w:val="047965C4"/>
    <w:rsid w:val="05C733AB"/>
    <w:rsid w:val="072C5E4D"/>
    <w:rsid w:val="07952820"/>
    <w:rsid w:val="09DE19E1"/>
    <w:rsid w:val="0E180584"/>
    <w:rsid w:val="0FEC7FCD"/>
    <w:rsid w:val="10B54431"/>
    <w:rsid w:val="1150408C"/>
    <w:rsid w:val="15FB19C5"/>
    <w:rsid w:val="1E15725F"/>
    <w:rsid w:val="20E17B3A"/>
    <w:rsid w:val="266B452B"/>
    <w:rsid w:val="2A535D75"/>
    <w:rsid w:val="2A7427A7"/>
    <w:rsid w:val="2D853A09"/>
    <w:rsid w:val="2D9E27B4"/>
    <w:rsid w:val="302745C1"/>
    <w:rsid w:val="30C60B62"/>
    <w:rsid w:val="31B63180"/>
    <w:rsid w:val="36FD1A92"/>
    <w:rsid w:val="379F3E3A"/>
    <w:rsid w:val="39CC2C68"/>
    <w:rsid w:val="3A091738"/>
    <w:rsid w:val="3A352600"/>
    <w:rsid w:val="3D5341FC"/>
    <w:rsid w:val="3EAC44F4"/>
    <w:rsid w:val="415905D8"/>
    <w:rsid w:val="420B0B12"/>
    <w:rsid w:val="43E9686E"/>
    <w:rsid w:val="441576F5"/>
    <w:rsid w:val="450E03E6"/>
    <w:rsid w:val="46005E83"/>
    <w:rsid w:val="465B2C4D"/>
    <w:rsid w:val="479B4391"/>
    <w:rsid w:val="48EE2EF0"/>
    <w:rsid w:val="492B397A"/>
    <w:rsid w:val="4F646F0D"/>
    <w:rsid w:val="520E7974"/>
    <w:rsid w:val="568E2ECF"/>
    <w:rsid w:val="572745FC"/>
    <w:rsid w:val="5903322B"/>
    <w:rsid w:val="5ADA73C0"/>
    <w:rsid w:val="5E4F09EC"/>
    <w:rsid w:val="619343CA"/>
    <w:rsid w:val="64B73B15"/>
    <w:rsid w:val="65E220AC"/>
    <w:rsid w:val="67454F66"/>
    <w:rsid w:val="67A5191F"/>
    <w:rsid w:val="6C1005E7"/>
    <w:rsid w:val="6C4E3A65"/>
    <w:rsid w:val="6DD45C24"/>
    <w:rsid w:val="7E03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100" w:beforeLines="100" w:after="100" w:afterLines="100" w:line="360" w:lineRule="auto"/>
      <w:jc w:val="center"/>
      <w:outlineLvl w:val="0"/>
    </w:pPr>
    <w:rPr>
      <w:rFonts w:ascii="Times New Roman" w:hAnsi="Times New Roman" w:eastAsia="黑体"/>
      <w:bCs/>
      <w:kern w:val="44"/>
      <w:sz w:val="36"/>
      <w:szCs w:val="44"/>
    </w:rPr>
  </w:style>
  <w:style w:type="paragraph" w:styleId="6">
    <w:name w:val="heading 2"/>
    <w:basedOn w:val="1"/>
    <w:next w:val="1"/>
    <w:unhideWhenUsed/>
    <w:qFormat/>
    <w:uiPriority w:val="9"/>
    <w:pPr>
      <w:keepNext/>
      <w:keepLines/>
      <w:spacing w:before="50" w:beforeLines="50" w:after="50" w:afterLines="50" w:line="360" w:lineRule="auto"/>
      <w:jc w:val="left"/>
      <w:outlineLvl w:val="1"/>
    </w:pPr>
    <w:rPr>
      <w:rFonts w:eastAsia="宋体" w:asciiTheme="majorHAnsi" w:hAnsiTheme="majorHAnsi" w:cstheme="majorBidi"/>
      <w:b/>
      <w:bCs/>
      <w:sz w:val="32"/>
      <w:szCs w:val="32"/>
    </w:rPr>
  </w:style>
  <w:style w:type="paragraph" w:styleId="7">
    <w:name w:val="heading 3"/>
    <w:basedOn w:val="1"/>
    <w:next w:val="1"/>
    <w:unhideWhenUsed/>
    <w:qFormat/>
    <w:uiPriority w:val="9"/>
    <w:pPr>
      <w:keepNext/>
      <w:keepLines/>
      <w:spacing w:line="360" w:lineRule="auto"/>
      <w:jc w:val="left"/>
      <w:outlineLvl w:val="2"/>
    </w:pPr>
    <w:rPr>
      <w:rFonts w:ascii="Times New Roman" w:hAnsi="Times New Roman" w:eastAsia="宋体"/>
      <w:b/>
      <w:bCs/>
      <w:sz w:val="30"/>
      <w:szCs w:val="32"/>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360"/>
      </w:tabs>
      <w:spacing w:line="220" w:lineRule="exact"/>
      <w:ind w:left="360" w:hanging="360" w:firstLineChars="200"/>
      <w:jc w:val="left"/>
    </w:pPr>
    <w:rPr>
      <w:color w:val="7030A0"/>
    </w:rPr>
  </w:style>
  <w:style w:type="paragraph" w:styleId="3">
    <w:name w:val="Body Text"/>
    <w:basedOn w:val="1"/>
    <w:next w:val="4"/>
    <w:qFormat/>
    <w:uiPriority w:val="0"/>
    <w:pPr>
      <w:spacing w:line="360" w:lineRule="auto"/>
    </w:pPr>
    <w:rPr>
      <w:sz w:val="24"/>
      <w:szCs w:val="20"/>
    </w:rPr>
  </w:style>
  <w:style w:type="paragraph" w:customStyle="1" w:styleId="4">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5656</Words>
  <Characters>5859</Characters>
  <Lines>0</Lines>
  <Paragraphs>0</Paragraphs>
  <TotalTime>0</TotalTime>
  <ScaleCrop>false</ScaleCrop>
  <LinksUpToDate>false</LinksUpToDate>
  <CharactersWithSpaces>5918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2024-06-26T07:24:00Z</dcterms:created>
  <dc:creator>你比夏天还遥远</dc:creator>
  <cp:lastModifiedBy>你比夏天还遥远</cp:lastModifiedBy>
  <dcterms:modified xsi:type="dcterms:W3CDTF">2024-07-02T10:15:31Z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AAE9E480A4C541E4837471111D4B60FF_11</vt:lpwstr>
  </property>
</Properties>
</file>