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CB" w:rsidRPr="00A967CB" w:rsidRDefault="00A967CB" w:rsidP="00A967CB">
      <w:pPr>
        <w:jc w:val="left"/>
        <w:rPr>
          <w:rFonts w:ascii="宋体" w:hAnsi="宋体" w:cs="宋体"/>
          <w:color w:val="000000" w:themeColor="text1"/>
          <w:sz w:val="24"/>
          <w:szCs w:val="24"/>
        </w:rPr>
      </w:pPr>
    </w:p>
    <w:p w:rsidR="00A967CB" w:rsidRPr="00A967CB" w:rsidRDefault="00A967CB" w:rsidP="00A967CB">
      <w:pPr>
        <w:spacing w:line="312" w:lineRule="auto"/>
        <w:jc w:val="center"/>
        <w:rPr>
          <w:rFonts w:ascii="宋体" w:hAnsi="宋体" w:cs="宋体"/>
          <w:b/>
          <w:bCs/>
          <w:color w:val="000000" w:themeColor="text1"/>
          <w:szCs w:val="28"/>
        </w:rPr>
      </w:pPr>
      <w:r w:rsidRPr="00A967CB">
        <w:rPr>
          <w:rFonts w:ascii="宋体" w:hAnsi="宋体" w:cs="宋体" w:hint="eastAsia"/>
          <w:b/>
          <w:bCs/>
          <w:color w:val="000000" w:themeColor="text1"/>
          <w:szCs w:val="28"/>
        </w:rPr>
        <w:t>评审标准</w:t>
      </w:r>
    </w:p>
    <w:p w:rsidR="00A967CB" w:rsidRPr="00A967CB" w:rsidRDefault="00A967CB" w:rsidP="00A967CB">
      <w:pPr>
        <w:rPr>
          <w:rFonts w:ascii="宋体" w:hAnsi="宋体" w:cs="宋体"/>
          <w:color w:val="000000" w:themeColor="text1"/>
          <w:sz w:val="24"/>
          <w:szCs w:val="24"/>
        </w:rPr>
      </w:pPr>
    </w:p>
    <w:tbl>
      <w:tblPr>
        <w:tblW w:w="4999" w:type="pct"/>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000" w:firstRow="0" w:lastRow="0" w:firstColumn="0" w:lastColumn="0" w:noHBand="0" w:noVBand="0"/>
      </w:tblPr>
      <w:tblGrid>
        <w:gridCol w:w="653"/>
        <w:gridCol w:w="866"/>
        <w:gridCol w:w="1876"/>
        <w:gridCol w:w="5049"/>
        <w:gridCol w:w="722"/>
        <w:gridCol w:w="562"/>
      </w:tblGrid>
      <w:tr w:rsidR="00A967CB" w:rsidRPr="00A967CB" w:rsidTr="005E24C0">
        <w:tc>
          <w:tcPr>
            <w:tcW w:w="781" w:type="pct"/>
            <w:gridSpan w:val="2"/>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评审因素</w:t>
            </w:r>
          </w:p>
        </w:tc>
        <w:tc>
          <w:tcPr>
            <w:tcW w:w="964" w:type="pct"/>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评审点</w:t>
            </w:r>
          </w:p>
        </w:tc>
        <w:tc>
          <w:tcPr>
            <w:tcW w:w="2595" w:type="pct"/>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评审标准</w:t>
            </w:r>
          </w:p>
        </w:tc>
        <w:tc>
          <w:tcPr>
            <w:tcW w:w="660" w:type="pct"/>
            <w:gridSpan w:val="2"/>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评审意见</w:t>
            </w:r>
          </w:p>
        </w:tc>
      </w:tr>
      <w:tr w:rsidR="00A967CB" w:rsidRPr="00A967CB" w:rsidTr="005E24C0">
        <w:tc>
          <w:tcPr>
            <w:tcW w:w="781" w:type="pct"/>
            <w:gridSpan w:val="2"/>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964"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2595"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是</w:t>
            </w: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否</w:t>
            </w:r>
          </w:p>
        </w:tc>
      </w:tr>
      <w:tr w:rsidR="00A967CB" w:rsidRPr="00A967CB" w:rsidTr="005E24C0">
        <w:tc>
          <w:tcPr>
            <w:tcW w:w="336" w:type="pct"/>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初步评审</w:t>
            </w:r>
          </w:p>
        </w:tc>
        <w:tc>
          <w:tcPr>
            <w:tcW w:w="44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资格检查</w:t>
            </w: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营业执照</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color w:val="000000" w:themeColor="text1"/>
              </w:rPr>
            </w:pPr>
            <w:r w:rsidRPr="00A967CB">
              <w:rPr>
                <w:rFonts w:ascii="宋体" w:eastAsia="宋体" w:hAnsi="宋体" w:cs="宋体"/>
                <w:color w:val="000000" w:themeColor="text1"/>
              </w:rPr>
              <w:t>提供有效的“营业执照”</w:t>
            </w:r>
            <w:r w:rsidRPr="00A967CB">
              <w:rPr>
                <w:rFonts w:ascii="宋体" w:eastAsia="宋体" w:hAnsi="宋体" w:cs="宋体" w:hint="eastAsia"/>
                <w:color w:val="000000" w:themeColor="text1"/>
              </w:rPr>
              <w:t>，未超出营业范围</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val="restart"/>
            <w:tcBorders>
              <w:top w:val="outset" w:sz="6" w:space="0" w:color="auto"/>
              <w:left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符合性检查</w:t>
            </w: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color w:val="000000" w:themeColor="text1"/>
              </w:rPr>
            </w:pPr>
            <w:r w:rsidRPr="00A967CB">
              <w:rPr>
                <w:rFonts w:eastAsia="宋体" w:hint="eastAsia"/>
                <w:color w:val="000000" w:themeColor="text1"/>
              </w:rPr>
              <w:t>企业资质</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color w:val="000000" w:themeColor="text1"/>
              </w:rPr>
            </w:pPr>
            <w:r w:rsidRPr="00A967CB">
              <w:rPr>
                <w:rFonts w:hint="eastAsia"/>
                <w:color w:val="000000" w:themeColor="text1"/>
              </w:rPr>
              <w:t>具有国家有关部门颁发的测绘资质证书，专业范围应包括</w:t>
            </w:r>
            <w:r w:rsidRPr="00A967CB">
              <w:rPr>
                <w:rFonts w:ascii="宋体" w:eastAsia="宋体" w:hAnsi="宋体" w:cs="宋体" w:hint="eastAsia"/>
                <w:color w:val="000000" w:themeColor="text1"/>
              </w:rPr>
              <w:t>界线与不动产测绘</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color w:val="000000" w:themeColor="text1"/>
              </w:rPr>
            </w:pPr>
            <w:r w:rsidRPr="00A967CB">
              <w:rPr>
                <w:rFonts w:ascii="宋体" w:hAnsi="宋体" w:cs="宋体" w:hint="eastAsia"/>
                <w:color w:val="000000" w:themeColor="text1"/>
              </w:rPr>
              <w:t>具有良好的商业信誉和健全的财务会计制度</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1"/>
              <w:rPr>
                <w:color w:val="000000" w:themeColor="text1"/>
              </w:rPr>
            </w:pPr>
            <w:r w:rsidRPr="00A967CB">
              <w:rPr>
                <w:rFonts w:ascii="宋体" w:hAnsi="宋体" w:cs="宋体" w:hint="eastAsia"/>
                <w:color w:val="000000" w:themeColor="text1"/>
                <w:kern w:val="0"/>
                <w:sz w:val="24"/>
                <w:szCs w:val="24"/>
              </w:rPr>
              <w:t>提供上年度</w:t>
            </w:r>
            <w:r w:rsidRPr="00A967CB">
              <w:rPr>
                <w:rFonts w:ascii="Times New Roman" w:hAnsi="Times New Roman" w:hint="eastAsia"/>
                <w:color w:val="000000" w:themeColor="text1"/>
                <w:kern w:val="0"/>
                <w:sz w:val="24"/>
                <w:szCs w:val="24"/>
              </w:rPr>
              <w:t>经审计的财</w:t>
            </w:r>
            <w:r w:rsidRPr="00A967CB">
              <w:rPr>
                <w:rFonts w:ascii="宋体" w:hAnsi="宋体" w:cs="宋体" w:hint="eastAsia"/>
                <w:color w:val="000000" w:themeColor="text1"/>
                <w:kern w:val="0"/>
                <w:sz w:val="24"/>
                <w:szCs w:val="24"/>
              </w:rPr>
              <w:t>务会计报告或</w:t>
            </w:r>
            <w:r w:rsidRPr="00A967CB">
              <w:rPr>
                <w:rFonts w:ascii="Times New Roman" w:eastAsia="Times New Roman" w:hAnsi="Times New Roman"/>
                <w:color w:val="000000" w:themeColor="text1"/>
                <w:kern w:val="0"/>
                <w:sz w:val="24"/>
                <w:szCs w:val="24"/>
              </w:rPr>
              <w:t>202</w:t>
            </w:r>
            <w:r w:rsidRPr="00A967CB">
              <w:rPr>
                <w:rFonts w:ascii="Times New Roman" w:hAnsi="Times New Roman" w:hint="eastAsia"/>
                <w:color w:val="000000" w:themeColor="text1"/>
                <w:kern w:val="0"/>
                <w:sz w:val="24"/>
                <w:szCs w:val="24"/>
              </w:rPr>
              <w:t>3</w:t>
            </w:r>
            <w:r w:rsidRPr="00A967CB">
              <w:rPr>
                <w:rFonts w:ascii="宋体" w:hAnsi="宋体" w:cs="宋体" w:hint="eastAsia"/>
                <w:color w:val="000000" w:themeColor="text1"/>
                <w:kern w:val="0"/>
                <w:sz w:val="24"/>
                <w:szCs w:val="24"/>
              </w:rPr>
              <w:t>年度基本开户银行出具的资信证明</w:t>
            </w:r>
            <w:r w:rsidRPr="00A967CB">
              <w:rPr>
                <w:rFonts w:ascii="Times New Roman" w:hAnsi="Times New Roman" w:hint="eastAsia"/>
                <w:color w:val="000000" w:themeColor="text1"/>
                <w:kern w:val="0"/>
                <w:sz w:val="24"/>
                <w:szCs w:val="24"/>
              </w:rPr>
              <w:t>或供应商提供本公司的</w:t>
            </w:r>
            <w:r w:rsidRPr="00A967CB">
              <w:rPr>
                <w:rFonts w:ascii="宋体" w:hAnsi="宋体" w:cs="宋体" w:hint="eastAsia"/>
                <w:color w:val="000000" w:themeColor="text1"/>
                <w:sz w:val="24"/>
                <w:szCs w:val="24"/>
              </w:rPr>
              <w:t>健全的财务会计制度</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1"/>
              <w:rPr>
                <w:rFonts w:ascii="宋体" w:hAnsi="宋体" w:cs="宋体"/>
                <w:color w:val="000000" w:themeColor="text1"/>
                <w:sz w:val="24"/>
                <w:szCs w:val="24"/>
              </w:rPr>
            </w:pPr>
            <w:r w:rsidRPr="00A967CB">
              <w:rPr>
                <w:rFonts w:ascii="Times New Roman" w:eastAsia="Times New Roman" w:hAnsi="Times New Roman"/>
                <w:color w:val="000000" w:themeColor="text1"/>
                <w:kern w:val="0"/>
                <w:sz w:val="24"/>
                <w:szCs w:val="24"/>
              </w:rPr>
              <w:t>纳税凭证</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1"/>
              <w:rPr>
                <w:rFonts w:ascii="Times New Roman" w:hAnsi="Times New Roman"/>
                <w:color w:val="000000" w:themeColor="text1"/>
                <w:kern w:val="0"/>
                <w:sz w:val="24"/>
                <w:szCs w:val="24"/>
              </w:rPr>
            </w:pPr>
            <w:r w:rsidRPr="00A967CB">
              <w:rPr>
                <w:rFonts w:ascii="宋体" w:hAnsi="宋体" w:cs="宋体" w:hint="eastAsia"/>
                <w:color w:val="000000" w:themeColor="text1"/>
                <w:kern w:val="0"/>
                <w:sz w:val="24"/>
                <w:szCs w:val="24"/>
              </w:rPr>
              <w:t>提供近三年（</w:t>
            </w:r>
            <w:r w:rsidRPr="00A967CB">
              <w:rPr>
                <w:rFonts w:ascii="Times New Roman" w:hAnsi="Times New Roman" w:hint="eastAsia"/>
                <w:color w:val="000000" w:themeColor="text1"/>
                <w:kern w:val="0"/>
                <w:sz w:val="24"/>
                <w:szCs w:val="24"/>
              </w:rPr>
              <w:t>2021</w:t>
            </w:r>
            <w:r w:rsidRPr="00A967CB">
              <w:rPr>
                <w:rFonts w:ascii="宋体" w:hAnsi="宋体" w:cs="宋体" w:hint="eastAsia"/>
                <w:color w:val="000000" w:themeColor="text1"/>
                <w:kern w:val="0"/>
                <w:sz w:val="24"/>
                <w:szCs w:val="24"/>
              </w:rPr>
              <w:t>年</w:t>
            </w:r>
            <w:r w:rsidRPr="00A967CB">
              <w:rPr>
                <w:rFonts w:ascii="Times New Roman" w:eastAsia="Times New Roman" w:hAnsi="Times New Roman" w:hint="eastAsia"/>
                <w:color w:val="000000" w:themeColor="text1"/>
                <w:kern w:val="0"/>
                <w:sz w:val="24"/>
                <w:szCs w:val="24"/>
              </w:rPr>
              <w:t>3</w:t>
            </w:r>
            <w:r w:rsidRPr="00A967CB">
              <w:rPr>
                <w:rFonts w:ascii="宋体" w:hAnsi="宋体" w:cs="宋体" w:hint="eastAsia"/>
                <w:color w:val="000000" w:themeColor="text1"/>
                <w:kern w:val="0"/>
                <w:sz w:val="24"/>
                <w:szCs w:val="24"/>
              </w:rPr>
              <w:t>月</w:t>
            </w:r>
            <w:r w:rsidRPr="00A967CB">
              <w:rPr>
                <w:rFonts w:ascii="Times New Roman" w:eastAsia="Times New Roman" w:hAnsi="Times New Roman"/>
                <w:color w:val="000000" w:themeColor="text1"/>
                <w:kern w:val="0"/>
                <w:sz w:val="24"/>
                <w:szCs w:val="24"/>
              </w:rPr>
              <w:t>-</w:t>
            </w:r>
            <w:r w:rsidRPr="00A967CB">
              <w:rPr>
                <w:rFonts w:ascii="宋体" w:hAnsi="宋体" w:cs="宋体" w:hint="eastAsia"/>
                <w:color w:val="000000" w:themeColor="text1"/>
                <w:kern w:val="0"/>
                <w:sz w:val="24"/>
                <w:szCs w:val="24"/>
              </w:rPr>
              <w:t>投标截止时间前）每年任意一月依法缴纳税收证明</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投标人名称</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是否与营业执照一致</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法人</w:t>
            </w:r>
            <w:r w:rsidRPr="00A967CB">
              <w:rPr>
                <w:rFonts w:ascii="宋体" w:eastAsia="宋体" w:hAnsi="宋体" w:cs="宋体"/>
                <w:color w:val="000000" w:themeColor="text1"/>
              </w:rPr>
              <w:t>授权</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响应文件提供法定代表人授权委托书或提供法定代表人身份证明</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rPr>
          <w:trHeight w:val="443"/>
        </w:trPr>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报价唯一性</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报价具有唯一性，未超过采购项目预算</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1"/>
              <w:rPr>
                <w:rFonts w:ascii="宋体" w:hAnsi="宋体" w:cs="宋体"/>
                <w:color w:val="000000" w:themeColor="text1"/>
              </w:rPr>
            </w:pPr>
            <w:r w:rsidRPr="00A967CB">
              <w:rPr>
                <w:rFonts w:ascii="Times New Roman" w:eastAsia="Times New Roman" w:hAnsi="Times New Roman"/>
                <w:color w:val="000000" w:themeColor="text1"/>
                <w:kern w:val="0"/>
                <w:sz w:val="24"/>
                <w:szCs w:val="24"/>
              </w:rPr>
              <w:t>无重大违法记录声明书及信用记录查询情况</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1"/>
              <w:rPr>
                <w:rFonts w:ascii="宋体" w:hAnsi="宋体" w:cs="宋体"/>
                <w:color w:val="000000" w:themeColor="text1"/>
              </w:rPr>
            </w:pPr>
            <w:r w:rsidRPr="00A967CB">
              <w:rPr>
                <w:rFonts w:ascii="Times New Roman" w:eastAsia="Times New Roman" w:hAnsi="Times New Roman"/>
                <w:color w:val="000000" w:themeColor="text1"/>
                <w:kern w:val="0"/>
                <w:sz w:val="24"/>
                <w:szCs w:val="24"/>
              </w:rPr>
              <w:t>提供无重大违法记录声明书及信用记录查询情况；未被列入“信用中国”网站“记录失信被执行人或重大税收违法案件当事人名单或政府采购严重违法失信行为”记录名单；不处于中国政府采购网“政府采购严重违法失信行为信息记录”中的禁止参加政府采购活动期间。</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其他</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响应文件未附有采购人不能接受的条件或不符合采购文件的其他要求</w:t>
            </w:r>
          </w:p>
        </w:tc>
        <w:tc>
          <w:tcPr>
            <w:tcW w:w="371"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289"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781" w:type="pct"/>
            <w:gridSpan w:val="2"/>
            <w:tcBorders>
              <w:top w:val="outset" w:sz="6" w:space="0" w:color="auto"/>
              <w:left w:val="outset" w:sz="6" w:space="0" w:color="auto"/>
              <w:bottom w:val="single" w:sz="4"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评分因素</w:t>
            </w:r>
          </w:p>
        </w:tc>
        <w:tc>
          <w:tcPr>
            <w:tcW w:w="964" w:type="pct"/>
            <w:tcBorders>
              <w:top w:val="outset" w:sz="6" w:space="0" w:color="auto"/>
              <w:left w:val="outset" w:sz="6" w:space="0" w:color="auto"/>
              <w:bottom w:val="single" w:sz="4"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评分点</w:t>
            </w:r>
          </w:p>
        </w:tc>
        <w:tc>
          <w:tcPr>
            <w:tcW w:w="2595" w:type="pct"/>
            <w:tcBorders>
              <w:top w:val="outset" w:sz="6" w:space="0" w:color="auto"/>
              <w:left w:val="outset" w:sz="6" w:space="0" w:color="auto"/>
              <w:bottom w:val="single" w:sz="4"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b/>
                <w:color w:val="000000" w:themeColor="text1"/>
              </w:rPr>
              <w:t>评分标准</w:t>
            </w:r>
          </w:p>
        </w:tc>
        <w:tc>
          <w:tcPr>
            <w:tcW w:w="660" w:type="pct"/>
            <w:gridSpan w:val="2"/>
            <w:tcBorders>
              <w:top w:val="outset" w:sz="6" w:space="0" w:color="auto"/>
              <w:left w:val="outset" w:sz="6" w:space="0" w:color="auto"/>
              <w:bottom w:val="single" w:sz="4"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color w:val="000000" w:themeColor="text1"/>
              </w:rPr>
              <w:t>说明</w:t>
            </w:r>
          </w:p>
        </w:tc>
      </w:tr>
      <w:tr w:rsidR="00A967CB" w:rsidRPr="00A967CB" w:rsidTr="005E24C0">
        <w:tc>
          <w:tcPr>
            <w:tcW w:w="336" w:type="pct"/>
            <w:vMerge w:val="restar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详细评审</w:t>
            </w:r>
          </w:p>
        </w:tc>
        <w:tc>
          <w:tcPr>
            <w:tcW w:w="445" w:type="pc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价格评审</w:t>
            </w:r>
            <w:r w:rsidRPr="00A967CB">
              <w:rPr>
                <w:rFonts w:ascii="宋体" w:eastAsia="宋体" w:hAnsi="宋体" w:cs="宋体" w:hint="eastAsia"/>
                <w:color w:val="000000" w:themeColor="text1"/>
              </w:rPr>
              <w:t>(2</w:t>
            </w:r>
            <w:r w:rsidRPr="00A967CB">
              <w:rPr>
                <w:rFonts w:ascii="宋体" w:eastAsia="宋体" w:hAnsi="宋体" w:cs="宋体"/>
                <w:color w:val="000000" w:themeColor="text1"/>
              </w:rPr>
              <w:t>0分</w:t>
            </w:r>
            <w:r w:rsidRPr="00A967CB">
              <w:rPr>
                <w:rFonts w:ascii="宋体" w:eastAsia="宋体" w:hAnsi="宋体" w:cs="宋体" w:hint="eastAsia"/>
                <w:color w:val="000000" w:themeColor="text1"/>
              </w:rPr>
              <w:t>)</w:t>
            </w:r>
          </w:p>
        </w:tc>
        <w:tc>
          <w:tcPr>
            <w:tcW w:w="964" w:type="pc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color w:val="000000" w:themeColor="text1"/>
              </w:rPr>
              <w:t>投标报价</w:t>
            </w:r>
          </w:p>
        </w:tc>
        <w:tc>
          <w:tcPr>
            <w:tcW w:w="2595" w:type="pc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rFonts w:eastAsia="宋体"/>
                <w:color w:val="000000" w:themeColor="text1"/>
              </w:rPr>
            </w:pPr>
            <w:r w:rsidRPr="00A967CB">
              <w:rPr>
                <w:rFonts w:hint="eastAsia"/>
                <w:color w:val="000000" w:themeColor="text1"/>
              </w:rPr>
              <w:t>投标报价得分=(评标基准价/投标报价)*</w:t>
            </w:r>
            <w:r w:rsidRPr="00A967CB">
              <w:rPr>
                <w:rFonts w:eastAsia="宋体" w:hint="eastAsia"/>
                <w:color w:val="000000" w:themeColor="text1"/>
              </w:rPr>
              <w:t>20</w:t>
            </w:r>
          </w:p>
          <w:p w:rsidR="00A967CB" w:rsidRPr="00A967CB" w:rsidRDefault="00A967CB" w:rsidP="005E24C0">
            <w:pPr>
              <w:pStyle w:val="Normal0"/>
              <w:rPr>
                <w:color w:val="000000" w:themeColor="text1"/>
              </w:rPr>
            </w:pPr>
            <w:r w:rsidRPr="00A967CB">
              <w:rPr>
                <w:rFonts w:hint="eastAsia"/>
                <w:color w:val="000000" w:themeColor="text1"/>
              </w:rPr>
              <w:t>（</w:t>
            </w:r>
            <w:r w:rsidRPr="00A967CB">
              <w:rPr>
                <w:rFonts w:eastAsia="宋体" w:hint="eastAsia"/>
                <w:color w:val="000000" w:themeColor="text1"/>
              </w:rPr>
              <w:t>勘</w:t>
            </w:r>
            <w:r w:rsidRPr="00A967CB">
              <w:rPr>
                <w:rFonts w:hint="eastAsia"/>
                <w:color w:val="000000" w:themeColor="text1"/>
              </w:rPr>
              <w:t>测定界界址点每个不超过1</w:t>
            </w:r>
            <w:r w:rsidRPr="00A967CB">
              <w:rPr>
                <w:rFonts w:eastAsia="宋体" w:hint="eastAsia"/>
                <w:color w:val="000000" w:themeColor="text1"/>
              </w:rPr>
              <w:t>5</w:t>
            </w:r>
            <w:r w:rsidRPr="00A967CB">
              <w:rPr>
                <w:rFonts w:hint="eastAsia"/>
                <w:color w:val="000000" w:themeColor="text1"/>
              </w:rPr>
              <w:t>00元/点）</w:t>
            </w:r>
          </w:p>
          <w:p w:rsidR="00A967CB" w:rsidRPr="00A967CB" w:rsidRDefault="00A967CB" w:rsidP="005E24C0">
            <w:pPr>
              <w:pStyle w:val="Normal0"/>
              <w:rPr>
                <w:color w:val="000000" w:themeColor="text1"/>
              </w:rPr>
            </w:pPr>
            <w:r w:rsidRPr="00A967CB">
              <w:rPr>
                <w:rFonts w:hint="eastAsia"/>
                <w:color w:val="000000" w:themeColor="text1"/>
              </w:rPr>
              <w:t>供应商最低投标报价为基准值</w:t>
            </w:r>
          </w:p>
        </w:tc>
        <w:tc>
          <w:tcPr>
            <w:tcW w:w="660" w:type="pct"/>
            <w:gridSpan w:val="2"/>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p>
        </w:tc>
        <w:bookmarkStart w:id="0" w:name="_GoBack"/>
        <w:bookmarkEnd w:id="0"/>
      </w:tr>
      <w:tr w:rsidR="00A967CB" w:rsidRPr="00A967CB" w:rsidTr="005E24C0">
        <w:tc>
          <w:tcPr>
            <w:tcW w:w="336" w:type="pct"/>
            <w:vMerge/>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p>
        </w:tc>
        <w:tc>
          <w:tcPr>
            <w:tcW w:w="445" w:type="pct"/>
            <w:vMerge w:val="restar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商务标评审（</w:t>
            </w:r>
            <w:r w:rsidRPr="00A967CB">
              <w:rPr>
                <w:rFonts w:ascii="宋体" w:eastAsia="宋体" w:hAnsi="宋体" w:cs="宋体" w:hint="eastAsia"/>
                <w:color w:val="000000" w:themeColor="text1"/>
              </w:rPr>
              <w:t>30</w:t>
            </w:r>
            <w:r w:rsidRPr="00A967CB">
              <w:rPr>
                <w:rFonts w:ascii="宋体" w:eastAsia="宋体" w:hAnsi="宋体" w:cs="宋体"/>
                <w:color w:val="000000" w:themeColor="text1"/>
              </w:rPr>
              <w:t>分）</w:t>
            </w:r>
          </w:p>
        </w:tc>
        <w:tc>
          <w:tcPr>
            <w:tcW w:w="964" w:type="pc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企业资信（</w:t>
            </w:r>
            <w:r w:rsidRPr="00A967CB">
              <w:rPr>
                <w:rFonts w:eastAsia="宋体" w:hAnsi="宋体" w:hint="eastAsia"/>
                <w:color w:val="000000" w:themeColor="text1"/>
              </w:rPr>
              <w:t>3</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rFonts w:ascii="宋体" w:eastAsia="宋体" w:hAnsi="宋体" w:cs="宋体"/>
                <w:color w:val="000000" w:themeColor="text1"/>
              </w:rPr>
            </w:pPr>
            <w:r w:rsidRPr="00A967CB">
              <w:rPr>
                <w:rFonts w:ascii="宋体" w:eastAsia="宋体" w:hAnsi="宋体" w:cs="宋体" w:hint="eastAsia"/>
                <w:color w:val="000000" w:themeColor="text1"/>
              </w:rPr>
              <w:t>1、获得企业信用等级认证或重合同守信用企业证书的得1分，否则不得分；</w:t>
            </w:r>
          </w:p>
          <w:p w:rsidR="00A967CB" w:rsidRPr="00A967CB" w:rsidRDefault="00A967CB" w:rsidP="005E24C0">
            <w:pPr>
              <w:pStyle w:val="Normal0"/>
              <w:rPr>
                <w:rFonts w:ascii="宋体" w:eastAsia="宋体" w:hAnsi="宋体" w:cs="宋体"/>
                <w:color w:val="000000" w:themeColor="text1"/>
              </w:rPr>
            </w:pPr>
            <w:r w:rsidRPr="00A967CB">
              <w:rPr>
                <w:rFonts w:ascii="宋体" w:eastAsia="宋体" w:hAnsi="宋体" w:cs="宋体" w:hint="eastAsia"/>
                <w:color w:val="000000" w:themeColor="text1"/>
              </w:rPr>
              <w:t>2、投标人具有IS09001质量管理体系认证、ISO14001环境管理体系认证、职业健康安全管理体系认证，具有其中1项即得1分，否则不得分；</w:t>
            </w:r>
          </w:p>
          <w:p w:rsidR="00A967CB" w:rsidRPr="00A967CB" w:rsidRDefault="00A967CB" w:rsidP="005E24C0">
            <w:pPr>
              <w:pStyle w:val="Normal0"/>
              <w:rPr>
                <w:rFonts w:eastAsia="宋体"/>
                <w:color w:val="000000" w:themeColor="text1"/>
              </w:rPr>
            </w:pPr>
            <w:r w:rsidRPr="00A967CB">
              <w:rPr>
                <w:rFonts w:ascii="宋体" w:eastAsia="宋体" w:hAnsi="宋体" w:cs="宋体" w:hint="eastAsia"/>
                <w:color w:val="000000" w:themeColor="text1"/>
              </w:rPr>
              <w:t>3、具有行业主管部门颁发的保密培训证书的得1分，否则不得分。</w:t>
            </w:r>
          </w:p>
        </w:tc>
        <w:tc>
          <w:tcPr>
            <w:tcW w:w="660" w:type="pct"/>
            <w:gridSpan w:val="2"/>
            <w:tcBorders>
              <w:top w:val="single" w:sz="4" w:space="0" w:color="auto"/>
              <w:left w:val="single" w:sz="4" w:space="0" w:color="auto"/>
              <w:bottom w:val="single" w:sz="4" w:space="0" w:color="auto"/>
              <w:right w:val="single" w:sz="4" w:space="0" w:color="auto"/>
            </w:tcBorders>
            <w:noWrap/>
            <w:vAlign w:val="center"/>
          </w:tcPr>
          <w:p w:rsidR="00A967CB" w:rsidRPr="00A967CB" w:rsidRDefault="00A967CB" w:rsidP="005E24C0">
            <w:pPr>
              <w:pStyle w:val="Normal0"/>
              <w:rPr>
                <w:rFonts w:eastAsia="宋体" w:hint="eastAsia"/>
                <w:color w:val="000000" w:themeColor="text1"/>
              </w:rPr>
            </w:pPr>
          </w:p>
        </w:tc>
      </w:tr>
      <w:tr w:rsidR="00A967CB" w:rsidRPr="00A967CB" w:rsidTr="005E24C0">
        <w:tc>
          <w:tcPr>
            <w:tcW w:w="336" w:type="pct"/>
            <w:vMerge/>
            <w:tcBorders>
              <w:top w:val="single" w:sz="4" w:space="0" w:color="auto"/>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top w:val="single" w:sz="4" w:space="0" w:color="auto"/>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single" w:sz="4"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企业管理（</w:t>
            </w:r>
            <w:r w:rsidRPr="00A967CB">
              <w:rPr>
                <w:rFonts w:eastAsia="宋体" w:hAnsi="宋体" w:hint="eastAsia"/>
                <w:color w:val="000000" w:themeColor="text1"/>
              </w:rPr>
              <w:t>9</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single" w:sz="4"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ascii="宋体" w:eastAsia="宋体" w:hAnsi="宋体" w:cs="宋体" w:hint="eastAsia"/>
                <w:color w:val="000000" w:themeColor="text1"/>
              </w:rPr>
            </w:pPr>
            <w:r w:rsidRPr="00A967CB">
              <w:rPr>
                <w:rFonts w:hint="eastAsia"/>
                <w:color w:val="000000" w:themeColor="text1"/>
              </w:rPr>
              <w:t>1.</w:t>
            </w:r>
            <w:r w:rsidRPr="00A967CB">
              <w:rPr>
                <w:rFonts w:ascii="宋体" w:eastAsia="宋体" w:hAnsi="宋体" w:cs="宋体" w:hint="eastAsia"/>
                <w:color w:val="000000" w:themeColor="text1"/>
              </w:rPr>
              <w:t>企业各项制度健全，具有详细可行的人员管理制度、保密管理制度、安全生产管理制度等，根据健全、完整、可行程度，每个制度得</w:t>
            </w:r>
            <w:r w:rsidRPr="00A967CB">
              <w:rPr>
                <w:color w:val="000000" w:themeColor="text1"/>
              </w:rPr>
              <w:t>1-</w:t>
            </w:r>
            <w:r w:rsidRPr="00A967CB">
              <w:rPr>
                <w:rFonts w:eastAsia="宋体" w:hint="eastAsia"/>
                <w:color w:val="000000" w:themeColor="text1"/>
              </w:rPr>
              <w:t>2</w:t>
            </w:r>
            <w:r w:rsidRPr="00A967CB">
              <w:rPr>
                <w:rFonts w:ascii="宋体" w:eastAsia="宋体" w:hAnsi="宋体" w:cs="宋体" w:hint="eastAsia"/>
                <w:color w:val="000000" w:themeColor="text1"/>
              </w:rPr>
              <w:t>分，没有的不得分，最高</w:t>
            </w:r>
            <w:r w:rsidRPr="00A967CB">
              <w:rPr>
                <w:rFonts w:eastAsia="宋体" w:hint="eastAsia"/>
                <w:color w:val="000000" w:themeColor="text1"/>
              </w:rPr>
              <w:t>6</w:t>
            </w:r>
            <w:r w:rsidRPr="00A967CB">
              <w:rPr>
                <w:rFonts w:ascii="宋体" w:eastAsia="宋体" w:hAnsi="宋体" w:cs="宋体" w:hint="eastAsia"/>
                <w:color w:val="000000" w:themeColor="text1"/>
              </w:rPr>
              <w:t>分；</w:t>
            </w:r>
          </w:p>
          <w:p w:rsidR="00A967CB" w:rsidRPr="00A967CB" w:rsidRDefault="00A967CB" w:rsidP="005E24C0">
            <w:pPr>
              <w:pStyle w:val="Normal0"/>
              <w:rPr>
                <w:color w:val="000000" w:themeColor="text1"/>
              </w:rPr>
            </w:pPr>
            <w:r w:rsidRPr="00A967CB">
              <w:rPr>
                <w:color w:val="000000" w:themeColor="text1"/>
              </w:rPr>
              <w:t>2.</w:t>
            </w:r>
            <w:r w:rsidRPr="00A967CB">
              <w:rPr>
                <w:rFonts w:ascii="宋体" w:eastAsia="宋体" w:hAnsi="宋体" w:cs="宋体" w:hint="eastAsia"/>
                <w:color w:val="000000" w:themeColor="text1"/>
              </w:rPr>
              <w:t>已在十师北屯市有固定的办公场所、办公设备，并附办公场所证明。其中：能提供师市辖区非住宅固定办公场所的得</w:t>
            </w:r>
            <w:r w:rsidRPr="00A967CB">
              <w:rPr>
                <w:rFonts w:eastAsia="宋体" w:hint="eastAsia"/>
                <w:color w:val="000000" w:themeColor="text1"/>
              </w:rPr>
              <w:t>3</w:t>
            </w:r>
            <w:r w:rsidRPr="00A967CB">
              <w:rPr>
                <w:rFonts w:ascii="宋体" w:eastAsia="宋体" w:hAnsi="宋体" w:cs="宋体" w:hint="eastAsia"/>
                <w:color w:val="000000" w:themeColor="text1"/>
              </w:rPr>
              <w:t>分，住宅类固定办公场所的得</w:t>
            </w:r>
            <w:r w:rsidRPr="00A967CB">
              <w:rPr>
                <w:rFonts w:eastAsia="宋体" w:hint="eastAsia"/>
                <w:color w:val="000000" w:themeColor="text1"/>
              </w:rPr>
              <w:t>2</w:t>
            </w:r>
            <w:r w:rsidRPr="00A967CB">
              <w:rPr>
                <w:rFonts w:ascii="宋体" w:eastAsia="宋体" w:hAnsi="宋体" w:cs="宋体" w:hint="eastAsia"/>
                <w:color w:val="000000" w:themeColor="text1"/>
              </w:rPr>
              <w:t>分，未设办公场所的不得分。。</w:t>
            </w:r>
          </w:p>
        </w:tc>
        <w:tc>
          <w:tcPr>
            <w:tcW w:w="660" w:type="pct"/>
            <w:gridSpan w:val="2"/>
            <w:tcBorders>
              <w:top w:val="single" w:sz="4" w:space="0" w:color="auto"/>
              <w:left w:val="outset" w:sz="6" w:space="0" w:color="auto"/>
              <w:bottom w:val="single" w:sz="4" w:space="0" w:color="auto"/>
              <w:right w:val="single" w:sz="4"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hint="eastAsia"/>
                <w:color w:val="000000" w:themeColor="text1"/>
              </w:rPr>
              <w:t>真实性判定标准：有产权证书或租房协议复印件（原件备查）</w:t>
            </w: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工作业绩（</w:t>
            </w:r>
            <w:r w:rsidRPr="00A967CB">
              <w:rPr>
                <w:rFonts w:eastAsia="宋体" w:hAnsi="宋体" w:hint="eastAsia"/>
                <w:color w:val="000000" w:themeColor="text1"/>
              </w:rPr>
              <w:t>9</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ascii="宋体" w:eastAsia="宋体" w:hAnsi="宋体" w:cs="宋体" w:hint="eastAsia"/>
                <w:color w:val="000000" w:themeColor="text1"/>
              </w:rPr>
            </w:pPr>
            <w:r w:rsidRPr="00A967CB">
              <w:rPr>
                <w:rFonts w:hint="eastAsia"/>
                <w:color w:val="000000" w:themeColor="text1"/>
              </w:rPr>
              <w:t>1.</w:t>
            </w:r>
            <w:r w:rsidRPr="00A967CB">
              <w:rPr>
                <w:rFonts w:ascii="宋体" w:eastAsia="宋体" w:hAnsi="宋体" w:cs="宋体" w:hint="eastAsia"/>
                <w:color w:val="000000" w:themeColor="text1"/>
              </w:rPr>
              <w:t>提供自</w:t>
            </w:r>
            <w:r w:rsidRPr="00A967CB">
              <w:rPr>
                <w:color w:val="000000" w:themeColor="text1"/>
              </w:rPr>
              <w:t>20</w:t>
            </w:r>
            <w:r w:rsidRPr="00A967CB">
              <w:rPr>
                <w:rFonts w:eastAsia="宋体" w:hint="eastAsia"/>
                <w:color w:val="000000" w:themeColor="text1"/>
              </w:rPr>
              <w:t>21</w:t>
            </w:r>
            <w:r w:rsidRPr="00A967CB">
              <w:rPr>
                <w:rFonts w:ascii="宋体" w:eastAsia="宋体" w:hAnsi="宋体" w:cs="宋体" w:hint="eastAsia"/>
                <w:color w:val="000000" w:themeColor="text1"/>
              </w:rPr>
              <w:t>年以来的土地勘测定界业绩，每个计</w:t>
            </w:r>
            <w:r w:rsidRPr="00A967CB">
              <w:rPr>
                <w:rFonts w:eastAsia="宋体" w:hint="eastAsia"/>
                <w:color w:val="000000" w:themeColor="text1"/>
              </w:rPr>
              <w:t>1</w:t>
            </w:r>
            <w:r w:rsidRPr="00A967CB">
              <w:rPr>
                <w:rFonts w:ascii="宋体" w:eastAsia="宋体" w:hAnsi="宋体" w:cs="宋体" w:hint="eastAsia"/>
                <w:color w:val="000000" w:themeColor="text1"/>
              </w:rPr>
              <w:t>分，最高得</w:t>
            </w:r>
            <w:r w:rsidRPr="00A967CB">
              <w:rPr>
                <w:rFonts w:eastAsia="宋体" w:hint="eastAsia"/>
                <w:color w:val="000000" w:themeColor="text1"/>
              </w:rPr>
              <w:t>5</w:t>
            </w:r>
            <w:r w:rsidRPr="00A967CB">
              <w:rPr>
                <w:rFonts w:ascii="宋体" w:eastAsia="宋体" w:hAnsi="宋体" w:cs="宋体" w:hint="eastAsia"/>
                <w:color w:val="000000" w:themeColor="text1"/>
              </w:rPr>
              <w:t>分。</w:t>
            </w:r>
          </w:p>
          <w:p w:rsidR="00A967CB" w:rsidRPr="00A967CB" w:rsidRDefault="00A967CB" w:rsidP="005E24C0">
            <w:pPr>
              <w:pStyle w:val="Normal0"/>
              <w:rPr>
                <w:rFonts w:ascii="宋体" w:eastAsia="宋体" w:hAnsi="宋体" w:cs="宋体" w:hint="eastAsia"/>
                <w:color w:val="000000" w:themeColor="text1"/>
              </w:rPr>
            </w:pPr>
            <w:r w:rsidRPr="00A967CB">
              <w:rPr>
                <w:color w:val="000000" w:themeColor="text1"/>
              </w:rPr>
              <w:t>2.</w:t>
            </w:r>
            <w:r w:rsidRPr="00A967CB">
              <w:rPr>
                <w:rFonts w:ascii="宋体" w:eastAsia="宋体" w:hAnsi="宋体" w:cs="宋体" w:hint="eastAsia"/>
                <w:color w:val="000000" w:themeColor="text1"/>
              </w:rPr>
              <w:t>具有</w:t>
            </w:r>
            <w:r w:rsidRPr="00A967CB">
              <w:rPr>
                <w:color w:val="000000" w:themeColor="text1"/>
              </w:rPr>
              <w:t>201</w:t>
            </w:r>
            <w:r w:rsidRPr="00A967CB">
              <w:rPr>
                <w:rFonts w:eastAsia="宋体" w:hint="eastAsia"/>
                <w:color w:val="000000" w:themeColor="text1"/>
              </w:rPr>
              <w:t>9</w:t>
            </w:r>
            <w:r w:rsidRPr="00A967CB">
              <w:rPr>
                <w:rFonts w:ascii="宋体" w:eastAsia="宋体" w:hAnsi="宋体" w:cs="宋体" w:hint="eastAsia"/>
                <w:color w:val="000000" w:themeColor="text1"/>
              </w:rPr>
              <w:t>年以来不动产测绘、国土调查、土地变更调查、城镇地籍调查、农经权确权登记等类似业绩的，每增加一类业绩得</w:t>
            </w:r>
            <w:r w:rsidRPr="00A967CB">
              <w:rPr>
                <w:rFonts w:eastAsia="宋体" w:hint="eastAsia"/>
                <w:color w:val="000000" w:themeColor="text1"/>
              </w:rPr>
              <w:t>1</w:t>
            </w:r>
            <w:r w:rsidRPr="00A967CB">
              <w:rPr>
                <w:rFonts w:ascii="宋体" w:eastAsia="宋体" w:hAnsi="宋体" w:cs="宋体" w:hint="eastAsia"/>
                <w:color w:val="000000" w:themeColor="text1"/>
              </w:rPr>
              <w:t>分，最多得</w:t>
            </w:r>
            <w:r w:rsidRPr="00A967CB">
              <w:rPr>
                <w:rFonts w:eastAsia="宋体" w:hint="eastAsia"/>
                <w:color w:val="000000" w:themeColor="text1"/>
              </w:rPr>
              <w:t>4</w:t>
            </w:r>
            <w:r w:rsidRPr="00A967CB">
              <w:rPr>
                <w:rFonts w:ascii="宋体" w:eastAsia="宋体" w:hAnsi="宋体" w:cs="宋体" w:hint="eastAsia"/>
                <w:color w:val="000000" w:themeColor="text1"/>
              </w:rPr>
              <w:t>分。</w:t>
            </w:r>
          </w:p>
        </w:tc>
        <w:tc>
          <w:tcPr>
            <w:tcW w:w="660" w:type="pct"/>
            <w:gridSpan w:val="2"/>
            <w:tcBorders>
              <w:top w:val="single" w:sz="4" w:space="0" w:color="auto"/>
              <w:left w:val="outset" w:sz="6"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提供合同或中标通知书等证明文件复印件</w:t>
            </w: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项目负责人（</w:t>
            </w:r>
            <w:r w:rsidRPr="00A967CB">
              <w:rPr>
                <w:rFonts w:eastAsia="宋体" w:hAnsi="宋体" w:hint="eastAsia"/>
                <w:color w:val="000000" w:themeColor="text1"/>
              </w:rPr>
              <w:t>3</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项目负责人具有测绘职称，其中：高级职称，得</w:t>
            </w:r>
            <w:r w:rsidRPr="00A967CB">
              <w:rPr>
                <w:rFonts w:eastAsia="宋体" w:hAnsi="宋体" w:hint="eastAsia"/>
                <w:color w:val="000000" w:themeColor="text1"/>
              </w:rPr>
              <w:t>3</w:t>
            </w:r>
            <w:r w:rsidRPr="00A967CB">
              <w:rPr>
                <w:rFonts w:hAnsi="宋体" w:hint="eastAsia"/>
                <w:color w:val="000000" w:themeColor="text1"/>
              </w:rPr>
              <w:t>分；中级职称，得</w:t>
            </w:r>
            <w:r w:rsidRPr="00A967CB">
              <w:rPr>
                <w:rFonts w:eastAsia="宋体" w:hAnsi="宋体" w:hint="eastAsia"/>
                <w:color w:val="000000" w:themeColor="text1"/>
              </w:rPr>
              <w:t>2</w:t>
            </w:r>
            <w:r w:rsidRPr="00A967CB">
              <w:rPr>
                <w:rFonts w:hAnsi="宋体" w:hint="eastAsia"/>
                <w:color w:val="000000" w:themeColor="text1"/>
              </w:rPr>
              <w:t>分；初级职称，得</w:t>
            </w:r>
            <w:r w:rsidRPr="00A967CB">
              <w:rPr>
                <w:rFonts w:eastAsia="宋体" w:hAnsi="宋体" w:hint="eastAsia"/>
                <w:color w:val="000000" w:themeColor="text1"/>
              </w:rPr>
              <w:t>1</w:t>
            </w:r>
            <w:r w:rsidRPr="00A967CB">
              <w:rPr>
                <w:rFonts w:hAnsi="宋体" w:hint="eastAsia"/>
                <w:color w:val="000000" w:themeColor="text1"/>
              </w:rPr>
              <w:t>分；无职称或非测绘职称的不得分。</w:t>
            </w:r>
          </w:p>
        </w:tc>
        <w:tc>
          <w:tcPr>
            <w:tcW w:w="660" w:type="pct"/>
            <w:gridSpan w:val="2"/>
            <w:tcBorders>
              <w:top w:val="single" w:sz="4" w:space="0" w:color="auto"/>
              <w:left w:val="outset" w:sz="6" w:space="0" w:color="auto"/>
              <w:bottom w:val="single" w:sz="4" w:space="0" w:color="auto"/>
              <w:right w:val="single" w:sz="4"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提供职称证书复印件</w:t>
            </w: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hAnsi="宋体"/>
                <w:color w:val="000000" w:themeColor="text1"/>
              </w:rPr>
            </w:pPr>
            <w:r w:rsidRPr="00A967CB">
              <w:rPr>
                <w:rFonts w:hAnsi="宋体" w:hint="eastAsia"/>
                <w:color w:val="000000" w:themeColor="text1"/>
              </w:rPr>
              <w:t>专业技术人员配备情况（</w:t>
            </w:r>
            <w:r w:rsidRPr="00A967CB">
              <w:rPr>
                <w:rFonts w:eastAsia="宋体" w:hAnsi="宋体" w:hint="eastAsia"/>
                <w:color w:val="000000" w:themeColor="text1"/>
              </w:rPr>
              <w:t>6</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hAnsi="宋体"/>
                <w:color w:val="000000" w:themeColor="text1"/>
              </w:rPr>
            </w:pPr>
            <w:r w:rsidRPr="00A967CB">
              <w:rPr>
                <w:rFonts w:hAnsi="宋体" w:hint="eastAsia"/>
                <w:color w:val="000000" w:themeColor="text1"/>
              </w:rPr>
              <w:t>测绘专业技术人员不得少于2人，每增加一人得</w:t>
            </w:r>
            <w:r w:rsidRPr="00A967CB">
              <w:rPr>
                <w:rFonts w:eastAsia="宋体" w:hAnsi="宋体" w:hint="eastAsia"/>
                <w:color w:val="000000" w:themeColor="text1"/>
              </w:rPr>
              <w:t>2</w:t>
            </w:r>
            <w:r w:rsidRPr="00A967CB">
              <w:rPr>
                <w:rFonts w:hAnsi="宋体" w:hint="eastAsia"/>
                <w:color w:val="000000" w:themeColor="text1"/>
              </w:rPr>
              <w:t>分，最多得</w:t>
            </w:r>
            <w:r w:rsidRPr="00A967CB">
              <w:rPr>
                <w:rFonts w:eastAsia="宋体" w:hAnsi="宋体" w:hint="eastAsia"/>
                <w:color w:val="000000" w:themeColor="text1"/>
              </w:rPr>
              <w:t>6</w:t>
            </w:r>
            <w:r w:rsidRPr="00A967CB">
              <w:rPr>
                <w:rFonts w:hAnsi="宋体" w:hint="eastAsia"/>
                <w:color w:val="000000" w:themeColor="text1"/>
              </w:rPr>
              <w:t>分，非测绘专业的不得分。</w:t>
            </w:r>
          </w:p>
        </w:tc>
        <w:tc>
          <w:tcPr>
            <w:tcW w:w="660" w:type="pct"/>
            <w:gridSpan w:val="2"/>
            <w:tcBorders>
              <w:top w:val="single" w:sz="4" w:space="0" w:color="auto"/>
              <w:left w:val="outset" w:sz="6" w:space="0" w:color="auto"/>
              <w:bottom w:val="outset" w:sz="6" w:space="0" w:color="auto"/>
              <w:right w:val="single" w:sz="4"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提供测绘专业职称、毕业证等证明材料</w:t>
            </w: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val="restart"/>
            <w:tcBorders>
              <w:top w:val="outset" w:sz="6" w:space="0" w:color="auto"/>
              <w:left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技术标评</w:t>
            </w:r>
            <w:r w:rsidRPr="00A967CB">
              <w:rPr>
                <w:rFonts w:ascii="宋体" w:eastAsia="宋体" w:hAnsi="宋体" w:cs="宋体"/>
                <w:color w:val="000000" w:themeColor="text1"/>
              </w:rPr>
              <w:lastRenderedPageBreak/>
              <w:t>审（</w:t>
            </w:r>
            <w:r w:rsidRPr="00A967CB">
              <w:rPr>
                <w:rFonts w:ascii="宋体" w:eastAsia="宋体" w:hAnsi="宋体" w:cs="宋体" w:hint="eastAsia"/>
                <w:color w:val="000000" w:themeColor="text1"/>
              </w:rPr>
              <w:t>5</w:t>
            </w:r>
            <w:r w:rsidRPr="00A967CB">
              <w:rPr>
                <w:rFonts w:ascii="宋体" w:eastAsia="宋体" w:hAnsi="宋体" w:cs="宋体"/>
                <w:color w:val="000000" w:themeColor="text1"/>
              </w:rPr>
              <w:t>0分）</w:t>
            </w: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lastRenderedPageBreak/>
              <w:t>服务方案（</w:t>
            </w:r>
            <w:r w:rsidRPr="00A967CB">
              <w:rPr>
                <w:rFonts w:eastAsia="宋体" w:hAnsi="宋体" w:hint="eastAsia"/>
                <w:color w:val="000000" w:themeColor="text1"/>
              </w:rPr>
              <w:t>20</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color w:val="000000" w:themeColor="text1"/>
              </w:rPr>
            </w:pPr>
            <w:r w:rsidRPr="00A967CB">
              <w:rPr>
                <w:rFonts w:ascii="宋体" w:eastAsia="宋体" w:hAnsi="宋体" w:cs="宋体" w:hint="eastAsia"/>
                <w:color w:val="000000" w:themeColor="text1"/>
              </w:rPr>
              <w:t>根据本项目特点，有完整、合理、可行的土地勘测定界服务方案（应包含服务流程和工作要</w:t>
            </w:r>
            <w:r w:rsidRPr="00A967CB">
              <w:rPr>
                <w:rFonts w:ascii="宋体" w:eastAsia="宋体" w:hAnsi="宋体" w:cs="宋体" w:hint="eastAsia"/>
                <w:color w:val="000000" w:themeColor="text1"/>
              </w:rPr>
              <w:lastRenderedPageBreak/>
              <w:t>点、难点及解决措施，项目管理机构人员职责分配，具体工作描述、工作时间流程图等），服务方案充分、合理、可行、完全理解业务并满足项目需求得</w:t>
            </w:r>
            <w:r w:rsidRPr="00A967CB">
              <w:rPr>
                <w:rFonts w:eastAsia="宋体" w:hAnsi="宋体" w:hint="eastAsia"/>
                <w:color w:val="000000" w:themeColor="text1"/>
              </w:rPr>
              <w:t>20-16</w:t>
            </w:r>
            <w:r w:rsidRPr="00A967CB">
              <w:rPr>
                <w:rFonts w:ascii="宋体" w:eastAsia="宋体" w:hAnsi="宋体" w:cs="宋体" w:hint="eastAsia"/>
                <w:color w:val="000000" w:themeColor="text1"/>
              </w:rPr>
              <w:t>分，服务方案基本可行，适用性较为全面，基本满足项目需求得</w:t>
            </w:r>
            <w:r w:rsidRPr="00A967CB">
              <w:rPr>
                <w:rFonts w:eastAsia="宋体" w:hAnsi="宋体" w:hint="eastAsia"/>
                <w:color w:val="000000" w:themeColor="text1"/>
              </w:rPr>
              <w:t>15-9</w:t>
            </w:r>
            <w:r w:rsidRPr="00A967CB">
              <w:rPr>
                <w:rFonts w:ascii="宋体" w:eastAsia="宋体" w:hAnsi="宋体" w:cs="宋体" w:hint="eastAsia"/>
                <w:color w:val="000000" w:themeColor="text1"/>
              </w:rPr>
              <w:t>分，服务方案可行性较差，适用性不够全面得</w:t>
            </w:r>
            <w:r w:rsidRPr="00A967CB">
              <w:rPr>
                <w:rFonts w:eastAsia="宋体" w:hAnsi="宋体" w:hint="eastAsia"/>
                <w:color w:val="000000" w:themeColor="text1"/>
              </w:rPr>
              <w:t>8-1</w:t>
            </w:r>
            <w:r w:rsidRPr="00A967CB">
              <w:rPr>
                <w:rFonts w:ascii="宋体" w:eastAsia="宋体" w:hAnsi="宋体" w:cs="宋体" w:hint="eastAsia"/>
                <w:color w:val="000000" w:themeColor="text1"/>
              </w:rPr>
              <w:t>分，无不得分。</w:t>
            </w:r>
          </w:p>
        </w:tc>
        <w:tc>
          <w:tcPr>
            <w:tcW w:w="660" w:type="pct"/>
            <w:gridSpan w:val="2"/>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lastRenderedPageBreak/>
              <w:t>根据本项目要求，</w:t>
            </w:r>
            <w:r w:rsidRPr="00A967CB">
              <w:rPr>
                <w:rFonts w:ascii="宋体" w:eastAsia="宋体" w:hAnsi="宋体" w:cs="宋体" w:hint="eastAsia"/>
                <w:color w:val="000000" w:themeColor="text1"/>
              </w:rPr>
              <w:lastRenderedPageBreak/>
              <w:t>对各供应商提供的方案措施进行横向比较评分</w:t>
            </w: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质量控制措施（</w:t>
            </w:r>
            <w:r w:rsidRPr="00A967CB">
              <w:rPr>
                <w:rFonts w:eastAsia="宋体" w:hAnsi="宋体" w:hint="eastAsia"/>
                <w:color w:val="000000" w:themeColor="text1"/>
              </w:rPr>
              <w:t>10</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根据供应商内部质量控制措施健全、完整、可行程度，控制措施充分、合理、可行得</w:t>
            </w:r>
            <w:r w:rsidRPr="00A967CB">
              <w:rPr>
                <w:rFonts w:eastAsia="宋体" w:hAnsi="宋体" w:hint="eastAsia"/>
                <w:color w:val="000000" w:themeColor="text1"/>
              </w:rPr>
              <w:t>10-8</w:t>
            </w:r>
            <w:r w:rsidRPr="00A967CB">
              <w:rPr>
                <w:rFonts w:ascii="宋体" w:eastAsia="宋体" w:hAnsi="宋体" w:cs="宋体" w:hint="eastAsia"/>
                <w:color w:val="000000" w:themeColor="text1"/>
              </w:rPr>
              <w:t>分，控制措施基本可行、较为合理得</w:t>
            </w:r>
            <w:r w:rsidRPr="00A967CB">
              <w:rPr>
                <w:rFonts w:eastAsia="宋体" w:hAnsi="宋体" w:hint="eastAsia"/>
                <w:color w:val="000000" w:themeColor="text1"/>
              </w:rPr>
              <w:t>7-5</w:t>
            </w:r>
            <w:r w:rsidRPr="00A967CB">
              <w:rPr>
                <w:rFonts w:ascii="宋体" w:eastAsia="宋体" w:hAnsi="宋体" w:cs="宋体" w:hint="eastAsia"/>
                <w:color w:val="000000" w:themeColor="text1"/>
              </w:rPr>
              <w:t>分，控制措施可行性较差、不太合理得</w:t>
            </w:r>
            <w:r w:rsidRPr="00A967CB">
              <w:rPr>
                <w:rFonts w:eastAsia="宋体" w:hAnsi="宋体" w:hint="eastAsia"/>
                <w:color w:val="000000" w:themeColor="text1"/>
              </w:rPr>
              <w:t>4-1</w:t>
            </w:r>
            <w:r w:rsidRPr="00A967CB">
              <w:rPr>
                <w:rFonts w:ascii="宋体" w:eastAsia="宋体" w:hAnsi="宋体" w:cs="宋体" w:hint="eastAsia"/>
                <w:color w:val="000000" w:themeColor="text1"/>
              </w:rPr>
              <w:t>分，无不得分。</w:t>
            </w:r>
          </w:p>
        </w:tc>
        <w:tc>
          <w:tcPr>
            <w:tcW w:w="660" w:type="pct"/>
            <w:gridSpan w:val="2"/>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hAnsi="宋体" w:hint="eastAsia"/>
                <w:color w:val="000000" w:themeColor="text1"/>
              </w:rPr>
              <w:t>安全控制措施（</w:t>
            </w:r>
            <w:r w:rsidRPr="00A967CB">
              <w:rPr>
                <w:rFonts w:eastAsia="宋体" w:hAnsi="宋体" w:hint="eastAsia"/>
                <w:color w:val="000000" w:themeColor="text1"/>
              </w:rPr>
              <w:t>10</w:t>
            </w:r>
            <w:r w:rsidRPr="00A967CB">
              <w:rPr>
                <w:rFonts w:eastAsia="宋体" w:hAnsi="宋体" w:hint="eastAsia"/>
                <w:color w:val="000000" w:themeColor="text1"/>
              </w:rPr>
              <w:t>分</w:t>
            </w:r>
            <w:r w:rsidRPr="00A967CB">
              <w:rPr>
                <w:rFonts w:hAnsi="宋体" w:hint="eastAsia"/>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rFonts w:ascii="宋体" w:eastAsia="宋体" w:hAnsi="宋体" w:cs="宋体" w:hint="eastAsia"/>
                <w:color w:val="000000" w:themeColor="text1"/>
              </w:rPr>
              <w:t>根据供应商内外业安全生产、数据保密等控制措施健全、完整、可行程度，控制措施全面、合理、可行得</w:t>
            </w:r>
            <w:r w:rsidRPr="00A967CB">
              <w:rPr>
                <w:rFonts w:eastAsia="宋体" w:hAnsi="宋体" w:hint="eastAsia"/>
                <w:color w:val="000000" w:themeColor="text1"/>
              </w:rPr>
              <w:t>10-8</w:t>
            </w:r>
            <w:r w:rsidRPr="00A967CB">
              <w:rPr>
                <w:rFonts w:ascii="宋体" w:eastAsia="宋体" w:hAnsi="宋体" w:cs="宋体" w:hint="eastAsia"/>
                <w:color w:val="000000" w:themeColor="text1"/>
              </w:rPr>
              <w:t>分，控制措施基本可行、较为合理得</w:t>
            </w:r>
            <w:r w:rsidRPr="00A967CB">
              <w:rPr>
                <w:rFonts w:eastAsia="宋体" w:hAnsi="宋体" w:hint="eastAsia"/>
                <w:color w:val="000000" w:themeColor="text1"/>
              </w:rPr>
              <w:t>7-5</w:t>
            </w:r>
            <w:r w:rsidRPr="00A967CB">
              <w:rPr>
                <w:rFonts w:ascii="宋体" w:eastAsia="宋体" w:hAnsi="宋体" w:cs="宋体" w:hint="eastAsia"/>
                <w:color w:val="000000" w:themeColor="text1"/>
              </w:rPr>
              <w:t>分，控制措施可行性较差、不太合理得</w:t>
            </w:r>
            <w:r w:rsidRPr="00A967CB">
              <w:rPr>
                <w:rFonts w:eastAsia="宋体" w:hAnsi="宋体" w:hint="eastAsia"/>
                <w:color w:val="000000" w:themeColor="text1"/>
              </w:rPr>
              <w:t>4-1</w:t>
            </w:r>
            <w:r w:rsidRPr="00A967CB">
              <w:rPr>
                <w:rFonts w:ascii="宋体" w:eastAsia="宋体" w:hAnsi="宋体" w:cs="宋体" w:hint="eastAsia"/>
                <w:color w:val="000000" w:themeColor="text1"/>
              </w:rPr>
              <w:t>分，无不得分。</w:t>
            </w:r>
          </w:p>
        </w:tc>
        <w:tc>
          <w:tcPr>
            <w:tcW w:w="660" w:type="pct"/>
            <w:gridSpan w:val="2"/>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tcBorders>
              <w:left w:val="single" w:sz="4" w:space="0" w:color="auto"/>
              <w:right w:val="outset" w:sz="6" w:space="0" w:color="auto"/>
            </w:tcBorders>
            <w:noWrap/>
            <w:vAlign w:val="center"/>
          </w:tcPr>
          <w:p w:rsidR="00A967CB" w:rsidRPr="00A967CB" w:rsidRDefault="00A967CB" w:rsidP="005E24C0">
            <w:pPr>
              <w:pStyle w:val="Normal0"/>
              <w:rPr>
                <w:color w:val="000000" w:themeColor="text1"/>
              </w:rPr>
            </w:pPr>
          </w:p>
        </w:tc>
        <w:tc>
          <w:tcPr>
            <w:tcW w:w="445" w:type="pct"/>
            <w:vMerge/>
            <w:tcBorders>
              <w:left w:val="outset" w:sz="6" w:space="0" w:color="auto"/>
              <w:right w:val="outset" w:sz="6" w:space="0" w:color="auto"/>
            </w:tcBorders>
            <w:noWrap/>
            <w:vAlign w:val="center"/>
          </w:tcPr>
          <w:p w:rsidR="00A967CB" w:rsidRPr="00A967CB" w:rsidRDefault="00A967CB" w:rsidP="005E24C0">
            <w:pPr>
              <w:pStyle w:val="Normal0"/>
              <w:rPr>
                <w:color w:val="000000" w:themeColor="text1"/>
              </w:rPr>
            </w:pP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r w:rsidRPr="00A967CB">
              <w:rPr>
                <w:color w:val="000000" w:themeColor="text1"/>
              </w:rPr>
              <w:t>服务优化措施（</w:t>
            </w:r>
            <w:r w:rsidRPr="00A967CB">
              <w:rPr>
                <w:rFonts w:eastAsia="宋体" w:hint="eastAsia"/>
                <w:color w:val="000000" w:themeColor="text1"/>
              </w:rPr>
              <w:t>10</w:t>
            </w:r>
            <w:r w:rsidRPr="00A967CB">
              <w:rPr>
                <w:rFonts w:eastAsia="宋体" w:hint="eastAsia"/>
                <w:color w:val="000000" w:themeColor="text1"/>
              </w:rPr>
              <w:t>分</w:t>
            </w:r>
            <w:r w:rsidRPr="00A967CB">
              <w:rPr>
                <w:color w:val="000000" w:themeColor="text1"/>
              </w:rPr>
              <w:t>）</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eastAsia="宋体" w:hAnsi="宋体"/>
                <w:color w:val="000000" w:themeColor="text1"/>
              </w:rPr>
            </w:pPr>
            <w:r w:rsidRPr="00A967CB">
              <w:rPr>
                <w:rFonts w:eastAsia="宋体" w:hAnsi="宋体" w:hint="eastAsia"/>
                <w:color w:val="000000" w:themeColor="text1"/>
              </w:rPr>
              <w:t>1.</w:t>
            </w:r>
            <w:r w:rsidRPr="00A967CB">
              <w:rPr>
                <w:rFonts w:hAnsi="宋体" w:hint="eastAsia"/>
                <w:color w:val="000000" w:themeColor="text1"/>
              </w:rPr>
              <w:t>提供7x24服务热线；在接到采购人现场服务通知后</w:t>
            </w:r>
            <w:r w:rsidRPr="00A967CB">
              <w:rPr>
                <w:rFonts w:eastAsia="宋体" w:hAnsi="宋体" w:hint="eastAsia"/>
                <w:color w:val="000000" w:themeColor="text1"/>
              </w:rPr>
              <w:t>8</w:t>
            </w:r>
            <w:r w:rsidRPr="00A967CB">
              <w:rPr>
                <w:rFonts w:eastAsia="宋体" w:hAnsi="宋体" w:hint="eastAsia"/>
                <w:color w:val="000000" w:themeColor="text1"/>
              </w:rPr>
              <w:t>小时内到场</w:t>
            </w:r>
            <w:r w:rsidRPr="00A967CB">
              <w:rPr>
                <w:rFonts w:hAnsi="宋体" w:hint="eastAsia"/>
                <w:color w:val="000000" w:themeColor="text1"/>
              </w:rPr>
              <w:t>响应，4小时（含）以内的，得</w:t>
            </w:r>
            <w:r w:rsidRPr="00A967CB">
              <w:rPr>
                <w:rFonts w:eastAsia="宋体" w:hAnsi="宋体" w:hint="eastAsia"/>
                <w:color w:val="000000" w:themeColor="text1"/>
              </w:rPr>
              <w:t>3</w:t>
            </w:r>
            <w:r w:rsidRPr="00A967CB">
              <w:rPr>
                <w:rFonts w:hAnsi="宋体" w:hint="eastAsia"/>
                <w:color w:val="000000" w:themeColor="text1"/>
              </w:rPr>
              <w:t>分；4小时-6小时（含）的，得</w:t>
            </w:r>
            <w:r w:rsidRPr="00A967CB">
              <w:rPr>
                <w:rFonts w:eastAsia="宋体" w:hAnsi="宋体" w:hint="eastAsia"/>
                <w:color w:val="000000" w:themeColor="text1"/>
              </w:rPr>
              <w:t>2</w:t>
            </w:r>
            <w:r w:rsidRPr="00A967CB">
              <w:rPr>
                <w:rFonts w:hAnsi="宋体" w:hint="eastAsia"/>
                <w:color w:val="000000" w:themeColor="text1"/>
              </w:rPr>
              <w:t>分；6小时-8小时（含）的，得</w:t>
            </w:r>
            <w:r w:rsidRPr="00A967CB">
              <w:rPr>
                <w:rFonts w:eastAsia="宋体" w:hAnsi="宋体" w:hint="eastAsia"/>
                <w:color w:val="000000" w:themeColor="text1"/>
              </w:rPr>
              <w:t>1</w:t>
            </w:r>
            <w:r w:rsidRPr="00A967CB">
              <w:rPr>
                <w:rFonts w:hAnsi="宋体" w:hint="eastAsia"/>
                <w:color w:val="000000" w:themeColor="text1"/>
              </w:rPr>
              <w:t>分，超过8小时或无不得分；（</w:t>
            </w:r>
            <w:r w:rsidRPr="00A967CB">
              <w:rPr>
                <w:rFonts w:eastAsia="宋体" w:hAnsi="宋体" w:hint="eastAsia"/>
                <w:color w:val="000000" w:themeColor="text1"/>
              </w:rPr>
              <w:t>3</w:t>
            </w:r>
            <w:r w:rsidRPr="00A967CB">
              <w:rPr>
                <w:rFonts w:eastAsia="宋体" w:hAnsi="宋体" w:hint="eastAsia"/>
                <w:color w:val="000000" w:themeColor="text1"/>
              </w:rPr>
              <w:t>分</w:t>
            </w:r>
            <w:r w:rsidRPr="00A967CB">
              <w:rPr>
                <w:rFonts w:hAnsi="宋体" w:hint="eastAsia"/>
                <w:color w:val="000000" w:themeColor="text1"/>
              </w:rPr>
              <w:t>）</w:t>
            </w:r>
          </w:p>
          <w:p w:rsidR="00A967CB" w:rsidRPr="00A967CB" w:rsidRDefault="00A967CB" w:rsidP="005E24C0">
            <w:pPr>
              <w:pStyle w:val="Normal0"/>
              <w:rPr>
                <w:rFonts w:eastAsia="宋体"/>
                <w:color w:val="000000" w:themeColor="text1"/>
              </w:rPr>
            </w:pPr>
            <w:r w:rsidRPr="00A967CB">
              <w:rPr>
                <w:rFonts w:eastAsia="宋体" w:hint="eastAsia"/>
                <w:color w:val="000000" w:themeColor="text1"/>
              </w:rPr>
              <w:t>2.</w:t>
            </w:r>
            <w:r w:rsidRPr="00A967CB">
              <w:rPr>
                <w:rFonts w:eastAsia="宋体"/>
                <w:color w:val="000000" w:themeColor="text1"/>
              </w:rPr>
              <w:t>具备地理信息相关软件（</w:t>
            </w:r>
            <w:r w:rsidRPr="00A967CB">
              <w:rPr>
                <w:rFonts w:eastAsia="宋体" w:hint="eastAsia"/>
                <w:color w:val="000000" w:themeColor="text1"/>
              </w:rPr>
              <w:t>MapGIS</w:t>
            </w:r>
            <w:r w:rsidRPr="00A967CB">
              <w:rPr>
                <w:rFonts w:eastAsia="宋体" w:hint="eastAsia"/>
                <w:color w:val="000000" w:themeColor="text1"/>
              </w:rPr>
              <w:t>、</w:t>
            </w:r>
            <w:r w:rsidRPr="00A967CB">
              <w:rPr>
                <w:rFonts w:eastAsia="宋体" w:hint="eastAsia"/>
                <w:color w:val="000000" w:themeColor="text1"/>
              </w:rPr>
              <w:t>ArcGIS</w:t>
            </w:r>
            <w:r w:rsidRPr="00A967CB">
              <w:rPr>
                <w:rFonts w:eastAsia="宋体" w:hint="eastAsia"/>
                <w:color w:val="000000" w:themeColor="text1"/>
              </w:rPr>
              <w:t>等</w:t>
            </w:r>
            <w:r w:rsidRPr="00A967CB">
              <w:rPr>
                <w:rFonts w:eastAsia="宋体"/>
                <w:color w:val="000000" w:themeColor="text1"/>
              </w:rPr>
              <w:t>）操作技术能力，根据能力情况得</w:t>
            </w:r>
            <w:r w:rsidRPr="00A967CB">
              <w:rPr>
                <w:rFonts w:eastAsia="宋体" w:hint="eastAsia"/>
                <w:color w:val="000000" w:themeColor="text1"/>
              </w:rPr>
              <w:t>3-1</w:t>
            </w:r>
            <w:r w:rsidRPr="00A967CB">
              <w:rPr>
                <w:rFonts w:eastAsia="宋体" w:hint="eastAsia"/>
                <w:color w:val="000000" w:themeColor="text1"/>
              </w:rPr>
              <w:t>分，无不得分。（</w:t>
            </w:r>
            <w:r w:rsidRPr="00A967CB">
              <w:rPr>
                <w:rFonts w:eastAsia="宋体" w:hint="eastAsia"/>
                <w:color w:val="000000" w:themeColor="text1"/>
              </w:rPr>
              <w:t>3</w:t>
            </w:r>
            <w:r w:rsidRPr="00A967CB">
              <w:rPr>
                <w:rFonts w:eastAsia="宋体" w:hint="eastAsia"/>
                <w:color w:val="000000" w:themeColor="text1"/>
              </w:rPr>
              <w:t>分）</w:t>
            </w:r>
          </w:p>
          <w:p w:rsidR="00A967CB" w:rsidRPr="00A967CB" w:rsidRDefault="00A967CB" w:rsidP="005E24C0">
            <w:pPr>
              <w:pStyle w:val="Normal0"/>
              <w:rPr>
                <w:rFonts w:eastAsia="宋体"/>
                <w:color w:val="000000" w:themeColor="text1"/>
              </w:rPr>
            </w:pPr>
            <w:r w:rsidRPr="00A967CB">
              <w:rPr>
                <w:rFonts w:ascii="宋体" w:eastAsia="宋体" w:hAnsi="宋体" w:cs="宋体" w:hint="eastAsia"/>
                <w:color w:val="000000" w:themeColor="text1"/>
              </w:rPr>
              <w:t>3.有利于提高服务质量、管理等方面的创新、创优等与</w:t>
            </w:r>
            <w:r w:rsidRPr="00A967CB">
              <w:rPr>
                <w:rFonts w:eastAsia="宋体"/>
                <w:color w:val="000000" w:themeColor="text1"/>
              </w:rPr>
              <w:t>项目相适应的</w:t>
            </w:r>
            <w:r w:rsidRPr="00A967CB">
              <w:rPr>
                <w:rFonts w:ascii="宋体" w:eastAsia="宋体" w:hAnsi="宋体" w:cs="宋体" w:hint="eastAsia"/>
                <w:color w:val="000000" w:themeColor="text1"/>
              </w:rPr>
              <w:t>合理化优化措施，根据合理化情况</w:t>
            </w:r>
            <w:r w:rsidRPr="00A967CB">
              <w:rPr>
                <w:rFonts w:eastAsia="宋体"/>
                <w:color w:val="000000" w:themeColor="text1"/>
              </w:rPr>
              <w:t>得</w:t>
            </w:r>
            <w:r w:rsidRPr="00A967CB">
              <w:rPr>
                <w:rFonts w:eastAsia="宋体" w:hint="eastAsia"/>
                <w:color w:val="000000" w:themeColor="text1"/>
              </w:rPr>
              <w:t>4-1</w:t>
            </w:r>
            <w:r w:rsidRPr="00A967CB">
              <w:rPr>
                <w:rFonts w:eastAsia="宋体" w:hint="eastAsia"/>
                <w:color w:val="000000" w:themeColor="text1"/>
              </w:rPr>
              <w:t>分，无不得分</w:t>
            </w:r>
            <w:r w:rsidRPr="00A967CB">
              <w:rPr>
                <w:rFonts w:ascii="宋体" w:eastAsia="宋体" w:hAnsi="宋体" w:cs="宋体" w:hint="eastAsia"/>
                <w:color w:val="000000" w:themeColor="text1"/>
              </w:rPr>
              <w:t>。（4分）</w:t>
            </w:r>
          </w:p>
        </w:tc>
        <w:tc>
          <w:tcPr>
            <w:tcW w:w="660" w:type="pct"/>
            <w:gridSpan w:val="2"/>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color w:val="000000" w:themeColor="text1"/>
              </w:rPr>
            </w:pPr>
          </w:p>
        </w:tc>
      </w:tr>
      <w:tr w:rsidR="00A967CB" w:rsidRPr="00A967CB" w:rsidTr="005E24C0">
        <w:tc>
          <w:tcPr>
            <w:tcW w:w="336" w:type="pct"/>
            <w:vMerge w:val="restar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44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r w:rsidRPr="00A967CB">
              <w:rPr>
                <w:rFonts w:ascii="宋体" w:eastAsia="宋体" w:hAnsi="宋体" w:cs="宋体"/>
                <w:color w:val="000000" w:themeColor="text1"/>
              </w:rPr>
              <w:t>合计</w:t>
            </w:r>
          </w:p>
        </w:tc>
        <w:tc>
          <w:tcPr>
            <w:tcW w:w="964"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rFonts w:eastAsia="宋体" w:hint="eastAsia"/>
                <w:color w:val="000000" w:themeColor="text1"/>
              </w:rPr>
            </w:pPr>
            <w:r w:rsidRPr="00A967CB">
              <w:rPr>
                <w:rFonts w:eastAsia="宋体" w:hint="eastAsia"/>
                <w:color w:val="000000" w:themeColor="text1"/>
              </w:rPr>
              <w:t>100</w:t>
            </w:r>
          </w:p>
        </w:tc>
        <w:tc>
          <w:tcPr>
            <w:tcW w:w="2595" w:type="pct"/>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rFonts w:eastAsia="宋体" w:hint="eastAsia"/>
                <w:color w:val="000000" w:themeColor="text1"/>
              </w:rPr>
            </w:pPr>
            <w:r w:rsidRPr="00A967CB">
              <w:rPr>
                <w:rFonts w:eastAsia="宋体" w:hint="eastAsia"/>
                <w:color w:val="000000" w:themeColor="text1"/>
              </w:rPr>
              <w:t>100</w:t>
            </w:r>
          </w:p>
        </w:tc>
        <w:tc>
          <w:tcPr>
            <w:tcW w:w="660" w:type="pct"/>
            <w:gridSpan w:val="2"/>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r>
      <w:tr w:rsidR="00A967CB" w:rsidRPr="00A967CB" w:rsidTr="005E24C0">
        <w:tc>
          <w:tcPr>
            <w:tcW w:w="336" w:type="pct"/>
            <w:vMerge/>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jc w:val="center"/>
              <w:rPr>
                <w:color w:val="000000" w:themeColor="text1"/>
              </w:rPr>
            </w:pPr>
          </w:p>
        </w:tc>
        <w:tc>
          <w:tcPr>
            <w:tcW w:w="4664" w:type="pct"/>
            <w:gridSpan w:val="5"/>
            <w:tcBorders>
              <w:top w:val="outset" w:sz="6" w:space="0" w:color="auto"/>
              <w:left w:val="outset" w:sz="6" w:space="0" w:color="auto"/>
              <w:bottom w:val="outset" w:sz="6" w:space="0" w:color="auto"/>
              <w:right w:val="outset" w:sz="6" w:space="0" w:color="auto"/>
            </w:tcBorders>
            <w:noWrap/>
            <w:vAlign w:val="center"/>
          </w:tcPr>
          <w:p w:rsidR="00A967CB" w:rsidRPr="00A967CB" w:rsidRDefault="00A967CB" w:rsidP="005E24C0">
            <w:pPr>
              <w:pStyle w:val="Normal0"/>
              <w:rPr>
                <w:rFonts w:ascii="宋体" w:eastAsia="宋体" w:hAnsi="宋体" w:cs="宋体" w:hint="eastAsia"/>
                <w:color w:val="000000" w:themeColor="text1"/>
              </w:rPr>
            </w:pPr>
            <w:r w:rsidRPr="00A967CB">
              <w:rPr>
                <w:rFonts w:ascii="宋体" w:eastAsia="宋体" w:hAnsi="宋体" w:cs="宋体"/>
                <w:color w:val="000000" w:themeColor="text1"/>
              </w:rPr>
              <w:t>注： 1、计算过程中，算术平均值保留2位小数（百分比亦取2位小数），第三位小数四舍五入。</w:t>
            </w:r>
          </w:p>
          <w:p w:rsidR="00A967CB" w:rsidRPr="00A967CB" w:rsidRDefault="00A967CB" w:rsidP="005E24C0">
            <w:pPr>
              <w:pStyle w:val="Normal0"/>
              <w:rPr>
                <w:color w:val="000000" w:themeColor="text1"/>
              </w:rPr>
            </w:pPr>
            <w:r w:rsidRPr="00A967CB">
              <w:rPr>
                <w:rFonts w:ascii="宋体" w:eastAsia="宋体" w:hAnsi="宋体" w:cs="宋体"/>
                <w:color w:val="000000" w:themeColor="text1"/>
              </w:rPr>
              <w:t>2、投标人的最终得分为：所有评委对其评分的算术平均值。</w:t>
            </w:r>
          </w:p>
        </w:tc>
      </w:tr>
    </w:tbl>
    <w:p w:rsidR="00A967CB" w:rsidRPr="00A967CB" w:rsidRDefault="00A967CB" w:rsidP="00A967CB">
      <w:pPr>
        <w:rPr>
          <w:rFonts w:ascii="宋体" w:hAnsi="宋体" w:cs="宋体"/>
          <w:color w:val="000000" w:themeColor="text1"/>
          <w:sz w:val="24"/>
          <w:szCs w:val="24"/>
        </w:rPr>
      </w:pPr>
    </w:p>
    <w:p w:rsidR="0018587C" w:rsidRPr="00A967CB" w:rsidRDefault="0018587C">
      <w:pPr>
        <w:rPr>
          <w:rFonts w:ascii="宋体" w:hAnsi="宋体" w:cs="宋体" w:hint="eastAsia"/>
          <w:color w:val="000000" w:themeColor="text1"/>
          <w:sz w:val="24"/>
          <w:szCs w:val="24"/>
        </w:rPr>
      </w:pPr>
    </w:p>
    <w:sectPr w:rsidR="0018587C" w:rsidRPr="00A967CB" w:rsidSect="00A967CB">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A8" w:rsidRDefault="008619A8" w:rsidP="00A967CB">
      <w:r>
        <w:separator/>
      </w:r>
    </w:p>
  </w:endnote>
  <w:endnote w:type="continuationSeparator" w:id="0">
    <w:p w:rsidR="008619A8" w:rsidRDefault="008619A8" w:rsidP="00A9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A8" w:rsidRDefault="008619A8" w:rsidP="00A967CB">
      <w:r>
        <w:separator/>
      </w:r>
    </w:p>
  </w:footnote>
  <w:footnote w:type="continuationSeparator" w:id="0">
    <w:p w:rsidR="008619A8" w:rsidRDefault="008619A8" w:rsidP="00A96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C1"/>
    <w:rsid w:val="0018587C"/>
    <w:rsid w:val="008619A8"/>
    <w:rsid w:val="00A967CB"/>
    <w:rsid w:val="00DD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9C15B-F37F-431D-935E-B9A87647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CB"/>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7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67CB"/>
    <w:rPr>
      <w:sz w:val="18"/>
      <w:szCs w:val="18"/>
    </w:rPr>
  </w:style>
  <w:style w:type="paragraph" w:styleId="a4">
    <w:name w:val="footer"/>
    <w:basedOn w:val="a"/>
    <w:link w:val="Char0"/>
    <w:uiPriority w:val="99"/>
    <w:unhideWhenUsed/>
    <w:rsid w:val="00A967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67CB"/>
    <w:rPr>
      <w:sz w:val="18"/>
      <w:szCs w:val="18"/>
    </w:rPr>
  </w:style>
  <w:style w:type="paragraph" w:customStyle="1" w:styleId="Normal0">
    <w:name w:val="Normal_0"/>
    <w:qFormat/>
    <w:rsid w:val="00A967CB"/>
    <w:rPr>
      <w:rFonts w:ascii="Times New Roman" w:eastAsia="Times New Roman" w:hAnsi="Times New Roman" w:cs="Times New Roman"/>
      <w:kern w:val="0"/>
      <w:sz w:val="24"/>
      <w:szCs w:val="24"/>
    </w:rPr>
  </w:style>
  <w:style w:type="paragraph" w:customStyle="1" w:styleId="1">
    <w:name w:val="正文1"/>
    <w:qFormat/>
    <w:rsid w:val="00A967CB"/>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1736</Characters>
  <Application>Microsoft Office Word</Application>
  <DocSecurity>0</DocSecurity>
  <Lines>14</Lines>
  <Paragraphs>4</Paragraphs>
  <ScaleCrop>false</ScaleCrop>
  <Company>China</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2024-07-02T11:39:00Z</dcterms:created>
  <dcterms:modified xsi:type="dcterms:W3CDTF">2024-07-02T11:40:00Z</dcterms:modified>
</cp:coreProperties>
</file>