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14:paraId="33251B31">
      <w:pPr>
        <w:jc w:val="center"/>
        <w:rPr>
          <w:rFonts w:ascii="宋体" w:hAnsi="宋体"/>
        </w:rPr>
      </w:pPr>
      <w:r>
        <w:rPr>
          <w:rFonts w:hint="eastAsia" w:ascii="宋体" w:hAnsi="宋体"/>
        </w:rPr>
        <w:t xml:space="preserve"> </w:t>
      </w:r>
    </w:p>
    <w:p w14:paraId="0B95886B">
      <w:pPr>
        <w:spacing w:line="360" w:lineRule="auto"/>
        <w:jc w:val="center"/>
        <w:outlineLvl w:val="0"/>
        <w:rPr>
          <w:rFonts w:hint="eastAsia" w:ascii="宋体" w:hAnsi="宋体" w:cs="宋体"/>
          <w:spacing w:val="80"/>
          <w:sz w:val="48"/>
          <w:szCs w:val="48"/>
        </w:rPr>
      </w:pPr>
      <w:r>
        <w:rPr>
          <w:rFonts w:hint="eastAsia" w:ascii="宋体" w:hAnsi="宋体" w:cs="宋体"/>
          <w:spacing w:val="80"/>
          <w:sz w:val="48"/>
          <w:szCs w:val="48"/>
        </w:rPr>
        <w:t>扬州市政府采购服务商城</w:t>
      </w:r>
    </w:p>
    <w:p w14:paraId="00A994C3">
      <w:pPr>
        <w:spacing w:line="360" w:lineRule="auto"/>
        <w:jc w:val="center"/>
        <w:outlineLvl w:val="0"/>
        <w:rPr>
          <w:rFonts w:hint="eastAsia" w:ascii="宋体" w:hAnsi="宋体" w:cs="宋体"/>
          <w:spacing w:val="80"/>
          <w:sz w:val="112"/>
          <w:szCs w:val="112"/>
        </w:rPr>
      </w:pPr>
      <w:r>
        <w:rPr>
          <w:rFonts w:hint="eastAsia" w:ascii="宋体" w:hAnsi="宋体" w:cs="宋体"/>
          <w:spacing w:val="80"/>
          <w:sz w:val="48"/>
          <w:szCs w:val="48"/>
        </w:rPr>
        <w:t>谈判采购文件</w:t>
      </w:r>
    </w:p>
    <w:p w14:paraId="676859E7">
      <w:pPr>
        <w:spacing w:line="360" w:lineRule="auto"/>
        <w:jc w:val="center"/>
        <w:rPr>
          <w:rFonts w:hint="eastAsia" w:ascii="宋体" w:hAnsi="宋体" w:cs="宋体"/>
          <w:sz w:val="36"/>
          <w:szCs w:val="36"/>
        </w:rPr>
      </w:pPr>
      <w:r>
        <w:rPr>
          <w:rFonts w:hint="eastAsia" w:ascii="宋体" w:hAnsi="宋体" w:cs="宋体"/>
          <w:sz w:val="36"/>
          <w:szCs w:val="36"/>
        </w:rPr>
        <w:t>（综合评分法）</w:t>
      </w:r>
    </w:p>
    <w:p w14:paraId="0068E00B">
      <w:pPr>
        <w:jc w:val="center"/>
        <w:rPr>
          <w:rFonts w:ascii="黑体" w:hAnsi="黑体" w:eastAsia="黑体"/>
          <w:sz w:val="32"/>
        </w:rPr>
      </w:pPr>
      <w:r>
        <w:rPr>
          <w:rFonts w:ascii="宋体" w:hAnsi="宋体"/>
          <w:sz w:val="36"/>
        </w:rPr>
        <w:drawing>
          <wp:inline distT="0" distB="0" distL="114300" distR="114300">
            <wp:extent cx="5669280" cy="3791585"/>
            <wp:effectExtent l="0" t="0" r="7620" b="18415"/>
            <wp:docPr id="2" name="图片 2" descr="1313568539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13568539512"/>
                    <pic:cNvPicPr>
                      <a:picLocks noChangeAspect="1"/>
                    </pic:cNvPicPr>
                  </pic:nvPicPr>
                  <pic:blipFill>
                    <a:blip r:embed="rId15"/>
                    <a:stretch>
                      <a:fillRect/>
                    </a:stretch>
                  </pic:blipFill>
                  <pic:spPr>
                    <a:xfrm>
                      <a:off x="0" y="0"/>
                      <a:ext cx="5669280" cy="3791585"/>
                    </a:xfrm>
                    <a:prstGeom prst="rect">
                      <a:avLst/>
                    </a:prstGeom>
                    <a:noFill/>
                    <a:ln>
                      <a:noFill/>
                    </a:ln>
                  </pic:spPr>
                </pic:pic>
              </a:graphicData>
            </a:graphic>
          </wp:inline>
        </w:drawing>
      </w:r>
    </w:p>
    <w:p w14:paraId="331C1D21">
      <w:pPr>
        <w:spacing w:line="700" w:lineRule="exact"/>
        <w:jc w:val="center"/>
        <w:rPr>
          <w:rFonts w:ascii="黑体" w:hAnsi="黑体" w:eastAsia="黑体"/>
          <w:sz w:val="32"/>
        </w:rPr>
      </w:pPr>
    </w:p>
    <w:p w14:paraId="6D912585">
      <w:pPr>
        <w:spacing w:line="700" w:lineRule="exact"/>
        <w:ind w:firstLine="320" w:firstLineChars="100"/>
        <w:rPr>
          <w:rFonts w:hint="eastAsia" w:ascii="宋体" w:hAnsi="宋体" w:eastAsia="宋体" w:cs="宋体"/>
          <w:sz w:val="32"/>
          <w:szCs w:val="32"/>
          <w:lang w:val="en-US" w:eastAsia="zh-CN"/>
        </w:rPr>
      </w:pPr>
      <w:r>
        <w:rPr>
          <w:rFonts w:hint="eastAsia" w:ascii="宋体" w:hAnsi="宋体" w:cs="宋体"/>
          <w:sz w:val="32"/>
          <w:szCs w:val="32"/>
        </w:rPr>
        <w:t>项目编号：</w:t>
      </w:r>
      <w:r>
        <w:rPr>
          <w:rFonts w:hint="eastAsia" w:ascii="宋体" w:hAnsi="宋体" w:cs="宋体"/>
          <w:sz w:val="32"/>
          <w:szCs w:val="32"/>
          <w:lang w:eastAsia="zh-CN"/>
        </w:rPr>
        <w:t>YZLZDL-2024042</w:t>
      </w:r>
    </w:p>
    <w:p w14:paraId="25118290">
      <w:pPr>
        <w:spacing w:line="700" w:lineRule="exact"/>
        <w:ind w:firstLine="320" w:firstLineChars="100"/>
        <w:rPr>
          <w:rFonts w:hint="default" w:ascii="宋体" w:hAnsi="宋体" w:eastAsia="宋体" w:cs="宋体"/>
          <w:sz w:val="32"/>
          <w:szCs w:val="32"/>
          <w:lang w:val="en-US" w:eastAsia="zh-CN"/>
        </w:rPr>
      </w:pPr>
      <w:r>
        <w:rPr>
          <w:rFonts w:hint="eastAsia" w:ascii="宋体" w:hAnsi="宋体" w:cs="宋体"/>
          <w:sz w:val="32"/>
          <w:szCs w:val="32"/>
        </w:rPr>
        <w:t>项目名称：</w:t>
      </w:r>
      <w:r>
        <w:rPr>
          <w:rFonts w:hint="eastAsia" w:ascii="宋体" w:hAnsi="宋体" w:cs="宋体"/>
          <w:sz w:val="32"/>
          <w:szCs w:val="32"/>
          <w:lang w:eastAsia="zh-CN"/>
        </w:rPr>
        <w:t>市管照明设施灯杆改造工程</w:t>
      </w:r>
      <w:r>
        <w:rPr>
          <w:rFonts w:hint="eastAsia" w:ascii="宋体" w:hAnsi="宋体" w:cs="宋体"/>
          <w:sz w:val="32"/>
          <w:szCs w:val="32"/>
          <w:lang w:val="en-US" w:eastAsia="zh-CN"/>
        </w:rPr>
        <w:t>造价咨询服务</w:t>
      </w:r>
    </w:p>
    <w:p w14:paraId="32DC5B4A">
      <w:pPr>
        <w:spacing w:line="700" w:lineRule="exact"/>
        <w:ind w:firstLine="320" w:firstLineChars="100"/>
        <w:rPr>
          <w:rFonts w:hint="default" w:ascii="宋体" w:hAnsi="宋体" w:eastAsia="宋体" w:cs="宋体"/>
          <w:sz w:val="32"/>
          <w:szCs w:val="32"/>
          <w:lang w:val="en-US" w:eastAsia="zh-CN"/>
        </w:rPr>
      </w:pPr>
      <w:r>
        <w:rPr>
          <w:rFonts w:hint="eastAsia" w:ascii="宋体" w:hAnsi="宋体" w:cs="宋体"/>
          <w:sz w:val="32"/>
          <w:szCs w:val="32"/>
        </w:rPr>
        <w:t>采 购 人：扬州市</w:t>
      </w:r>
      <w:r>
        <w:rPr>
          <w:rFonts w:hint="eastAsia" w:ascii="宋体" w:hAnsi="宋体" w:cs="宋体"/>
          <w:sz w:val="32"/>
          <w:szCs w:val="32"/>
          <w:lang w:val="en-US" w:eastAsia="zh-CN"/>
        </w:rPr>
        <w:t>市政设施管理中心</w:t>
      </w:r>
    </w:p>
    <w:p w14:paraId="66F3C46B">
      <w:pPr>
        <w:spacing w:line="700" w:lineRule="exact"/>
        <w:ind w:firstLine="320" w:firstLineChars="100"/>
        <w:rPr>
          <w:rFonts w:hint="eastAsia" w:ascii="宋体" w:hAnsi="宋体" w:eastAsia="宋体" w:cs="宋体"/>
          <w:sz w:val="32"/>
          <w:szCs w:val="32"/>
          <w:lang w:eastAsia="zh-CN"/>
        </w:rPr>
      </w:pPr>
      <w:r>
        <w:rPr>
          <w:rFonts w:hint="eastAsia" w:ascii="宋体" w:hAnsi="宋体" w:cs="宋体"/>
          <w:sz w:val="32"/>
          <w:szCs w:val="32"/>
        </w:rPr>
        <w:t>代理机构：</w:t>
      </w:r>
      <w:r>
        <w:rPr>
          <w:rFonts w:hint="eastAsia" w:ascii="宋体" w:hAnsi="宋体" w:cs="宋体"/>
          <w:sz w:val="32"/>
          <w:szCs w:val="32"/>
          <w:lang w:eastAsia="zh-CN"/>
        </w:rPr>
        <w:t>扬州览众建设工程咨询服务有限公司</w:t>
      </w:r>
    </w:p>
    <w:p w14:paraId="3E2D81B0">
      <w:pPr>
        <w:spacing w:line="700" w:lineRule="exact"/>
        <w:ind w:firstLine="320" w:firstLineChars="100"/>
        <w:rPr>
          <w:rFonts w:hint="eastAsia" w:ascii="宋体" w:hAnsi="宋体" w:cs="宋体"/>
          <w:sz w:val="32"/>
          <w:szCs w:val="32"/>
        </w:rPr>
      </w:pPr>
      <w:r>
        <w:rPr>
          <w:rFonts w:hint="eastAsia" w:ascii="宋体" w:hAnsi="宋体" w:cs="宋体"/>
          <w:sz w:val="32"/>
          <w:szCs w:val="32"/>
        </w:rPr>
        <w:t>发布日期：202</w:t>
      </w:r>
      <w:r>
        <w:rPr>
          <w:rFonts w:hint="eastAsia" w:ascii="宋体" w:hAnsi="宋体" w:cs="宋体"/>
          <w:sz w:val="32"/>
          <w:szCs w:val="32"/>
          <w:lang w:val="en-US" w:eastAsia="zh-CN"/>
        </w:rPr>
        <w:t>4</w:t>
      </w:r>
      <w:r>
        <w:rPr>
          <w:rFonts w:hint="eastAsia" w:ascii="宋体" w:hAnsi="宋体" w:cs="宋体"/>
          <w:sz w:val="32"/>
          <w:szCs w:val="32"/>
        </w:rPr>
        <w:t>年</w:t>
      </w:r>
      <w:r>
        <w:rPr>
          <w:rFonts w:hint="eastAsia" w:ascii="宋体" w:hAnsi="宋体" w:cs="宋体"/>
          <w:sz w:val="32"/>
          <w:szCs w:val="32"/>
          <w:lang w:val="en-US" w:eastAsia="zh-CN"/>
        </w:rPr>
        <w:t>7</w:t>
      </w:r>
      <w:r>
        <w:rPr>
          <w:rFonts w:hint="eastAsia" w:ascii="宋体" w:hAnsi="宋体" w:cs="宋体"/>
          <w:sz w:val="32"/>
          <w:szCs w:val="32"/>
        </w:rPr>
        <w:t>月</w:t>
      </w:r>
      <w:r>
        <w:rPr>
          <w:rFonts w:hint="eastAsia" w:ascii="宋体" w:hAnsi="宋体" w:cs="宋体"/>
          <w:sz w:val="32"/>
          <w:szCs w:val="32"/>
          <w:lang w:val="en-US" w:eastAsia="zh-CN"/>
        </w:rPr>
        <w:t>2</w:t>
      </w:r>
      <w:r>
        <w:rPr>
          <w:rFonts w:hint="eastAsia" w:ascii="宋体" w:hAnsi="宋体" w:cs="宋体"/>
          <w:sz w:val="32"/>
          <w:szCs w:val="32"/>
        </w:rPr>
        <w:t>日</w:t>
      </w:r>
    </w:p>
    <w:p w14:paraId="307F1C80">
      <w:pPr>
        <w:spacing w:line="480" w:lineRule="exact"/>
        <w:outlineLvl w:val="0"/>
        <w:rPr>
          <w:rFonts w:hint="eastAsia" w:ascii="宋体" w:hAnsi="宋体" w:cs="宋体"/>
          <w:sz w:val="32"/>
          <w:szCs w:val="32"/>
        </w:rPr>
        <w:sectPr>
          <w:headerReference r:id="rId4" w:type="first"/>
          <w:footerReference r:id="rId6" w:type="first"/>
          <w:headerReference r:id="rId3" w:type="default"/>
          <w:footerReference r:id="rId5" w:type="even"/>
          <w:pgSz w:w="11907" w:h="16840"/>
          <w:pgMar w:top="1134" w:right="1191" w:bottom="1134" w:left="1304" w:header="851" w:footer="992" w:gutter="0"/>
          <w:pgBorders>
            <w:top w:val="none" w:sz="0" w:space="0"/>
            <w:left w:val="none" w:sz="0" w:space="0"/>
            <w:bottom w:val="none" w:sz="0" w:space="0"/>
            <w:right w:val="none" w:sz="0" w:space="0"/>
          </w:pgBorders>
          <w:pgNumType w:start="1"/>
          <w:cols w:space="720" w:num="1"/>
          <w:docGrid w:linePitch="380" w:charSpace="-5735"/>
        </w:sectPr>
      </w:pPr>
    </w:p>
    <w:p w14:paraId="4972F87B">
      <w:pPr>
        <w:spacing w:line="480" w:lineRule="exact"/>
        <w:jc w:val="center"/>
        <w:outlineLvl w:val="0"/>
        <w:rPr>
          <w:rFonts w:ascii="宋体" w:hAnsi="宋体" w:cs="宋体"/>
          <w:b/>
          <w:bCs/>
          <w:szCs w:val="28"/>
        </w:rPr>
      </w:pPr>
      <w:r>
        <w:rPr>
          <w:rFonts w:hint="eastAsia" w:ascii="宋体" w:hAnsi="宋体" w:cs="宋体"/>
          <w:b/>
          <w:bCs/>
          <w:szCs w:val="28"/>
        </w:rPr>
        <w:t>目   录</w:t>
      </w:r>
    </w:p>
    <w:p w14:paraId="644AF8B8">
      <w:pPr>
        <w:pStyle w:val="46"/>
        <w:tabs>
          <w:tab w:val="right" w:leader="dot" w:pos="9412"/>
        </w:tabs>
        <w:spacing w:line="360" w:lineRule="auto"/>
        <w:ind w:left="560"/>
        <w:rPr>
          <w:sz w:val="21"/>
          <w:szCs w:val="21"/>
        </w:rPr>
      </w:pPr>
      <w:r>
        <w:rPr>
          <w:rFonts w:hint="eastAsia" w:ascii="宋体" w:hAnsi="宋体" w:cs="宋体"/>
          <w:sz w:val="24"/>
          <w:szCs w:val="24"/>
        </w:rPr>
        <w:fldChar w:fldCharType="begin"/>
      </w:r>
      <w:r>
        <w:rPr>
          <w:rFonts w:hint="eastAsia" w:ascii="宋体" w:hAnsi="宋体" w:cs="宋体"/>
          <w:sz w:val="24"/>
          <w:szCs w:val="24"/>
        </w:rPr>
        <w:instrText xml:space="preserve"> TOC \o "1-3" \h \z </w:instrText>
      </w:r>
      <w:r>
        <w:rPr>
          <w:rFonts w:hint="eastAsia" w:ascii="宋体" w:hAnsi="宋体" w:cs="宋体"/>
          <w:sz w:val="24"/>
          <w:szCs w:val="24"/>
        </w:rPr>
        <w:fldChar w:fldCharType="separate"/>
      </w:r>
      <w:r>
        <w:rPr>
          <w:rFonts w:hint="eastAsia" w:ascii="宋体" w:hAnsi="宋体" w:cs="宋体"/>
          <w:sz w:val="21"/>
          <w:szCs w:val="21"/>
        </w:rPr>
        <w:fldChar w:fldCharType="begin"/>
      </w:r>
      <w:r>
        <w:rPr>
          <w:rFonts w:hint="eastAsia" w:ascii="宋体" w:hAnsi="宋体" w:cs="宋体"/>
          <w:sz w:val="21"/>
          <w:szCs w:val="21"/>
        </w:rPr>
        <w:instrText xml:space="preserve"> HYPERLINK \l _Toc372 </w:instrText>
      </w:r>
      <w:r>
        <w:rPr>
          <w:rFonts w:hint="eastAsia" w:ascii="宋体" w:hAnsi="宋体" w:cs="宋体"/>
          <w:sz w:val="21"/>
          <w:szCs w:val="21"/>
        </w:rPr>
        <w:fldChar w:fldCharType="separate"/>
      </w:r>
      <w:r>
        <w:rPr>
          <w:rFonts w:hint="eastAsia" w:ascii="宋体" w:hAnsi="宋体"/>
          <w:sz w:val="21"/>
          <w:szCs w:val="21"/>
        </w:rPr>
        <w:t>第一篇  谈判采购邀请书</w:t>
      </w:r>
      <w:r>
        <w:rPr>
          <w:sz w:val="21"/>
          <w:szCs w:val="21"/>
        </w:rPr>
        <w:tab/>
      </w:r>
      <w:r>
        <w:rPr>
          <w:sz w:val="21"/>
          <w:szCs w:val="21"/>
        </w:rPr>
        <w:fldChar w:fldCharType="begin"/>
      </w:r>
      <w:r>
        <w:rPr>
          <w:sz w:val="21"/>
          <w:szCs w:val="21"/>
        </w:rPr>
        <w:instrText xml:space="preserve"> PAGEREF _Toc372 \h </w:instrText>
      </w:r>
      <w:r>
        <w:rPr>
          <w:sz w:val="21"/>
          <w:szCs w:val="21"/>
        </w:rPr>
        <w:fldChar w:fldCharType="separate"/>
      </w:r>
      <w:r>
        <w:rPr>
          <w:sz w:val="21"/>
          <w:szCs w:val="21"/>
        </w:rPr>
        <w:t>1</w:t>
      </w:r>
      <w:r>
        <w:rPr>
          <w:sz w:val="21"/>
          <w:szCs w:val="21"/>
        </w:rPr>
        <w:fldChar w:fldCharType="end"/>
      </w:r>
      <w:r>
        <w:rPr>
          <w:rFonts w:hint="eastAsia" w:ascii="宋体" w:hAnsi="宋体" w:cs="宋体"/>
          <w:sz w:val="21"/>
          <w:szCs w:val="21"/>
        </w:rPr>
        <w:fldChar w:fldCharType="end"/>
      </w:r>
    </w:p>
    <w:p w14:paraId="47A90862">
      <w:pPr>
        <w:pStyle w:val="30"/>
        <w:tabs>
          <w:tab w:val="right" w:leader="dot" w:pos="9412"/>
        </w:tabs>
        <w:spacing w:line="360" w:lineRule="auto"/>
        <w:ind w:left="1120"/>
        <w:jc w:val="center"/>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_Toc17275 </w:instrText>
      </w:r>
      <w:r>
        <w:rPr>
          <w:rFonts w:hint="eastAsia" w:ascii="宋体" w:hAnsi="宋体" w:cs="宋体"/>
          <w:sz w:val="21"/>
          <w:szCs w:val="21"/>
        </w:rPr>
        <w:fldChar w:fldCharType="separate"/>
      </w:r>
      <w:r>
        <w:rPr>
          <w:rFonts w:hint="eastAsia" w:ascii="宋体" w:hAnsi="宋体" w:cs="宋体"/>
          <w:sz w:val="21"/>
          <w:szCs w:val="21"/>
        </w:rPr>
        <w:t>一、</w:t>
      </w:r>
      <w:r>
        <w:rPr>
          <w:rFonts w:ascii="宋体" w:hAnsi="宋体" w:cs="宋体"/>
          <w:sz w:val="21"/>
          <w:szCs w:val="21"/>
        </w:rPr>
        <w:t>谈判采购</w:t>
      </w:r>
      <w:r>
        <w:rPr>
          <w:rFonts w:hint="eastAsia" w:ascii="宋体" w:hAnsi="宋体" w:cs="宋体"/>
          <w:sz w:val="21"/>
          <w:szCs w:val="21"/>
        </w:rPr>
        <w:t>内容</w:t>
      </w:r>
      <w:r>
        <w:rPr>
          <w:sz w:val="21"/>
          <w:szCs w:val="21"/>
        </w:rPr>
        <w:tab/>
      </w:r>
      <w:r>
        <w:rPr>
          <w:sz w:val="21"/>
          <w:szCs w:val="21"/>
        </w:rPr>
        <w:fldChar w:fldCharType="begin"/>
      </w:r>
      <w:r>
        <w:rPr>
          <w:sz w:val="21"/>
          <w:szCs w:val="21"/>
        </w:rPr>
        <w:instrText xml:space="preserve"> PAGEREF _Toc17275 \h </w:instrText>
      </w:r>
      <w:r>
        <w:rPr>
          <w:sz w:val="21"/>
          <w:szCs w:val="21"/>
        </w:rPr>
        <w:fldChar w:fldCharType="separate"/>
      </w:r>
      <w:r>
        <w:rPr>
          <w:sz w:val="21"/>
          <w:szCs w:val="21"/>
        </w:rPr>
        <w:t>1</w:t>
      </w:r>
      <w:r>
        <w:rPr>
          <w:sz w:val="21"/>
          <w:szCs w:val="21"/>
        </w:rPr>
        <w:fldChar w:fldCharType="end"/>
      </w:r>
      <w:r>
        <w:rPr>
          <w:rFonts w:hint="eastAsia" w:ascii="宋体" w:hAnsi="宋体" w:cs="宋体"/>
          <w:sz w:val="21"/>
          <w:szCs w:val="21"/>
        </w:rPr>
        <w:fldChar w:fldCharType="end"/>
      </w:r>
    </w:p>
    <w:p w14:paraId="77505F80">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_Toc11652 </w:instrText>
      </w:r>
      <w:r>
        <w:rPr>
          <w:rFonts w:hint="eastAsia" w:ascii="宋体" w:hAnsi="宋体" w:cs="宋体"/>
          <w:sz w:val="21"/>
          <w:szCs w:val="21"/>
        </w:rPr>
        <w:fldChar w:fldCharType="separate"/>
      </w:r>
      <w:r>
        <w:rPr>
          <w:rFonts w:hint="eastAsia" w:ascii="宋体" w:hAnsi="宋体" w:cs="宋体"/>
          <w:sz w:val="21"/>
          <w:szCs w:val="21"/>
        </w:rPr>
        <w:t>二、资金来源</w:t>
      </w:r>
      <w:r>
        <w:rPr>
          <w:sz w:val="21"/>
          <w:szCs w:val="21"/>
        </w:rPr>
        <w:tab/>
      </w:r>
      <w:r>
        <w:rPr>
          <w:sz w:val="21"/>
          <w:szCs w:val="21"/>
        </w:rPr>
        <w:fldChar w:fldCharType="begin"/>
      </w:r>
      <w:r>
        <w:rPr>
          <w:sz w:val="21"/>
          <w:szCs w:val="21"/>
        </w:rPr>
        <w:instrText xml:space="preserve"> PAGEREF _Toc11652 \h </w:instrText>
      </w:r>
      <w:r>
        <w:rPr>
          <w:sz w:val="21"/>
          <w:szCs w:val="21"/>
        </w:rPr>
        <w:fldChar w:fldCharType="separate"/>
      </w:r>
      <w:r>
        <w:rPr>
          <w:sz w:val="21"/>
          <w:szCs w:val="21"/>
        </w:rPr>
        <w:t>1</w:t>
      </w:r>
      <w:r>
        <w:rPr>
          <w:sz w:val="21"/>
          <w:szCs w:val="21"/>
        </w:rPr>
        <w:fldChar w:fldCharType="end"/>
      </w:r>
      <w:r>
        <w:rPr>
          <w:rFonts w:hint="eastAsia" w:ascii="宋体" w:hAnsi="宋体" w:cs="宋体"/>
          <w:sz w:val="21"/>
          <w:szCs w:val="21"/>
        </w:rPr>
        <w:fldChar w:fldCharType="end"/>
      </w:r>
    </w:p>
    <w:p w14:paraId="56B2E150">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_Toc18299 </w:instrText>
      </w:r>
      <w:r>
        <w:rPr>
          <w:rFonts w:hint="eastAsia" w:ascii="宋体" w:hAnsi="宋体" w:cs="宋体"/>
          <w:sz w:val="21"/>
          <w:szCs w:val="21"/>
        </w:rPr>
        <w:fldChar w:fldCharType="separate"/>
      </w:r>
      <w:r>
        <w:rPr>
          <w:rFonts w:hint="eastAsia" w:ascii="宋体" w:hAnsi="宋体" w:cs="宋体"/>
          <w:sz w:val="21"/>
          <w:szCs w:val="21"/>
        </w:rPr>
        <w:t>三、谈判资格</w:t>
      </w:r>
      <w:r>
        <w:rPr>
          <w:sz w:val="21"/>
          <w:szCs w:val="21"/>
        </w:rPr>
        <w:tab/>
      </w:r>
      <w:r>
        <w:rPr>
          <w:sz w:val="21"/>
          <w:szCs w:val="21"/>
        </w:rPr>
        <w:fldChar w:fldCharType="begin"/>
      </w:r>
      <w:r>
        <w:rPr>
          <w:sz w:val="21"/>
          <w:szCs w:val="21"/>
        </w:rPr>
        <w:instrText xml:space="preserve"> PAGEREF _Toc18299 \h </w:instrText>
      </w:r>
      <w:r>
        <w:rPr>
          <w:sz w:val="21"/>
          <w:szCs w:val="21"/>
        </w:rPr>
        <w:fldChar w:fldCharType="separate"/>
      </w:r>
      <w:r>
        <w:rPr>
          <w:sz w:val="21"/>
          <w:szCs w:val="21"/>
        </w:rPr>
        <w:t>1</w:t>
      </w:r>
      <w:r>
        <w:rPr>
          <w:sz w:val="21"/>
          <w:szCs w:val="21"/>
        </w:rPr>
        <w:fldChar w:fldCharType="end"/>
      </w:r>
      <w:r>
        <w:rPr>
          <w:rFonts w:hint="eastAsia" w:ascii="宋体" w:hAnsi="宋体" w:cs="宋体"/>
          <w:sz w:val="21"/>
          <w:szCs w:val="21"/>
        </w:rPr>
        <w:fldChar w:fldCharType="end"/>
      </w:r>
    </w:p>
    <w:p w14:paraId="352237E3">
      <w:pPr>
        <w:pStyle w:val="30"/>
        <w:tabs>
          <w:tab w:val="right" w:leader="dot" w:pos="9412"/>
        </w:tabs>
        <w:adjustRightInd w:val="0"/>
        <w:snapToGrid w:val="0"/>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_Toc30737 </w:instrText>
      </w:r>
      <w:r>
        <w:rPr>
          <w:rFonts w:hint="eastAsia" w:ascii="宋体" w:hAnsi="宋体" w:cs="宋体"/>
          <w:sz w:val="21"/>
          <w:szCs w:val="21"/>
        </w:rPr>
        <w:fldChar w:fldCharType="separate"/>
      </w:r>
      <w:r>
        <w:rPr>
          <w:rFonts w:hint="eastAsia" w:ascii="宋体" w:hAnsi="宋体" w:cs="宋体"/>
          <w:sz w:val="21"/>
          <w:szCs w:val="21"/>
        </w:rPr>
        <w:t>四、谈判有关说明</w:t>
      </w:r>
      <w:r>
        <w:rPr>
          <w:sz w:val="21"/>
          <w:szCs w:val="21"/>
        </w:rPr>
        <w:tab/>
      </w:r>
      <w:r>
        <w:rPr>
          <w:sz w:val="21"/>
          <w:szCs w:val="21"/>
        </w:rPr>
        <w:fldChar w:fldCharType="begin"/>
      </w:r>
      <w:r>
        <w:rPr>
          <w:sz w:val="21"/>
          <w:szCs w:val="21"/>
        </w:rPr>
        <w:instrText xml:space="preserve"> PAGEREF _Toc30737 \h </w:instrText>
      </w:r>
      <w:r>
        <w:rPr>
          <w:sz w:val="21"/>
          <w:szCs w:val="21"/>
        </w:rPr>
        <w:fldChar w:fldCharType="separate"/>
      </w:r>
      <w:r>
        <w:rPr>
          <w:sz w:val="21"/>
          <w:szCs w:val="21"/>
        </w:rPr>
        <w:t>1</w:t>
      </w:r>
      <w:r>
        <w:rPr>
          <w:sz w:val="21"/>
          <w:szCs w:val="21"/>
        </w:rPr>
        <w:fldChar w:fldCharType="end"/>
      </w:r>
      <w:r>
        <w:rPr>
          <w:rFonts w:hint="eastAsia" w:ascii="宋体" w:hAnsi="宋体" w:cs="宋体"/>
          <w:sz w:val="21"/>
          <w:szCs w:val="21"/>
        </w:rPr>
        <w:fldChar w:fldCharType="end"/>
      </w:r>
    </w:p>
    <w:p w14:paraId="3E5EB2C8">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_Toc5839 </w:instrText>
      </w:r>
      <w:r>
        <w:rPr>
          <w:rFonts w:hint="eastAsia" w:ascii="宋体" w:hAnsi="宋体" w:cs="宋体"/>
          <w:sz w:val="21"/>
          <w:szCs w:val="21"/>
        </w:rPr>
        <w:fldChar w:fldCharType="separate"/>
      </w:r>
      <w:r>
        <w:rPr>
          <w:rFonts w:hint="eastAsia" w:ascii="宋体" w:hAnsi="宋体" w:cs="宋体"/>
          <w:sz w:val="21"/>
          <w:szCs w:val="21"/>
        </w:rPr>
        <w:t>五、其它有关规定</w:t>
      </w:r>
      <w:r>
        <w:rPr>
          <w:sz w:val="21"/>
          <w:szCs w:val="21"/>
        </w:rPr>
        <w:tab/>
      </w:r>
      <w:r>
        <w:rPr>
          <w:sz w:val="21"/>
          <w:szCs w:val="21"/>
        </w:rPr>
        <w:fldChar w:fldCharType="begin"/>
      </w:r>
      <w:r>
        <w:rPr>
          <w:sz w:val="21"/>
          <w:szCs w:val="21"/>
        </w:rPr>
        <w:instrText xml:space="preserve"> PAGEREF _Toc5839 \h </w:instrText>
      </w:r>
      <w:r>
        <w:rPr>
          <w:sz w:val="21"/>
          <w:szCs w:val="21"/>
        </w:rPr>
        <w:fldChar w:fldCharType="separate"/>
      </w:r>
      <w:r>
        <w:rPr>
          <w:sz w:val="21"/>
          <w:szCs w:val="21"/>
        </w:rPr>
        <w:t>2</w:t>
      </w:r>
      <w:r>
        <w:rPr>
          <w:sz w:val="21"/>
          <w:szCs w:val="21"/>
        </w:rPr>
        <w:fldChar w:fldCharType="end"/>
      </w:r>
      <w:r>
        <w:rPr>
          <w:rFonts w:hint="eastAsia" w:ascii="宋体" w:hAnsi="宋体" w:cs="宋体"/>
          <w:sz w:val="21"/>
          <w:szCs w:val="21"/>
        </w:rPr>
        <w:fldChar w:fldCharType="end"/>
      </w:r>
    </w:p>
    <w:p w14:paraId="54F8F19D">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_Toc25923 </w:instrText>
      </w:r>
      <w:r>
        <w:rPr>
          <w:rFonts w:hint="eastAsia" w:ascii="宋体" w:hAnsi="宋体" w:cs="宋体"/>
          <w:sz w:val="21"/>
          <w:szCs w:val="21"/>
        </w:rPr>
        <w:fldChar w:fldCharType="separate"/>
      </w:r>
      <w:r>
        <w:rPr>
          <w:rFonts w:hint="eastAsia" w:ascii="宋体" w:hAnsi="宋体" w:cs="宋体"/>
          <w:sz w:val="21"/>
          <w:szCs w:val="21"/>
        </w:rPr>
        <w:t>六、联系方式</w:t>
      </w:r>
      <w:r>
        <w:rPr>
          <w:sz w:val="21"/>
          <w:szCs w:val="21"/>
        </w:rPr>
        <w:tab/>
      </w:r>
      <w:r>
        <w:rPr>
          <w:sz w:val="21"/>
          <w:szCs w:val="21"/>
        </w:rPr>
        <w:fldChar w:fldCharType="begin"/>
      </w:r>
      <w:r>
        <w:rPr>
          <w:sz w:val="21"/>
          <w:szCs w:val="21"/>
        </w:rPr>
        <w:instrText xml:space="preserve"> PAGEREF _Toc25923 \h </w:instrText>
      </w:r>
      <w:r>
        <w:rPr>
          <w:sz w:val="21"/>
          <w:szCs w:val="21"/>
        </w:rPr>
        <w:fldChar w:fldCharType="separate"/>
      </w:r>
      <w:r>
        <w:rPr>
          <w:sz w:val="21"/>
          <w:szCs w:val="21"/>
        </w:rPr>
        <w:t>2</w:t>
      </w:r>
      <w:r>
        <w:rPr>
          <w:sz w:val="21"/>
          <w:szCs w:val="21"/>
        </w:rPr>
        <w:fldChar w:fldCharType="end"/>
      </w:r>
      <w:r>
        <w:rPr>
          <w:rFonts w:hint="eastAsia" w:ascii="宋体" w:hAnsi="宋体" w:cs="宋体"/>
          <w:sz w:val="21"/>
          <w:szCs w:val="21"/>
        </w:rPr>
        <w:fldChar w:fldCharType="end"/>
      </w:r>
    </w:p>
    <w:p w14:paraId="3253A96F">
      <w:pPr>
        <w:pStyle w:val="46"/>
        <w:tabs>
          <w:tab w:val="right" w:leader="dot" w:pos="9412"/>
        </w:tabs>
        <w:spacing w:line="360" w:lineRule="auto"/>
        <w:ind w:left="56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_Toc1361 </w:instrText>
      </w:r>
      <w:r>
        <w:rPr>
          <w:rFonts w:hint="eastAsia" w:ascii="宋体" w:hAnsi="宋体" w:cs="宋体"/>
          <w:sz w:val="21"/>
          <w:szCs w:val="21"/>
        </w:rPr>
        <w:fldChar w:fldCharType="separate"/>
      </w:r>
      <w:r>
        <w:rPr>
          <w:rFonts w:hint="eastAsia" w:ascii="宋体" w:hAnsi="宋体" w:cs="宋体"/>
          <w:sz w:val="21"/>
          <w:szCs w:val="21"/>
        </w:rPr>
        <w:t>第二篇  采购服务需求</w:t>
      </w:r>
      <w:r>
        <w:rPr>
          <w:sz w:val="21"/>
          <w:szCs w:val="21"/>
        </w:rPr>
        <w:tab/>
      </w:r>
      <w:r>
        <w:rPr>
          <w:sz w:val="21"/>
          <w:szCs w:val="21"/>
        </w:rPr>
        <w:fldChar w:fldCharType="begin"/>
      </w:r>
      <w:r>
        <w:rPr>
          <w:sz w:val="21"/>
          <w:szCs w:val="21"/>
        </w:rPr>
        <w:instrText xml:space="preserve"> PAGEREF _Toc1361 \h </w:instrText>
      </w:r>
      <w:r>
        <w:rPr>
          <w:sz w:val="21"/>
          <w:szCs w:val="21"/>
        </w:rPr>
        <w:fldChar w:fldCharType="separate"/>
      </w:r>
      <w:r>
        <w:rPr>
          <w:sz w:val="21"/>
          <w:szCs w:val="21"/>
        </w:rPr>
        <w:t>3</w:t>
      </w:r>
      <w:r>
        <w:rPr>
          <w:sz w:val="21"/>
          <w:szCs w:val="21"/>
        </w:rPr>
        <w:fldChar w:fldCharType="end"/>
      </w:r>
      <w:r>
        <w:rPr>
          <w:rFonts w:hint="eastAsia" w:ascii="宋体" w:hAnsi="宋体" w:cs="宋体"/>
          <w:sz w:val="21"/>
          <w:szCs w:val="21"/>
        </w:rPr>
        <w:fldChar w:fldCharType="end"/>
      </w:r>
    </w:p>
    <w:p w14:paraId="38C3B43D">
      <w:pPr>
        <w:pStyle w:val="46"/>
        <w:tabs>
          <w:tab w:val="right" w:leader="dot" w:pos="9412"/>
        </w:tabs>
        <w:spacing w:line="360" w:lineRule="auto"/>
        <w:ind w:left="56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_Toc2064 </w:instrText>
      </w:r>
      <w:r>
        <w:rPr>
          <w:rFonts w:hint="eastAsia" w:ascii="宋体" w:hAnsi="宋体" w:cs="宋体"/>
          <w:sz w:val="21"/>
          <w:szCs w:val="21"/>
        </w:rPr>
        <w:fldChar w:fldCharType="separate"/>
      </w:r>
      <w:r>
        <w:rPr>
          <w:rFonts w:hint="eastAsia" w:ascii="宋体" w:hAnsi="宋体" w:cs="宋体"/>
          <w:sz w:val="21"/>
          <w:szCs w:val="21"/>
        </w:rPr>
        <w:t>第三篇  采购商务需求</w:t>
      </w:r>
      <w:r>
        <w:rPr>
          <w:sz w:val="21"/>
          <w:szCs w:val="21"/>
        </w:rPr>
        <w:tab/>
      </w:r>
      <w:r>
        <w:rPr>
          <w:sz w:val="21"/>
          <w:szCs w:val="21"/>
        </w:rPr>
        <w:fldChar w:fldCharType="begin"/>
      </w:r>
      <w:r>
        <w:rPr>
          <w:sz w:val="21"/>
          <w:szCs w:val="21"/>
        </w:rPr>
        <w:instrText xml:space="preserve"> PAGEREF _Toc2064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21"/>
        </w:rPr>
        <w:fldChar w:fldCharType="end"/>
      </w:r>
    </w:p>
    <w:p w14:paraId="7015A654">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_Toc20741 </w:instrText>
      </w:r>
      <w:r>
        <w:rPr>
          <w:rFonts w:hint="eastAsia" w:ascii="宋体" w:hAnsi="宋体" w:cs="宋体"/>
          <w:sz w:val="21"/>
          <w:szCs w:val="21"/>
        </w:rPr>
        <w:fldChar w:fldCharType="separate"/>
      </w:r>
      <w:r>
        <w:rPr>
          <w:rFonts w:hint="eastAsia" w:ascii="宋体" w:hAnsi="宋体" w:cs="宋体"/>
          <w:sz w:val="21"/>
          <w:szCs w:val="21"/>
        </w:rPr>
        <w:t>一、服务期、地点及验收方式</w:t>
      </w:r>
      <w:r>
        <w:rPr>
          <w:sz w:val="21"/>
          <w:szCs w:val="21"/>
        </w:rPr>
        <w:tab/>
      </w:r>
      <w:r>
        <w:rPr>
          <w:rFonts w:hint="eastAsia"/>
          <w:sz w:val="21"/>
          <w:szCs w:val="21"/>
          <w:lang w:val="en-US" w:eastAsia="zh-CN"/>
        </w:rPr>
        <w:t>4</w:t>
      </w:r>
      <w:r>
        <w:rPr>
          <w:rFonts w:hint="eastAsia" w:ascii="宋体" w:hAnsi="宋体" w:cs="宋体"/>
          <w:sz w:val="21"/>
          <w:szCs w:val="21"/>
        </w:rPr>
        <w:fldChar w:fldCharType="end"/>
      </w:r>
    </w:p>
    <w:p w14:paraId="324D41E7">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_Toc5730 </w:instrText>
      </w:r>
      <w:r>
        <w:rPr>
          <w:rFonts w:hint="eastAsia" w:ascii="宋体" w:hAnsi="宋体" w:cs="宋体"/>
          <w:sz w:val="21"/>
          <w:szCs w:val="21"/>
        </w:rPr>
        <w:fldChar w:fldCharType="separate"/>
      </w:r>
      <w:r>
        <w:rPr>
          <w:rFonts w:hint="eastAsia" w:ascii="宋体" w:hAnsi="宋体" w:cs="宋体"/>
          <w:sz w:val="21"/>
          <w:szCs w:val="21"/>
        </w:rPr>
        <w:t>二、付款方式</w:t>
      </w:r>
      <w:r>
        <w:rPr>
          <w:sz w:val="21"/>
          <w:szCs w:val="21"/>
        </w:rPr>
        <w:tab/>
      </w:r>
      <w:r>
        <w:rPr>
          <w:sz w:val="21"/>
          <w:szCs w:val="21"/>
        </w:rPr>
        <w:fldChar w:fldCharType="begin"/>
      </w:r>
      <w:r>
        <w:rPr>
          <w:sz w:val="21"/>
          <w:szCs w:val="21"/>
        </w:rPr>
        <w:instrText xml:space="preserve"> PAGEREF _Toc5730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21"/>
        </w:rPr>
        <w:fldChar w:fldCharType="end"/>
      </w:r>
    </w:p>
    <w:p w14:paraId="28BAF7B8">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_Toc30601 </w:instrText>
      </w:r>
      <w:r>
        <w:rPr>
          <w:rFonts w:hint="eastAsia" w:ascii="宋体" w:hAnsi="宋体" w:cs="宋体"/>
          <w:sz w:val="21"/>
          <w:szCs w:val="21"/>
        </w:rPr>
        <w:fldChar w:fldCharType="separate"/>
      </w:r>
      <w:r>
        <w:rPr>
          <w:rFonts w:hint="eastAsia" w:ascii="宋体" w:hAnsi="宋体" w:cs="宋体"/>
          <w:sz w:val="21"/>
          <w:szCs w:val="21"/>
        </w:rPr>
        <w:t>三、知识产权</w:t>
      </w:r>
      <w:r>
        <w:rPr>
          <w:sz w:val="21"/>
          <w:szCs w:val="21"/>
        </w:rPr>
        <w:tab/>
      </w:r>
      <w:r>
        <w:rPr>
          <w:sz w:val="21"/>
          <w:szCs w:val="21"/>
        </w:rPr>
        <w:fldChar w:fldCharType="begin"/>
      </w:r>
      <w:r>
        <w:rPr>
          <w:sz w:val="21"/>
          <w:szCs w:val="21"/>
        </w:rPr>
        <w:instrText xml:space="preserve"> PAGEREF _Toc30601 \h </w:instrText>
      </w:r>
      <w:r>
        <w:rPr>
          <w:sz w:val="21"/>
          <w:szCs w:val="21"/>
        </w:rPr>
        <w:fldChar w:fldCharType="separate"/>
      </w:r>
      <w:r>
        <w:rPr>
          <w:sz w:val="21"/>
          <w:szCs w:val="21"/>
        </w:rPr>
        <w:t>4</w:t>
      </w:r>
      <w:r>
        <w:rPr>
          <w:sz w:val="21"/>
          <w:szCs w:val="21"/>
        </w:rPr>
        <w:fldChar w:fldCharType="end"/>
      </w:r>
      <w:r>
        <w:rPr>
          <w:rFonts w:hint="eastAsia" w:ascii="宋体" w:hAnsi="宋体" w:cs="宋体"/>
          <w:sz w:val="21"/>
          <w:szCs w:val="21"/>
        </w:rPr>
        <w:fldChar w:fldCharType="end"/>
      </w:r>
    </w:p>
    <w:p w14:paraId="631C5307">
      <w:pPr>
        <w:pStyle w:val="46"/>
        <w:tabs>
          <w:tab w:val="right" w:leader="dot" w:pos="9412"/>
        </w:tabs>
        <w:spacing w:line="360" w:lineRule="auto"/>
        <w:ind w:left="56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_Toc25167 </w:instrText>
      </w:r>
      <w:r>
        <w:rPr>
          <w:rFonts w:hint="eastAsia" w:ascii="宋体" w:hAnsi="宋体" w:cs="宋体"/>
          <w:sz w:val="21"/>
          <w:szCs w:val="21"/>
        </w:rPr>
        <w:fldChar w:fldCharType="separate"/>
      </w:r>
      <w:r>
        <w:rPr>
          <w:rFonts w:hint="eastAsia" w:ascii="宋体" w:hAnsi="宋体" w:cs="宋体"/>
          <w:bCs/>
          <w:sz w:val="21"/>
          <w:szCs w:val="21"/>
        </w:rPr>
        <w:t>第四篇  谈判程序及方法、评审标准、无效响应和采购终止</w:t>
      </w:r>
      <w:r>
        <w:rPr>
          <w:sz w:val="21"/>
          <w:szCs w:val="21"/>
        </w:rPr>
        <w:tab/>
      </w:r>
      <w:r>
        <w:rPr>
          <w:sz w:val="21"/>
          <w:szCs w:val="21"/>
        </w:rPr>
        <w:fldChar w:fldCharType="begin"/>
      </w:r>
      <w:r>
        <w:rPr>
          <w:sz w:val="21"/>
          <w:szCs w:val="21"/>
        </w:rPr>
        <w:instrText xml:space="preserve"> PAGEREF _Toc25167 \h </w:instrText>
      </w:r>
      <w:r>
        <w:rPr>
          <w:sz w:val="21"/>
          <w:szCs w:val="21"/>
        </w:rPr>
        <w:fldChar w:fldCharType="separate"/>
      </w:r>
      <w:r>
        <w:rPr>
          <w:sz w:val="21"/>
          <w:szCs w:val="21"/>
        </w:rPr>
        <w:t>5</w:t>
      </w:r>
      <w:r>
        <w:rPr>
          <w:sz w:val="21"/>
          <w:szCs w:val="21"/>
        </w:rPr>
        <w:fldChar w:fldCharType="end"/>
      </w:r>
      <w:r>
        <w:rPr>
          <w:rFonts w:hint="eastAsia" w:ascii="宋体" w:hAnsi="宋体" w:cs="宋体"/>
          <w:sz w:val="21"/>
          <w:szCs w:val="21"/>
        </w:rPr>
        <w:fldChar w:fldCharType="end"/>
      </w:r>
    </w:p>
    <w:p w14:paraId="2D8A3A9F">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_Toc12770 </w:instrText>
      </w:r>
      <w:r>
        <w:rPr>
          <w:rFonts w:hint="eastAsia" w:ascii="宋体" w:hAnsi="宋体" w:cs="宋体"/>
          <w:sz w:val="21"/>
          <w:szCs w:val="21"/>
        </w:rPr>
        <w:fldChar w:fldCharType="separate"/>
      </w:r>
      <w:r>
        <w:rPr>
          <w:rFonts w:hint="eastAsia" w:ascii="宋体" w:hAnsi="宋体" w:cs="宋体"/>
          <w:sz w:val="21"/>
          <w:szCs w:val="21"/>
        </w:rPr>
        <w:t>一、谈判程序及方法</w:t>
      </w:r>
      <w:r>
        <w:rPr>
          <w:sz w:val="21"/>
          <w:szCs w:val="21"/>
        </w:rPr>
        <w:tab/>
      </w:r>
      <w:r>
        <w:rPr>
          <w:sz w:val="21"/>
          <w:szCs w:val="21"/>
        </w:rPr>
        <w:fldChar w:fldCharType="begin"/>
      </w:r>
      <w:r>
        <w:rPr>
          <w:sz w:val="21"/>
          <w:szCs w:val="21"/>
        </w:rPr>
        <w:instrText xml:space="preserve"> PAGEREF _Toc12770 \h </w:instrText>
      </w:r>
      <w:r>
        <w:rPr>
          <w:sz w:val="21"/>
          <w:szCs w:val="21"/>
        </w:rPr>
        <w:fldChar w:fldCharType="separate"/>
      </w:r>
      <w:r>
        <w:rPr>
          <w:sz w:val="21"/>
          <w:szCs w:val="21"/>
        </w:rPr>
        <w:t>5</w:t>
      </w:r>
      <w:r>
        <w:rPr>
          <w:sz w:val="21"/>
          <w:szCs w:val="21"/>
        </w:rPr>
        <w:fldChar w:fldCharType="end"/>
      </w:r>
      <w:r>
        <w:rPr>
          <w:rFonts w:hint="eastAsia" w:ascii="宋体" w:hAnsi="宋体" w:cs="宋体"/>
          <w:sz w:val="21"/>
          <w:szCs w:val="21"/>
        </w:rPr>
        <w:fldChar w:fldCharType="end"/>
      </w:r>
    </w:p>
    <w:p w14:paraId="7BD283F2">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_Toc9316 </w:instrText>
      </w:r>
      <w:r>
        <w:rPr>
          <w:rFonts w:hint="eastAsia" w:ascii="宋体" w:hAnsi="宋体" w:cs="宋体"/>
          <w:sz w:val="21"/>
          <w:szCs w:val="21"/>
        </w:rPr>
        <w:fldChar w:fldCharType="separate"/>
      </w:r>
      <w:r>
        <w:rPr>
          <w:rFonts w:hint="eastAsia" w:ascii="宋体" w:hAnsi="宋体" w:cs="宋体"/>
          <w:sz w:val="21"/>
          <w:szCs w:val="21"/>
        </w:rPr>
        <w:t>二、评审标准</w:t>
      </w:r>
      <w:r>
        <w:rPr>
          <w:sz w:val="21"/>
          <w:szCs w:val="21"/>
        </w:rPr>
        <w:tab/>
      </w:r>
      <w:r>
        <w:rPr>
          <w:sz w:val="21"/>
          <w:szCs w:val="21"/>
        </w:rPr>
        <w:fldChar w:fldCharType="begin"/>
      </w:r>
      <w:r>
        <w:rPr>
          <w:sz w:val="21"/>
          <w:szCs w:val="21"/>
        </w:rPr>
        <w:instrText xml:space="preserve"> PAGEREF _Toc9316 \h </w:instrText>
      </w:r>
      <w:r>
        <w:rPr>
          <w:sz w:val="21"/>
          <w:szCs w:val="21"/>
        </w:rPr>
        <w:fldChar w:fldCharType="separate"/>
      </w:r>
      <w:r>
        <w:rPr>
          <w:sz w:val="21"/>
          <w:szCs w:val="21"/>
        </w:rPr>
        <w:t>7</w:t>
      </w:r>
      <w:r>
        <w:rPr>
          <w:sz w:val="21"/>
          <w:szCs w:val="21"/>
        </w:rPr>
        <w:fldChar w:fldCharType="end"/>
      </w:r>
      <w:r>
        <w:rPr>
          <w:rFonts w:hint="eastAsia" w:ascii="宋体" w:hAnsi="宋体" w:cs="宋体"/>
          <w:sz w:val="21"/>
          <w:szCs w:val="21"/>
        </w:rPr>
        <w:fldChar w:fldCharType="end"/>
      </w:r>
    </w:p>
    <w:p w14:paraId="4D7C2E81">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_Toc15776 </w:instrText>
      </w:r>
      <w:r>
        <w:rPr>
          <w:rFonts w:hint="eastAsia" w:ascii="宋体" w:hAnsi="宋体" w:cs="宋体"/>
          <w:sz w:val="21"/>
          <w:szCs w:val="21"/>
        </w:rPr>
        <w:fldChar w:fldCharType="separate"/>
      </w:r>
      <w:r>
        <w:rPr>
          <w:rFonts w:hint="eastAsia" w:ascii="宋体" w:hAnsi="宋体" w:cs="宋体"/>
          <w:sz w:val="21"/>
          <w:szCs w:val="21"/>
        </w:rPr>
        <w:t>三、无效响应</w:t>
      </w:r>
      <w:r>
        <w:rPr>
          <w:sz w:val="21"/>
          <w:szCs w:val="21"/>
        </w:rPr>
        <w:tab/>
      </w:r>
      <w:r>
        <w:rPr>
          <w:sz w:val="21"/>
          <w:szCs w:val="21"/>
        </w:rPr>
        <w:fldChar w:fldCharType="begin"/>
      </w:r>
      <w:r>
        <w:rPr>
          <w:sz w:val="21"/>
          <w:szCs w:val="21"/>
        </w:rPr>
        <w:instrText xml:space="preserve"> PAGEREF _Toc15776 \h </w:instrText>
      </w:r>
      <w:r>
        <w:rPr>
          <w:sz w:val="21"/>
          <w:szCs w:val="21"/>
        </w:rPr>
        <w:fldChar w:fldCharType="separate"/>
      </w:r>
      <w:r>
        <w:rPr>
          <w:sz w:val="21"/>
          <w:szCs w:val="21"/>
        </w:rPr>
        <w:t>7</w:t>
      </w:r>
      <w:r>
        <w:rPr>
          <w:sz w:val="21"/>
          <w:szCs w:val="21"/>
        </w:rPr>
        <w:fldChar w:fldCharType="end"/>
      </w:r>
      <w:r>
        <w:rPr>
          <w:rFonts w:hint="eastAsia" w:ascii="宋体" w:hAnsi="宋体" w:cs="宋体"/>
          <w:sz w:val="21"/>
          <w:szCs w:val="21"/>
        </w:rPr>
        <w:fldChar w:fldCharType="end"/>
      </w:r>
    </w:p>
    <w:p w14:paraId="24815595">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_Toc8792 </w:instrText>
      </w:r>
      <w:r>
        <w:rPr>
          <w:rFonts w:hint="eastAsia" w:ascii="宋体" w:hAnsi="宋体" w:cs="宋体"/>
          <w:sz w:val="21"/>
          <w:szCs w:val="21"/>
        </w:rPr>
        <w:fldChar w:fldCharType="separate"/>
      </w:r>
      <w:r>
        <w:rPr>
          <w:rFonts w:hint="eastAsia" w:ascii="宋体" w:hAnsi="宋体" w:cs="宋体"/>
          <w:sz w:val="21"/>
          <w:szCs w:val="21"/>
        </w:rPr>
        <w:t>四、采购终止</w:t>
      </w:r>
      <w:r>
        <w:rPr>
          <w:sz w:val="21"/>
          <w:szCs w:val="21"/>
        </w:rPr>
        <w:tab/>
      </w:r>
      <w:r>
        <w:rPr>
          <w:sz w:val="21"/>
          <w:szCs w:val="21"/>
        </w:rPr>
        <w:fldChar w:fldCharType="begin"/>
      </w:r>
      <w:r>
        <w:rPr>
          <w:sz w:val="21"/>
          <w:szCs w:val="21"/>
        </w:rPr>
        <w:instrText xml:space="preserve"> PAGEREF _Toc8792 \h </w:instrText>
      </w:r>
      <w:r>
        <w:rPr>
          <w:sz w:val="21"/>
          <w:szCs w:val="21"/>
        </w:rPr>
        <w:fldChar w:fldCharType="separate"/>
      </w:r>
      <w:r>
        <w:rPr>
          <w:sz w:val="21"/>
          <w:szCs w:val="21"/>
        </w:rPr>
        <w:t>9</w:t>
      </w:r>
      <w:r>
        <w:rPr>
          <w:sz w:val="21"/>
          <w:szCs w:val="21"/>
        </w:rPr>
        <w:fldChar w:fldCharType="end"/>
      </w:r>
      <w:r>
        <w:rPr>
          <w:rFonts w:hint="eastAsia" w:ascii="宋体" w:hAnsi="宋体" w:cs="宋体"/>
          <w:sz w:val="21"/>
          <w:szCs w:val="21"/>
        </w:rPr>
        <w:fldChar w:fldCharType="end"/>
      </w:r>
    </w:p>
    <w:p w14:paraId="10991BC2">
      <w:pPr>
        <w:pStyle w:val="46"/>
        <w:tabs>
          <w:tab w:val="right" w:leader="dot" w:pos="9412"/>
        </w:tabs>
        <w:spacing w:line="360" w:lineRule="auto"/>
        <w:ind w:left="56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_Toc6872 </w:instrText>
      </w:r>
      <w:r>
        <w:rPr>
          <w:rFonts w:hint="eastAsia" w:ascii="宋体" w:hAnsi="宋体" w:cs="宋体"/>
          <w:sz w:val="21"/>
          <w:szCs w:val="21"/>
        </w:rPr>
        <w:fldChar w:fldCharType="separate"/>
      </w:r>
      <w:r>
        <w:rPr>
          <w:rFonts w:hint="eastAsia" w:ascii="宋体" w:hAnsi="宋体" w:cs="宋体"/>
          <w:bCs/>
          <w:sz w:val="21"/>
          <w:szCs w:val="21"/>
        </w:rPr>
        <w:t>第五篇  供应商须知</w:t>
      </w:r>
      <w:r>
        <w:rPr>
          <w:sz w:val="21"/>
          <w:szCs w:val="21"/>
        </w:rPr>
        <w:tab/>
      </w:r>
      <w:r>
        <w:rPr>
          <w:sz w:val="21"/>
          <w:szCs w:val="21"/>
        </w:rPr>
        <w:fldChar w:fldCharType="begin"/>
      </w:r>
      <w:r>
        <w:rPr>
          <w:sz w:val="21"/>
          <w:szCs w:val="21"/>
        </w:rPr>
        <w:instrText xml:space="preserve"> PAGEREF _Toc6872 \h </w:instrText>
      </w:r>
      <w:r>
        <w:rPr>
          <w:sz w:val="21"/>
          <w:szCs w:val="21"/>
        </w:rPr>
        <w:fldChar w:fldCharType="separate"/>
      </w:r>
      <w:r>
        <w:rPr>
          <w:sz w:val="21"/>
          <w:szCs w:val="21"/>
        </w:rPr>
        <w:t>11</w:t>
      </w:r>
      <w:r>
        <w:rPr>
          <w:sz w:val="21"/>
          <w:szCs w:val="21"/>
        </w:rPr>
        <w:fldChar w:fldCharType="end"/>
      </w:r>
      <w:r>
        <w:rPr>
          <w:rFonts w:hint="eastAsia" w:ascii="宋体" w:hAnsi="宋体" w:cs="宋体"/>
          <w:sz w:val="21"/>
          <w:szCs w:val="21"/>
        </w:rPr>
        <w:fldChar w:fldCharType="end"/>
      </w:r>
    </w:p>
    <w:p w14:paraId="58D010B3">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_Toc21903 </w:instrText>
      </w:r>
      <w:r>
        <w:rPr>
          <w:rFonts w:hint="eastAsia" w:ascii="宋体" w:hAnsi="宋体" w:cs="宋体"/>
          <w:sz w:val="21"/>
          <w:szCs w:val="21"/>
        </w:rPr>
        <w:fldChar w:fldCharType="separate"/>
      </w:r>
      <w:r>
        <w:rPr>
          <w:rFonts w:hint="eastAsia" w:ascii="宋体" w:hAnsi="宋体" w:cs="宋体"/>
          <w:sz w:val="21"/>
          <w:szCs w:val="21"/>
        </w:rPr>
        <w:t>一、</w:t>
      </w:r>
      <w:r>
        <w:rPr>
          <w:rFonts w:ascii="宋体" w:hAnsi="宋体" w:cs="宋体"/>
          <w:sz w:val="21"/>
          <w:szCs w:val="21"/>
        </w:rPr>
        <w:t>谈判</w:t>
      </w:r>
      <w:r>
        <w:rPr>
          <w:rFonts w:hint="eastAsia" w:ascii="宋体" w:hAnsi="宋体" w:cs="宋体"/>
          <w:sz w:val="21"/>
          <w:szCs w:val="21"/>
        </w:rPr>
        <w:t>费用</w:t>
      </w:r>
      <w:r>
        <w:rPr>
          <w:sz w:val="21"/>
          <w:szCs w:val="21"/>
        </w:rPr>
        <w:tab/>
      </w:r>
      <w:r>
        <w:rPr>
          <w:sz w:val="21"/>
          <w:szCs w:val="21"/>
        </w:rPr>
        <w:fldChar w:fldCharType="begin"/>
      </w:r>
      <w:r>
        <w:rPr>
          <w:sz w:val="21"/>
          <w:szCs w:val="21"/>
        </w:rPr>
        <w:instrText xml:space="preserve"> PAGEREF _Toc21903 \h </w:instrText>
      </w:r>
      <w:r>
        <w:rPr>
          <w:sz w:val="21"/>
          <w:szCs w:val="21"/>
        </w:rPr>
        <w:fldChar w:fldCharType="separate"/>
      </w:r>
      <w:r>
        <w:rPr>
          <w:sz w:val="21"/>
          <w:szCs w:val="21"/>
        </w:rPr>
        <w:t>11</w:t>
      </w:r>
      <w:r>
        <w:rPr>
          <w:sz w:val="21"/>
          <w:szCs w:val="21"/>
        </w:rPr>
        <w:fldChar w:fldCharType="end"/>
      </w:r>
      <w:r>
        <w:rPr>
          <w:rFonts w:hint="eastAsia" w:ascii="宋体" w:hAnsi="宋体" w:cs="宋体"/>
          <w:sz w:val="21"/>
          <w:szCs w:val="21"/>
        </w:rPr>
        <w:fldChar w:fldCharType="end"/>
      </w:r>
    </w:p>
    <w:p w14:paraId="657903FB">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_Toc12341 </w:instrText>
      </w:r>
      <w:r>
        <w:rPr>
          <w:rFonts w:hint="eastAsia" w:ascii="宋体" w:hAnsi="宋体" w:cs="宋体"/>
          <w:sz w:val="21"/>
          <w:szCs w:val="21"/>
        </w:rPr>
        <w:fldChar w:fldCharType="separate"/>
      </w:r>
      <w:r>
        <w:rPr>
          <w:rFonts w:hint="eastAsia" w:ascii="宋体" w:hAnsi="宋体" w:cs="宋体"/>
          <w:sz w:val="21"/>
          <w:szCs w:val="21"/>
        </w:rPr>
        <w:t>二、</w:t>
      </w:r>
      <w:r>
        <w:rPr>
          <w:rFonts w:ascii="宋体" w:hAnsi="宋体" w:cs="宋体"/>
          <w:sz w:val="21"/>
          <w:szCs w:val="21"/>
        </w:rPr>
        <w:t>谈判采购</w:t>
      </w:r>
      <w:r>
        <w:rPr>
          <w:rFonts w:hint="eastAsia" w:ascii="宋体" w:hAnsi="宋体" w:cs="宋体"/>
          <w:sz w:val="21"/>
          <w:szCs w:val="21"/>
        </w:rPr>
        <w:t>文件</w:t>
      </w:r>
      <w:r>
        <w:rPr>
          <w:sz w:val="21"/>
          <w:szCs w:val="21"/>
        </w:rPr>
        <w:tab/>
      </w:r>
      <w:r>
        <w:rPr>
          <w:sz w:val="21"/>
          <w:szCs w:val="21"/>
        </w:rPr>
        <w:fldChar w:fldCharType="begin"/>
      </w:r>
      <w:r>
        <w:rPr>
          <w:sz w:val="21"/>
          <w:szCs w:val="21"/>
        </w:rPr>
        <w:instrText xml:space="preserve"> PAGEREF _Toc12341 \h </w:instrText>
      </w:r>
      <w:r>
        <w:rPr>
          <w:sz w:val="21"/>
          <w:szCs w:val="21"/>
        </w:rPr>
        <w:fldChar w:fldCharType="separate"/>
      </w:r>
      <w:r>
        <w:rPr>
          <w:sz w:val="21"/>
          <w:szCs w:val="21"/>
        </w:rPr>
        <w:t>11</w:t>
      </w:r>
      <w:r>
        <w:rPr>
          <w:sz w:val="21"/>
          <w:szCs w:val="21"/>
        </w:rPr>
        <w:fldChar w:fldCharType="end"/>
      </w:r>
      <w:r>
        <w:rPr>
          <w:rFonts w:hint="eastAsia" w:ascii="宋体" w:hAnsi="宋体" w:cs="宋体"/>
          <w:sz w:val="21"/>
          <w:szCs w:val="21"/>
        </w:rPr>
        <w:fldChar w:fldCharType="end"/>
      </w:r>
    </w:p>
    <w:p w14:paraId="3065904E">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_Toc22932 </w:instrText>
      </w:r>
      <w:r>
        <w:rPr>
          <w:rFonts w:hint="eastAsia" w:ascii="宋体" w:hAnsi="宋体" w:cs="宋体"/>
          <w:sz w:val="21"/>
          <w:szCs w:val="21"/>
        </w:rPr>
        <w:fldChar w:fldCharType="separate"/>
      </w:r>
      <w:r>
        <w:rPr>
          <w:rFonts w:hint="eastAsia" w:ascii="宋体" w:hAnsi="宋体" w:cs="宋体"/>
          <w:sz w:val="21"/>
          <w:szCs w:val="21"/>
        </w:rPr>
        <w:t>三、</w:t>
      </w:r>
      <w:r>
        <w:rPr>
          <w:rFonts w:ascii="宋体" w:hAnsi="宋体" w:cs="宋体"/>
          <w:sz w:val="21"/>
          <w:szCs w:val="21"/>
        </w:rPr>
        <w:t>谈判</w:t>
      </w:r>
      <w:r>
        <w:rPr>
          <w:rFonts w:hint="eastAsia" w:ascii="宋体" w:hAnsi="宋体" w:cs="宋体"/>
          <w:sz w:val="21"/>
          <w:szCs w:val="21"/>
        </w:rPr>
        <w:t>要求</w:t>
      </w:r>
      <w:r>
        <w:rPr>
          <w:sz w:val="21"/>
          <w:szCs w:val="21"/>
        </w:rPr>
        <w:tab/>
      </w:r>
      <w:r>
        <w:rPr>
          <w:sz w:val="21"/>
          <w:szCs w:val="21"/>
        </w:rPr>
        <w:fldChar w:fldCharType="begin"/>
      </w:r>
      <w:r>
        <w:rPr>
          <w:sz w:val="21"/>
          <w:szCs w:val="21"/>
        </w:rPr>
        <w:instrText xml:space="preserve"> PAGEREF _Toc22932 \h </w:instrText>
      </w:r>
      <w:r>
        <w:rPr>
          <w:sz w:val="21"/>
          <w:szCs w:val="21"/>
        </w:rPr>
        <w:fldChar w:fldCharType="separate"/>
      </w:r>
      <w:r>
        <w:rPr>
          <w:sz w:val="21"/>
          <w:szCs w:val="21"/>
        </w:rPr>
        <w:t>11</w:t>
      </w:r>
      <w:r>
        <w:rPr>
          <w:sz w:val="21"/>
          <w:szCs w:val="21"/>
        </w:rPr>
        <w:fldChar w:fldCharType="end"/>
      </w:r>
      <w:r>
        <w:rPr>
          <w:rFonts w:hint="eastAsia" w:ascii="宋体" w:hAnsi="宋体" w:cs="宋体"/>
          <w:sz w:val="21"/>
          <w:szCs w:val="21"/>
        </w:rPr>
        <w:fldChar w:fldCharType="end"/>
      </w:r>
    </w:p>
    <w:p w14:paraId="2748EDC3">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_Toc25719 </w:instrText>
      </w:r>
      <w:r>
        <w:rPr>
          <w:rFonts w:hint="eastAsia" w:ascii="宋体" w:hAnsi="宋体" w:cs="宋体"/>
          <w:sz w:val="21"/>
          <w:szCs w:val="21"/>
        </w:rPr>
        <w:fldChar w:fldCharType="separate"/>
      </w:r>
      <w:r>
        <w:rPr>
          <w:rFonts w:hint="eastAsia" w:ascii="宋体" w:hAnsi="宋体" w:cs="宋体"/>
          <w:sz w:val="21"/>
          <w:szCs w:val="21"/>
        </w:rPr>
        <w:t>四、成交供应商的确认和变更</w:t>
      </w:r>
      <w:r>
        <w:rPr>
          <w:sz w:val="21"/>
          <w:szCs w:val="21"/>
        </w:rPr>
        <w:tab/>
      </w:r>
      <w:r>
        <w:rPr>
          <w:sz w:val="21"/>
          <w:szCs w:val="21"/>
        </w:rPr>
        <w:fldChar w:fldCharType="begin"/>
      </w:r>
      <w:r>
        <w:rPr>
          <w:sz w:val="21"/>
          <w:szCs w:val="21"/>
        </w:rPr>
        <w:instrText xml:space="preserve"> PAGEREF _Toc25719 \h </w:instrText>
      </w:r>
      <w:r>
        <w:rPr>
          <w:sz w:val="21"/>
          <w:szCs w:val="21"/>
        </w:rPr>
        <w:fldChar w:fldCharType="separate"/>
      </w:r>
      <w:r>
        <w:rPr>
          <w:sz w:val="21"/>
          <w:szCs w:val="21"/>
        </w:rPr>
        <w:t>12</w:t>
      </w:r>
      <w:r>
        <w:rPr>
          <w:sz w:val="21"/>
          <w:szCs w:val="21"/>
        </w:rPr>
        <w:fldChar w:fldCharType="end"/>
      </w:r>
      <w:r>
        <w:rPr>
          <w:rFonts w:hint="eastAsia" w:ascii="宋体" w:hAnsi="宋体" w:cs="宋体"/>
          <w:sz w:val="21"/>
          <w:szCs w:val="21"/>
        </w:rPr>
        <w:fldChar w:fldCharType="end"/>
      </w:r>
    </w:p>
    <w:p w14:paraId="2C8C6CFB">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_Toc22012 </w:instrText>
      </w:r>
      <w:r>
        <w:rPr>
          <w:rFonts w:hint="eastAsia" w:ascii="宋体" w:hAnsi="宋体" w:cs="宋体"/>
          <w:sz w:val="21"/>
          <w:szCs w:val="21"/>
        </w:rPr>
        <w:fldChar w:fldCharType="separate"/>
      </w:r>
      <w:r>
        <w:rPr>
          <w:rFonts w:hint="eastAsia" w:ascii="宋体" w:hAnsi="宋体" w:cs="宋体"/>
          <w:sz w:val="21"/>
          <w:szCs w:val="21"/>
        </w:rPr>
        <w:t>五、成交通知</w:t>
      </w:r>
      <w:r>
        <w:rPr>
          <w:sz w:val="21"/>
          <w:szCs w:val="21"/>
        </w:rPr>
        <w:tab/>
      </w:r>
      <w:r>
        <w:rPr>
          <w:sz w:val="21"/>
          <w:szCs w:val="21"/>
        </w:rPr>
        <w:fldChar w:fldCharType="begin"/>
      </w:r>
      <w:r>
        <w:rPr>
          <w:sz w:val="21"/>
          <w:szCs w:val="21"/>
        </w:rPr>
        <w:instrText xml:space="preserve"> PAGEREF _Toc22012 \h </w:instrText>
      </w:r>
      <w:r>
        <w:rPr>
          <w:sz w:val="21"/>
          <w:szCs w:val="21"/>
        </w:rPr>
        <w:fldChar w:fldCharType="separate"/>
      </w:r>
      <w:r>
        <w:rPr>
          <w:sz w:val="21"/>
          <w:szCs w:val="21"/>
        </w:rPr>
        <w:t>12</w:t>
      </w:r>
      <w:r>
        <w:rPr>
          <w:sz w:val="21"/>
          <w:szCs w:val="21"/>
        </w:rPr>
        <w:fldChar w:fldCharType="end"/>
      </w:r>
      <w:r>
        <w:rPr>
          <w:rFonts w:hint="eastAsia" w:ascii="宋体" w:hAnsi="宋体" w:cs="宋体"/>
          <w:sz w:val="21"/>
          <w:szCs w:val="21"/>
        </w:rPr>
        <w:fldChar w:fldCharType="end"/>
      </w:r>
    </w:p>
    <w:p w14:paraId="7A6BBAE3">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_Toc5454 </w:instrText>
      </w:r>
      <w:r>
        <w:rPr>
          <w:rFonts w:hint="eastAsia" w:ascii="宋体" w:hAnsi="宋体" w:cs="宋体"/>
          <w:sz w:val="21"/>
          <w:szCs w:val="21"/>
        </w:rPr>
        <w:fldChar w:fldCharType="separate"/>
      </w:r>
      <w:r>
        <w:rPr>
          <w:rFonts w:hint="eastAsia" w:ascii="宋体" w:hAnsi="宋体" w:cs="宋体"/>
          <w:sz w:val="21"/>
          <w:szCs w:val="21"/>
        </w:rPr>
        <w:t>六、关于咨询</w:t>
      </w:r>
      <w:r>
        <w:rPr>
          <w:sz w:val="21"/>
          <w:szCs w:val="21"/>
        </w:rPr>
        <w:tab/>
      </w:r>
      <w:r>
        <w:rPr>
          <w:sz w:val="21"/>
          <w:szCs w:val="21"/>
        </w:rPr>
        <w:fldChar w:fldCharType="begin"/>
      </w:r>
      <w:r>
        <w:rPr>
          <w:sz w:val="21"/>
          <w:szCs w:val="21"/>
        </w:rPr>
        <w:instrText xml:space="preserve"> PAGEREF _Toc5454 \h </w:instrText>
      </w:r>
      <w:r>
        <w:rPr>
          <w:sz w:val="21"/>
          <w:szCs w:val="21"/>
        </w:rPr>
        <w:fldChar w:fldCharType="separate"/>
      </w:r>
      <w:r>
        <w:rPr>
          <w:sz w:val="21"/>
          <w:szCs w:val="21"/>
        </w:rPr>
        <w:t>12</w:t>
      </w:r>
      <w:r>
        <w:rPr>
          <w:sz w:val="21"/>
          <w:szCs w:val="21"/>
        </w:rPr>
        <w:fldChar w:fldCharType="end"/>
      </w:r>
      <w:r>
        <w:rPr>
          <w:rFonts w:hint="eastAsia" w:ascii="宋体" w:hAnsi="宋体" w:cs="宋体"/>
          <w:sz w:val="21"/>
          <w:szCs w:val="21"/>
        </w:rPr>
        <w:fldChar w:fldCharType="end"/>
      </w:r>
    </w:p>
    <w:p w14:paraId="62FB070B">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_Toc31847 </w:instrText>
      </w:r>
      <w:r>
        <w:rPr>
          <w:rFonts w:hint="eastAsia" w:ascii="宋体" w:hAnsi="宋体" w:cs="宋体"/>
          <w:sz w:val="21"/>
          <w:szCs w:val="21"/>
        </w:rPr>
        <w:fldChar w:fldCharType="separate"/>
      </w:r>
      <w:r>
        <w:rPr>
          <w:rFonts w:hint="eastAsia" w:ascii="宋体" w:hAnsi="宋体" w:cs="宋体"/>
          <w:sz w:val="21"/>
          <w:szCs w:val="21"/>
        </w:rPr>
        <w:t>七、签订合同</w:t>
      </w:r>
      <w:r>
        <w:rPr>
          <w:sz w:val="21"/>
          <w:szCs w:val="21"/>
        </w:rPr>
        <w:tab/>
      </w:r>
      <w:r>
        <w:rPr>
          <w:sz w:val="21"/>
          <w:szCs w:val="21"/>
        </w:rPr>
        <w:fldChar w:fldCharType="begin"/>
      </w:r>
      <w:r>
        <w:rPr>
          <w:sz w:val="21"/>
          <w:szCs w:val="21"/>
        </w:rPr>
        <w:instrText xml:space="preserve"> PAGEREF _Toc31847 \h </w:instrText>
      </w:r>
      <w:r>
        <w:rPr>
          <w:sz w:val="21"/>
          <w:szCs w:val="21"/>
        </w:rPr>
        <w:fldChar w:fldCharType="separate"/>
      </w:r>
      <w:r>
        <w:rPr>
          <w:sz w:val="21"/>
          <w:szCs w:val="21"/>
        </w:rPr>
        <w:t>12</w:t>
      </w:r>
      <w:r>
        <w:rPr>
          <w:sz w:val="21"/>
          <w:szCs w:val="21"/>
        </w:rPr>
        <w:fldChar w:fldCharType="end"/>
      </w:r>
      <w:r>
        <w:rPr>
          <w:rFonts w:hint="eastAsia" w:ascii="宋体" w:hAnsi="宋体" w:cs="宋体"/>
          <w:sz w:val="21"/>
          <w:szCs w:val="21"/>
        </w:rPr>
        <w:fldChar w:fldCharType="end"/>
      </w:r>
    </w:p>
    <w:p w14:paraId="28389911">
      <w:pPr>
        <w:pStyle w:val="46"/>
        <w:tabs>
          <w:tab w:val="right" w:leader="dot" w:pos="9412"/>
        </w:tabs>
        <w:spacing w:line="360" w:lineRule="auto"/>
        <w:ind w:left="56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_Toc30177 </w:instrText>
      </w:r>
      <w:r>
        <w:rPr>
          <w:rFonts w:hint="eastAsia" w:ascii="宋体" w:hAnsi="宋体" w:cs="宋体"/>
          <w:sz w:val="21"/>
          <w:szCs w:val="21"/>
        </w:rPr>
        <w:fldChar w:fldCharType="separate"/>
      </w:r>
      <w:r>
        <w:rPr>
          <w:rFonts w:hint="eastAsia" w:ascii="宋体" w:hAnsi="宋体" w:cs="宋体"/>
          <w:bCs/>
          <w:sz w:val="21"/>
          <w:szCs w:val="21"/>
        </w:rPr>
        <w:t>第六篇  合同草案条款</w:t>
      </w:r>
      <w:r>
        <w:rPr>
          <w:sz w:val="21"/>
          <w:szCs w:val="21"/>
        </w:rPr>
        <w:tab/>
      </w:r>
      <w:r>
        <w:rPr>
          <w:sz w:val="21"/>
          <w:szCs w:val="21"/>
        </w:rPr>
        <w:fldChar w:fldCharType="begin"/>
      </w:r>
      <w:r>
        <w:rPr>
          <w:sz w:val="21"/>
          <w:szCs w:val="21"/>
        </w:rPr>
        <w:instrText xml:space="preserve"> PAGEREF _Toc30177 \h </w:instrText>
      </w:r>
      <w:r>
        <w:rPr>
          <w:sz w:val="21"/>
          <w:szCs w:val="21"/>
        </w:rPr>
        <w:fldChar w:fldCharType="separate"/>
      </w:r>
      <w:r>
        <w:rPr>
          <w:sz w:val="21"/>
          <w:szCs w:val="21"/>
        </w:rPr>
        <w:t>13</w:t>
      </w:r>
      <w:r>
        <w:rPr>
          <w:sz w:val="21"/>
          <w:szCs w:val="21"/>
        </w:rPr>
        <w:fldChar w:fldCharType="end"/>
      </w:r>
      <w:r>
        <w:rPr>
          <w:rFonts w:hint="eastAsia" w:ascii="宋体" w:hAnsi="宋体" w:cs="宋体"/>
          <w:sz w:val="21"/>
          <w:szCs w:val="21"/>
        </w:rPr>
        <w:fldChar w:fldCharType="end"/>
      </w:r>
    </w:p>
    <w:p w14:paraId="285F4820">
      <w:pPr>
        <w:pStyle w:val="46"/>
        <w:tabs>
          <w:tab w:val="right" w:leader="dot" w:pos="9412"/>
        </w:tabs>
        <w:spacing w:line="360" w:lineRule="auto"/>
        <w:ind w:left="56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_Toc25430 </w:instrText>
      </w:r>
      <w:r>
        <w:rPr>
          <w:rFonts w:hint="eastAsia" w:ascii="宋体" w:hAnsi="宋体" w:cs="宋体"/>
          <w:sz w:val="21"/>
          <w:szCs w:val="21"/>
        </w:rPr>
        <w:fldChar w:fldCharType="separate"/>
      </w:r>
      <w:r>
        <w:rPr>
          <w:rFonts w:hint="eastAsia" w:ascii="宋体" w:hAnsi="宋体" w:cs="宋体"/>
          <w:bCs/>
          <w:sz w:val="21"/>
          <w:szCs w:val="21"/>
        </w:rPr>
        <w:t>第七篇  响应文件编制要求</w:t>
      </w:r>
      <w:r>
        <w:rPr>
          <w:sz w:val="21"/>
          <w:szCs w:val="21"/>
        </w:rPr>
        <w:tab/>
      </w:r>
      <w:r>
        <w:rPr>
          <w:sz w:val="21"/>
          <w:szCs w:val="21"/>
        </w:rPr>
        <w:fldChar w:fldCharType="begin"/>
      </w:r>
      <w:r>
        <w:rPr>
          <w:sz w:val="21"/>
          <w:szCs w:val="21"/>
        </w:rPr>
        <w:instrText xml:space="preserve"> PAGEREF _Toc25430 \h </w:instrText>
      </w:r>
      <w:r>
        <w:rPr>
          <w:sz w:val="21"/>
          <w:szCs w:val="21"/>
        </w:rPr>
        <w:fldChar w:fldCharType="separate"/>
      </w:r>
      <w:r>
        <w:rPr>
          <w:sz w:val="21"/>
          <w:szCs w:val="21"/>
        </w:rPr>
        <w:t>13</w:t>
      </w:r>
      <w:r>
        <w:rPr>
          <w:sz w:val="21"/>
          <w:szCs w:val="21"/>
        </w:rPr>
        <w:fldChar w:fldCharType="end"/>
      </w:r>
      <w:r>
        <w:rPr>
          <w:rFonts w:hint="eastAsia" w:ascii="宋体" w:hAnsi="宋体" w:cs="宋体"/>
          <w:sz w:val="21"/>
          <w:szCs w:val="21"/>
        </w:rPr>
        <w:fldChar w:fldCharType="end"/>
      </w:r>
    </w:p>
    <w:p w14:paraId="1A28941D">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_Toc6842 </w:instrText>
      </w:r>
      <w:r>
        <w:rPr>
          <w:rFonts w:hint="eastAsia" w:ascii="宋体" w:hAnsi="宋体" w:cs="宋体"/>
          <w:sz w:val="21"/>
          <w:szCs w:val="21"/>
        </w:rPr>
        <w:fldChar w:fldCharType="separate"/>
      </w:r>
      <w:r>
        <w:rPr>
          <w:rFonts w:hint="eastAsia" w:ascii="宋体" w:hAnsi="宋体" w:cs="宋体"/>
          <w:sz w:val="21"/>
          <w:szCs w:val="21"/>
        </w:rPr>
        <w:t>一、经济部分</w:t>
      </w:r>
      <w:r>
        <w:rPr>
          <w:sz w:val="21"/>
          <w:szCs w:val="21"/>
        </w:rPr>
        <w:tab/>
      </w:r>
      <w:r>
        <w:rPr>
          <w:sz w:val="21"/>
          <w:szCs w:val="21"/>
        </w:rPr>
        <w:fldChar w:fldCharType="begin"/>
      </w:r>
      <w:r>
        <w:rPr>
          <w:sz w:val="21"/>
          <w:szCs w:val="21"/>
        </w:rPr>
        <w:instrText xml:space="preserve"> PAGEREF _Toc6842 \h </w:instrText>
      </w:r>
      <w:r>
        <w:rPr>
          <w:sz w:val="21"/>
          <w:szCs w:val="21"/>
        </w:rPr>
        <w:fldChar w:fldCharType="separate"/>
      </w:r>
      <w:r>
        <w:rPr>
          <w:sz w:val="21"/>
          <w:szCs w:val="21"/>
        </w:rPr>
        <w:t>25</w:t>
      </w:r>
      <w:r>
        <w:rPr>
          <w:sz w:val="21"/>
          <w:szCs w:val="21"/>
        </w:rPr>
        <w:fldChar w:fldCharType="end"/>
      </w:r>
      <w:r>
        <w:rPr>
          <w:rFonts w:hint="eastAsia" w:ascii="宋体" w:hAnsi="宋体" w:cs="宋体"/>
          <w:sz w:val="21"/>
          <w:szCs w:val="21"/>
        </w:rPr>
        <w:fldChar w:fldCharType="end"/>
      </w:r>
    </w:p>
    <w:p w14:paraId="7B9261C7">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_Toc3320 </w:instrText>
      </w:r>
      <w:r>
        <w:rPr>
          <w:rFonts w:hint="eastAsia" w:ascii="宋体" w:hAnsi="宋体" w:cs="宋体"/>
          <w:sz w:val="21"/>
          <w:szCs w:val="21"/>
        </w:rPr>
        <w:fldChar w:fldCharType="separate"/>
      </w:r>
      <w:r>
        <w:rPr>
          <w:rFonts w:hint="eastAsia" w:ascii="宋体" w:hAnsi="宋体" w:cs="宋体"/>
          <w:sz w:val="21"/>
          <w:szCs w:val="21"/>
        </w:rPr>
        <w:t>二、服务部分</w:t>
      </w:r>
      <w:r>
        <w:rPr>
          <w:sz w:val="21"/>
          <w:szCs w:val="21"/>
        </w:rPr>
        <w:tab/>
      </w:r>
      <w:r>
        <w:rPr>
          <w:sz w:val="21"/>
          <w:szCs w:val="21"/>
        </w:rPr>
        <w:fldChar w:fldCharType="begin"/>
      </w:r>
      <w:r>
        <w:rPr>
          <w:sz w:val="21"/>
          <w:szCs w:val="21"/>
        </w:rPr>
        <w:instrText xml:space="preserve"> PAGEREF _Toc3320 \h </w:instrText>
      </w:r>
      <w:r>
        <w:rPr>
          <w:sz w:val="21"/>
          <w:szCs w:val="21"/>
        </w:rPr>
        <w:fldChar w:fldCharType="separate"/>
      </w:r>
      <w:r>
        <w:rPr>
          <w:sz w:val="21"/>
          <w:szCs w:val="21"/>
        </w:rPr>
        <w:t>26</w:t>
      </w:r>
      <w:r>
        <w:rPr>
          <w:sz w:val="21"/>
          <w:szCs w:val="21"/>
        </w:rPr>
        <w:fldChar w:fldCharType="end"/>
      </w:r>
      <w:r>
        <w:rPr>
          <w:rFonts w:hint="eastAsia" w:ascii="宋体" w:hAnsi="宋体" w:cs="宋体"/>
          <w:sz w:val="21"/>
          <w:szCs w:val="21"/>
        </w:rPr>
        <w:fldChar w:fldCharType="end"/>
      </w:r>
    </w:p>
    <w:p w14:paraId="39F07B7C">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_Toc26096 </w:instrText>
      </w:r>
      <w:r>
        <w:rPr>
          <w:rFonts w:hint="eastAsia" w:ascii="宋体" w:hAnsi="宋体" w:cs="宋体"/>
          <w:sz w:val="21"/>
          <w:szCs w:val="21"/>
        </w:rPr>
        <w:fldChar w:fldCharType="separate"/>
      </w:r>
      <w:r>
        <w:rPr>
          <w:rFonts w:hint="eastAsia" w:ascii="宋体" w:hAnsi="宋体" w:cs="宋体"/>
          <w:sz w:val="21"/>
          <w:szCs w:val="21"/>
        </w:rPr>
        <w:t>三、商务部分</w:t>
      </w:r>
      <w:r>
        <w:rPr>
          <w:sz w:val="21"/>
          <w:szCs w:val="21"/>
        </w:rPr>
        <w:tab/>
      </w:r>
      <w:r>
        <w:rPr>
          <w:sz w:val="21"/>
          <w:szCs w:val="21"/>
        </w:rPr>
        <w:fldChar w:fldCharType="begin"/>
      </w:r>
      <w:r>
        <w:rPr>
          <w:sz w:val="21"/>
          <w:szCs w:val="21"/>
        </w:rPr>
        <w:instrText xml:space="preserve"> PAGEREF _Toc26096 \h </w:instrText>
      </w:r>
      <w:r>
        <w:rPr>
          <w:sz w:val="21"/>
          <w:szCs w:val="21"/>
        </w:rPr>
        <w:fldChar w:fldCharType="separate"/>
      </w:r>
      <w:r>
        <w:rPr>
          <w:sz w:val="21"/>
          <w:szCs w:val="21"/>
        </w:rPr>
        <w:t>28</w:t>
      </w:r>
      <w:r>
        <w:rPr>
          <w:sz w:val="21"/>
          <w:szCs w:val="21"/>
        </w:rPr>
        <w:fldChar w:fldCharType="end"/>
      </w:r>
      <w:r>
        <w:rPr>
          <w:rFonts w:hint="eastAsia" w:ascii="宋体" w:hAnsi="宋体" w:cs="宋体"/>
          <w:sz w:val="21"/>
          <w:szCs w:val="21"/>
        </w:rPr>
        <w:fldChar w:fldCharType="end"/>
      </w:r>
    </w:p>
    <w:p w14:paraId="47FD88EA">
      <w:pPr>
        <w:pStyle w:val="30"/>
        <w:tabs>
          <w:tab w:val="right" w:leader="dot" w:pos="9412"/>
        </w:tabs>
        <w:spacing w:line="360" w:lineRule="auto"/>
        <w:ind w:left="1120"/>
        <w:rPr>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HYPERLINK \l _Toc8477 </w:instrText>
      </w:r>
      <w:r>
        <w:rPr>
          <w:rFonts w:hint="eastAsia" w:ascii="宋体" w:hAnsi="宋体" w:cs="宋体"/>
          <w:sz w:val="21"/>
          <w:szCs w:val="21"/>
        </w:rPr>
        <w:fldChar w:fldCharType="separate"/>
      </w:r>
      <w:r>
        <w:rPr>
          <w:rFonts w:hint="eastAsia" w:ascii="宋体" w:hAnsi="宋体" w:cs="宋体"/>
          <w:sz w:val="21"/>
          <w:szCs w:val="21"/>
        </w:rPr>
        <w:t>四、资格条件及其他</w:t>
      </w:r>
      <w:r>
        <w:rPr>
          <w:sz w:val="21"/>
          <w:szCs w:val="21"/>
        </w:rPr>
        <w:tab/>
      </w:r>
      <w:r>
        <w:rPr>
          <w:sz w:val="21"/>
          <w:szCs w:val="21"/>
        </w:rPr>
        <w:fldChar w:fldCharType="begin"/>
      </w:r>
      <w:r>
        <w:rPr>
          <w:sz w:val="21"/>
          <w:szCs w:val="21"/>
        </w:rPr>
        <w:instrText xml:space="preserve"> PAGEREF _Toc8477 \h </w:instrText>
      </w:r>
      <w:r>
        <w:rPr>
          <w:sz w:val="21"/>
          <w:szCs w:val="21"/>
        </w:rPr>
        <w:fldChar w:fldCharType="separate"/>
      </w:r>
      <w:r>
        <w:rPr>
          <w:sz w:val="21"/>
          <w:szCs w:val="21"/>
        </w:rPr>
        <w:t>30</w:t>
      </w:r>
      <w:r>
        <w:rPr>
          <w:sz w:val="21"/>
          <w:szCs w:val="21"/>
        </w:rPr>
        <w:fldChar w:fldCharType="end"/>
      </w:r>
      <w:r>
        <w:rPr>
          <w:rFonts w:hint="eastAsia" w:ascii="宋体" w:hAnsi="宋体" w:cs="宋体"/>
          <w:sz w:val="21"/>
          <w:szCs w:val="21"/>
        </w:rPr>
        <w:fldChar w:fldCharType="end"/>
      </w:r>
    </w:p>
    <w:p w14:paraId="455D652E">
      <w:pPr>
        <w:pStyle w:val="30"/>
        <w:tabs>
          <w:tab w:val="right" w:leader="dot" w:pos="9412"/>
        </w:tabs>
        <w:spacing w:line="360" w:lineRule="auto"/>
        <w:ind w:left="1120"/>
        <w:rPr>
          <w:sz w:val="24"/>
          <w:szCs w:val="24"/>
        </w:rPr>
      </w:pPr>
      <w:r>
        <w:rPr>
          <w:rFonts w:hint="eastAsia" w:ascii="宋体" w:hAnsi="宋体" w:cs="宋体"/>
          <w:sz w:val="21"/>
          <w:szCs w:val="21"/>
        </w:rPr>
        <w:fldChar w:fldCharType="begin"/>
      </w:r>
      <w:r>
        <w:rPr>
          <w:rFonts w:hint="eastAsia" w:ascii="宋体" w:hAnsi="宋体" w:cs="宋体"/>
          <w:sz w:val="21"/>
          <w:szCs w:val="21"/>
        </w:rPr>
        <w:instrText xml:space="preserve"> HYPERLINK \l _Toc24008 </w:instrText>
      </w:r>
      <w:r>
        <w:rPr>
          <w:rFonts w:hint="eastAsia" w:ascii="宋体" w:hAnsi="宋体" w:cs="宋体"/>
          <w:sz w:val="21"/>
          <w:szCs w:val="21"/>
        </w:rPr>
        <w:fldChar w:fldCharType="separate"/>
      </w:r>
      <w:r>
        <w:rPr>
          <w:rFonts w:hint="eastAsia" w:ascii="宋体" w:hAnsi="宋体" w:cs="宋体"/>
          <w:sz w:val="21"/>
          <w:szCs w:val="21"/>
        </w:rPr>
        <w:t>五、其他应提供的资料</w:t>
      </w:r>
      <w:r>
        <w:rPr>
          <w:sz w:val="21"/>
          <w:szCs w:val="21"/>
        </w:rPr>
        <w:tab/>
      </w:r>
      <w:r>
        <w:rPr>
          <w:sz w:val="21"/>
          <w:szCs w:val="21"/>
        </w:rPr>
        <w:fldChar w:fldCharType="begin"/>
      </w:r>
      <w:r>
        <w:rPr>
          <w:sz w:val="21"/>
          <w:szCs w:val="21"/>
        </w:rPr>
        <w:instrText xml:space="preserve"> PAGEREF _Toc24008 \h </w:instrText>
      </w:r>
      <w:r>
        <w:rPr>
          <w:sz w:val="21"/>
          <w:szCs w:val="21"/>
        </w:rPr>
        <w:fldChar w:fldCharType="separate"/>
      </w:r>
      <w:r>
        <w:rPr>
          <w:sz w:val="21"/>
          <w:szCs w:val="21"/>
        </w:rPr>
        <w:t>35</w:t>
      </w:r>
      <w:r>
        <w:rPr>
          <w:sz w:val="21"/>
          <w:szCs w:val="21"/>
        </w:rPr>
        <w:fldChar w:fldCharType="end"/>
      </w:r>
      <w:r>
        <w:rPr>
          <w:rFonts w:hint="eastAsia" w:ascii="宋体" w:hAnsi="宋体" w:cs="宋体"/>
          <w:sz w:val="21"/>
          <w:szCs w:val="21"/>
        </w:rPr>
        <w:fldChar w:fldCharType="end"/>
      </w:r>
    </w:p>
    <w:p w14:paraId="76832260">
      <w:pPr>
        <w:pStyle w:val="46"/>
        <w:tabs>
          <w:tab w:val="right" w:leader="dot" w:pos="9402"/>
        </w:tabs>
        <w:spacing w:line="360" w:lineRule="auto"/>
        <w:ind w:left="560"/>
        <w:rPr>
          <w:rFonts w:ascii="黑体" w:hAnsi="黑体" w:eastAsia="黑体"/>
          <w:sz w:val="24"/>
          <w:szCs w:val="24"/>
        </w:rPr>
        <w:sectPr>
          <w:footerReference r:id="rId7" w:type="default"/>
          <w:pgSz w:w="11907" w:h="16840"/>
          <w:pgMar w:top="1134" w:right="1191" w:bottom="1134" w:left="1304" w:header="851" w:footer="992" w:gutter="0"/>
          <w:pgBorders>
            <w:top w:val="none" w:sz="0" w:space="0"/>
            <w:left w:val="none" w:sz="0" w:space="0"/>
            <w:bottom w:val="none" w:sz="0" w:space="0"/>
            <w:right w:val="none" w:sz="0" w:space="0"/>
          </w:pgBorders>
          <w:pgNumType w:start="1"/>
          <w:cols w:space="720" w:num="1"/>
          <w:docGrid w:linePitch="380" w:charSpace="-5735"/>
        </w:sectPr>
      </w:pPr>
      <w:r>
        <w:rPr>
          <w:rFonts w:hint="eastAsia" w:ascii="宋体" w:hAnsi="宋体" w:cs="宋体"/>
          <w:sz w:val="24"/>
          <w:szCs w:val="24"/>
        </w:rPr>
        <w:fldChar w:fldCharType="end"/>
      </w:r>
    </w:p>
    <w:p w14:paraId="114FF767">
      <w:pPr>
        <w:pStyle w:val="4"/>
        <w:spacing w:line="240" w:lineRule="auto"/>
        <w:jc w:val="center"/>
        <w:rPr>
          <w:rFonts w:ascii="宋体" w:hAnsi="宋体" w:eastAsia="宋体"/>
          <w:szCs w:val="30"/>
        </w:rPr>
      </w:pPr>
      <w:bookmarkStart w:id="0" w:name="_Toc25107"/>
      <w:bookmarkStart w:id="1" w:name="_Toc12789052"/>
      <w:bookmarkStart w:id="2" w:name="_Toc6379"/>
      <w:bookmarkStart w:id="3" w:name="_Toc11641050"/>
      <w:bookmarkStart w:id="4" w:name="_Toc372"/>
      <w:r>
        <w:rPr>
          <w:rFonts w:hint="eastAsia" w:ascii="宋体" w:hAnsi="宋体" w:eastAsia="宋体"/>
          <w:sz w:val="36"/>
          <w:szCs w:val="30"/>
        </w:rPr>
        <w:t>第一篇  谈判采购邀请书</w:t>
      </w:r>
      <w:bookmarkEnd w:id="0"/>
      <w:bookmarkEnd w:id="1"/>
      <w:bookmarkEnd w:id="2"/>
      <w:bookmarkEnd w:id="3"/>
      <w:bookmarkEnd w:id="4"/>
    </w:p>
    <w:p w14:paraId="3ECF13AB">
      <w:pPr>
        <w:snapToGrid w:val="0"/>
        <w:ind w:firstLine="480" w:firstLineChars="200"/>
        <w:rPr>
          <w:rFonts w:ascii="宋体" w:hAnsi="宋体"/>
          <w:sz w:val="24"/>
          <w:szCs w:val="24"/>
        </w:rPr>
      </w:pPr>
    </w:p>
    <w:p w14:paraId="6432E391">
      <w:pPr>
        <w:pStyle w:val="5"/>
        <w:spacing w:before="0" w:after="0" w:line="360" w:lineRule="auto"/>
        <w:rPr>
          <w:rFonts w:hint="eastAsia" w:ascii="宋体" w:hAnsi="宋体" w:eastAsia="宋体" w:cs="宋体"/>
          <w:b/>
          <w:sz w:val="21"/>
          <w:szCs w:val="21"/>
        </w:rPr>
      </w:pPr>
      <w:bookmarkStart w:id="5" w:name="_Toc313893526"/>
      <w:bookmarkStart w:id="6" w:name="_Toc28491"/>
      <w:bookmarkStart w:id="7" w:name="_Toc317775175"/>
      <w:bookmarkStart w:id="8" w:name="_Toc17275"/>
      <w:bookmarkStart w:id="9" w:name="_Toc16"/>
      <w:r>
        <w:rPr>
          <w:rFonts w:hint="eastAsia" w:ascii="宋体" w:hAnsi="宋体" w:eastAsia="宋体" w:cs="宋体"/>
          <w:b/>
          <w:sz w:val="21"/>
          <w:szCs w:val="21"/>
        </w:rPr>
        <w:t>一、谈判采购内容</w:t>
      </w:r>
      <w:bookmarkEnd w:id="5"/>
      <w:bookmarkEnd w:id="6"/>
      <w:bookmarkEnd w:id="7"/>
      <w:bookmarkEnd w:id="8"/>
      <w:bookmarkEnd w:id="9"/>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2383"/>
        <w:gridCol w:w="1573"/>
        <w:gridCol w:w="1566"/>
        <w:gridCol w:w="794"/>
      </w:tblGrid>
      <w:tr w14:paraId="2B58F1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883" w:type="dxa"/>
            <w:tcBorders>
              <w:top w:val="single" w:color="auto" w:sz="4" w:space="0"/>
              <w:left w:val="single" w:color="auto" w:sz="4" w:space="0"/>
              <w:right w:val="single" w:color="auto" w:sz="4" w:space="0"/>
            </w:tcBorders>
            <w:noWrap w:val="0"/>
            <w:vAlign w:val="center"/>
          </w:tcPr>
          <w:p w14:paraId="740069BE">
            <w:pPr>
              <w:widowControl/>
              <w:spacing w:line="240" w:lineRule="auto"/>
              <w:jc w:val="center"/>
              <w:rPr>
                <w:rFonts w:ascii="宋体" w:hAnsi="宋体" w:cs="宋体"/>
                <w:kern w:val="0"/>
                <w:sz w:val="21"/>
                <w:szCs w:val="21"/>
              </w:rPr>
            </w:pPr>
            <w:r>
              <w:rPr>
                <w:rFonts w:hint="eastAsia" w:ascii="宋体" w:hAnsi="宋体" w:cs="宋体"/>
                <w:kern w:val="0"/>
                <w:sz w:val="21"/>
                <w:szCs w:val="21"/>
              </w:rPr>
              <w:t>项目名称</w:t>
            </w:r>
          </w:p>
        </w:tc>
        <w:tc>
          <w:tcPr>
            <w:tcW w:w="2383" w:type="dxa"/>
            <w:tcBorders>
              <w:top w:val="single" w:color="auto" w:sz="4" w:space="0"/>
              <w:left w:val="single" w:color="auto" w:sz="4" w:space="0"/>
              <w:right w:val="single" w:color="auto" w:sz="4" w:space="0"/>
            </w:tcBorders>
            <w:noWrap w:val="0"/>
            <w:vAlign w:val="center"/>
          </w:tcPr>
          <w:p w14:paraId="0465A8A6">
            <w:pPr>
              <w:widowControl/>
              <w:spacing w:line="24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标包划分</w:t>
            </w:r>
          </w:p>
        </w:tc>
        <w:tc>
          <w:tcPr>
            <w:tcW w:w="1573" w:type="dxa"/>
            <w:tcBorders>
              <w:top w:val="single" w:color="auto" w:sz="4" w:space="0"/>
              <w:left w:val="single" w:color="auto" w:sz="4" w:space="0"/>
              <w:right w:val="single" w:color="auto" w:sz="4" w:space="0"/>
            </w:tcBorders>
            <w:noWrap w:val="0"/>
            <w:vAlign w:val="center"/>
          </w:tcPr>
          <w:p w14:paraId="01127C6C">
            <w:pPr>
              <w:widowControl/>
              <w:spacing w:line="24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采购预算</w:t>
            </w:r>
          </w:p>
          <w:p w14:paraId="60AF7973">
            <w:pPr>
              <w:widowControl/>
              <w:spacing w:line="24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万</w:t>
            </w:r>
            <w:r>
              <w:rPr>
                <w:rFonts w:hint="eastAsia" w:ascii="宋体" w:hAnsi="宋体" w:eastAsia="宋体" w:cs="宋体"/>
                <w:kern w:val="0"/>
                <w:sz w:val="21"/>
                <w:szCs w:val="21"/>
                <w:highlight w:val="none"/>
              </w:rPr>
              <w:t>元）</w:t>
            </w:r>
          </w:p>
        </w:tc>
        <w:tc>
          <w:tcPr>
            <w:tcW w:w="1566" w:type="dxa"/>
            <w:tcBorders>
              <w:top w:val="single" w:color="auto" w:sz="4" w:space="0"/>
              <w:left w:val="single" w:color="auto" w:sz="4" w:space="0"/>
              <w:right w:val="single" w:color="auto" w:sz="4" w:space="0"/>
            </w:tcBorders>
            <w:noWrap w:val="0"/>
            <w:vAlign w:val="center"/>
          </w:tcPr>
          <w:p w14:paraId="4A7FE781">
            <w:pPr>
              <w:spacing w:line="240" w:lineRule="auto"/>
              <w:jc w:val="center"/>
              <w:rPr>
                <w:rFonts w:ascii="宋体" w:hAnsi="宋体" w:cs="宋体"/>
                <w:kern w:val="0"/>
                <w:sz w:val="21"/>
                <w:szCs w:val="21"/>
              </w:rPr>
            </w:pPr>
            <w:r>
              <w:rPr>
                <w:rFonts w:hint="eastAsia" w:ascii="宋体" w:hAnsi="宋体" w:cs="宋体"/>
                <w:kern w:val="0"/>
                <w:sz w:val="21"/>
                <w:szCs w:val="21"/>
              </w:rPr>
              <w:t>成交供应商数量（名）</w:t>
            </w:r>
          </w:p>
        </w:tc>
        <w:tc>
          <w:tcPr>
            <w:tcW w:w="794" w:type="dxa"/>
            <w:tcBorders>
              <w:top w:val="single" w:color="auto" w:sz="4" w:space="0"/>
              <w:left w:val="single" w:color="auto" w:sz="4" w:space="0"/>
              <w:right w:val="single" w:color="auto" w:sz="4" w:space="0"/>
            </w:tcBorders>
            <w:noWrap w:val="0"/>
            <w:vAlign w:val="center"/>
          </w:tcPr>
          <w:p w14:paraId="22FE2E7C">
            <w:pPr>
              <w:spacing w:line="240" w:lineRule="auto"/>
              <w:jc w:val="center"/>
              <w:rPr>
                <w:rFonts w:ascii="宋体" w:hAnsi="宋体" w:cs="宋体"/>
                <w:kern w:val="0"/>
                <w:sz w:val="21"/>
                <w:szCs w:val="21"/>
              </w:rPr>
            </w:pPr>
            <w:r>
              <w:rPr>
                <w:rFonts w:hint="eastAsia" w:ascii="宋体" w:hAnsi="宋体" w:cs="宋体"/>
                <w:kern w:val="0"/>
                <w:sz w:val="21"/>
                <w:szCs w:val="21"/>
              </w:rPr>
              <w:t>备注</w:t>
            </w:r>
          </w:p>
        </w:tc>
      </w:tr>
      <w:tr w14:paraId="174264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883" w:type="dxa"/>
            <w:vMerge w:val="restart"/>
            <w:tcBorders>
              <w:top w:val="single" w:color="auto" w:sz="4" w:space="0"/>
              <w:left w:val="single" w:color="auto" w:sz="4" w:space="0"/>
              <w:right w:val="single" w:color="auto" w:sz="4" w:space="0"/>
            </w:tcBorders>
            <w:noWrap w:val="0"/>
            <w:vAlign w:val="center"/>
          </w:tcPr>
          <w:p w14:paraId="1D163BF2">
            <w:pPr>
              <w:widowControl/>
              <w:spacing w:line="240" w:lineRule="auto"/>
              <w:jc w:val="center"/>
              <w:rPr>
                <w:rFonts w:hint="default" w:ascii="宋体" w:hAnsi="宋体" w:eastAsia="宋体" w:cs="宋体"/>
                <w:color w:val="FF0000"/>
                <w:kern w:val="0"/>
                <w:sz w:val="21"/>
                <w:szCs w:val="21"/>
                <w:lang w:val="en-US" w:eastAsia="zh-CN"/>
              </w:rPr>
            </w:pPr>
            <w:bookmarkStart w:id="10" w:name="_Hlk344477914"/>
            <w:r>
              <w:rPr>
                <w:rFonts w:hint="eastAsia" w:ascii="宋体" w:hAnsi="宋体" w:cs="宋体"/>
                <w:kern w:val="0"/>
                <w:sz w:val="21"/>
                <w:szCs w:val="21"/>
                <w:lang w:eastAsia="zh-CN"/>
              </w:rPr>
              <w:t>市管照明设施灯杆改造工程</w:t>
            </w:r>
            <w:r>
              <w:rPr>
                <w:rFonts w:hint="eastAsia" w:ascii="宋体" w:hAnsi="宋体" w:cs="宋体"/>
                <w:kern w:val="0"/>
                <w:sz w:val="21"/>
                <w:szCs w:val="21"/>
                <w:lang w:val="en-US" w:eastAsia="zh-CN"/>
              </w:rPr>
              <w:t>造价咨询服务</w:t>
            </w:r>
          </w:p>
        </w:tc>
        <w:tc>
          <w:tcPr>
            <w:tcW w:w="2383" w:type="dxa"/>
            <w:tcBorders>
              <w:top w:val="single" w:color="auto" w:sz="4" w:space="0"/>
              <w:left w:val="single" w:color="auto" w:sz="4" w:space="0"/>
              <w:bottom w:val="single" w:color="auto" w:sz="4" w:space="0"/>
              <w:right w:val="single" w:color="auto" w:sz="4" w:space="0"/>
            </w:tcBorders>
            <w:noWrap w:val="0"/>
            <w:vAlign w:val="center"/>
          </w:tcPr>
          <w:p w14:paraId="12DE1D8C">
            <w:pPr>
              <w:widowControl/>
              <w:spacing w:line="24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包一：工程量清单及招标控制价编制</w:t>
            </w:r>
          </w:p>
        </w:tc>
        <w:tc>
          <w:tcPr>
            <w:tcW w:w="1573" w:type="dxa"/>
            <w:tcBorders>
              <w:top w:val="single" w:color="auto" w:sz="4" w:space="0"/>
              <w:left w:val="single" w:color="auto" w:sz="4" w:space="0"/>
              <w:bottom w:val="single" w:color="auto" w:sz="4" w:space="0"/>
              <w:right w:val="single" w:color="auto" w:sz="4" w:space="0"/>
            </w:tcBorders>
            <w:noWrap w:val="0"/>
            <w:vAlign w:val="center"/>
          </w:tcPr>
          <w:p w14:paraId="3438C744">
            <w:pPr>
              <w:widowControl/>
              <w:spacing w:line="240" w:lineRule="auto"/>
              <w:jc w:val="center"/>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2.90</w:t>
            </w:r>
          </w:p>
        </w:tc>
        <w:tc>
          <w:tcPr>
            <w:tcW w:w="1566" w:type="dxa"/>
            <w:tcBorders>
              <w:top w:val="single" w:color="auto" w:sz="4" w:space="0"/>
              <w:left w:val="single" w:color="auto" w:sz="4" w:space="0"/>
              <w:right w:val="single" w:color="auto" w:sz="4" w:space="0"/>
            </w:tcBorders>
            <w:noWrap w:val="0"/>
            <w:vAlign w:val="center"/>
          </w:tcPr>
          <w:p w14:paraId="22013C02">
            <w:pPr>
              <w:widowControl/>
              <w:spacing w:line="240" w:lineRule="auto"/>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1</w:t>
            </w:r>
          </w:p>
        </w:tc>
        <w:tc>
          <w:tcPr>
            <w:tcW w:w="794" w:type="dxa"/>
            <w:tcBorders>
              <w:top w:val="single" w:color="auto" w:sz="4" w:space="0"/>
              <w:left w:val="single" w:color="auto" w:sz="4" w:space="0"/>
              <w:right w:val="single" w:color="auto" w:sz="4" w:space="0"/>
            </w:tcBorders>
            <w:noWrap w:val="0"/>
            <w:vAlign w:val="center"/>
          </w:tcPr>
          <w:p w14:paraId="57E845AB">
            <w:pPr>
              <w:spacing w:line="240" w:lineRule="auto"/>
              <w:rPr>
                <w:rFonts w:ascii="宋体" w:hAnsi="宋体"/>
                <w:sz w:val="21"/>
                <w:szCs w:val="21"/>
              </w:rPr>
            </w:pPr>
          </w:p>
        </w:tc>
      </w:tr>
      <w:tr w14:paraId="4F8298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883" w:type="dxa"/>
            <w:vMerge w:val="continue"/>
            <w:tcBorders>
              <w:left w:val="single" w:color="auto" w:sz="4" w:space="0"/>
              <w:right w:val="single" w:color="auto" w:sz="4" w:space="0"/>
            </w:tcBorders>
            <w:noWrap w:val="0"/>
            <w:vAlign w:val="center"/>
          </w:tcPr>
          <w:p w14:paraId="0E6970B2">
            <w:pPr>
              <w:widowControl/>
              <w:spacing w:line="360" w:lineRule="auto"/>
              <w:jc w:val="center"/>
              <w:rPr>
                <w:rFonts w:hint="eastAsia" w:ascii="宋体" w:hAnsi="宋体" w:cs="宋体"/>
                <w:kern w:val="0"/>
                <w:sz w:val="21"/>
                <w:szCs w:val="21"/>
              </w:rPr>
            </w:pPr>
            <w:bookmarkStart w:id="11" w:name="_Toc21827"/>
            <w:bookmarkStart w:id="12" w:name="_Toc5354"/>
            <w:bookmarkStart w:id="13" w:name="_Toc11652"/>
            <w:bookmarkStart w:id="14" w:name="_Toc373860293"/>
            <w:bookmarkStart w:id="15" w:name="_Toc317775178"/>
          </w:p>
        </w:tc>
        <w:tc>
          <w:tcPr>
            <w:tcW w:w="2383" w:type="dxa"/>
            <w:tcBorders>
              <w:top w:val="single" w:color="auto" w:sz="4" w:space="0"/>
              <w:left w:val="single" w:color="auto" w:sz="4" w:space="0"/>
              <w:right w:val="single" w:color="auto" w:sz="4" w:space="0"/>
            </w:tcBorders>
            <w:noWrap w:val="0"/>
            <w:vAlign w:val="center"/>
          </w:tcPr>
          <w:p w14:paraId="7D3006C6">
            <w:pPr>
              <w:widowControl/>
              <w:spacing w:line="240" w:lineRule="auto"/>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包二：设计概算审核、工程量清单及招标控制价审核</w:t>
            </w:r>
          </w:p>
        </w:tc>
        <w:tc>
          <w:tcPr>
            <w:tcW w:w="1573" w:type="dxa"/>
            <w:tcBorders>
              <w:top w:val="single" w:color="auto" w:sz="4" w:space="0"/>
              <w:left w:val="single" w:color="auto" w:sz="4" w:space="0"/>
              <w:right w:val="single" w:color="auto" w:sz="4" w:space="0"/>
            </w:tcBorders>
            <w:noWrap w:val="0"/>
            <w:vAlign w:val="center"/>
          </w:tcPr>
          <w:p w14:paraId="7DDA7473">
            <w:pPr>
              <w:widowControl/>
              <w:spacing w:line="240" w:lineRule="auto"/>
              <w:jc w:val="center"/>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3.00</w:t>
            </w:r>
          </w:p>
        </w:tc>
        <w:tc>
          <w:tcPr>
            <w:tcW w:w="1566" w:type="dxa"/>
            <w:tcBorders>
              <w:left w:val="single" w:color="auto" w:sz="4" w:space="0"/>
              <w:right w:val="single" w:color="auto" w:sz="4" w:space="0"/>
            </w:tcBorders>
            <w:noWrap w:val="0"/>
            <w:vAlign w:val="center"/>
          </w:tcPr>
          <w:p w14:paraId="0DE58055">
            <w:pPr>
              <w:widowControl/>
              <w:spacing w:line="240" w:lineRule="auto"/>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c>
          <w:tcPr>
            <w:tcW w:w="794" w:type="dxa"/>
            <w:tcBorders>
              <w:left w:val="single" w:color="auto" w:sz="4" w:space="0"/>
              <w:right w:val="single" w:color="auto" w:sz="4" w:space="0"/>
            </w:tcBorders>
            <w:noWrap w:val="0"/>
            <w:vAlign w:val="center"/>
          </w:tcPr>
          <w:p w14:paraId="306E7D93">
            <w:pPr>
              <w:spacing w:line="240" w:lineRule="auto"/>
              <w:rPr>
                <w:rFonts w:ascii="宋体" w:hAnsi="宋体"/>
                <w:sz w:val="21"/>
                <w:szCs w:val="21"/>
              </w:rPr>
            </w:pPr>
          </w:p>
        </w:tc>
      </w:tr>
      <w:bookmarkEnd w:id="10"/>
    </w:tbl>
    <w:p w14:paraId="25BBEBB8">
      <w:pPr>
        <w:pStyle w:val="5"/>
        <w:spacing w:before="0" w:after="0" w:line="360" w:lineRule="auto"/>
        <w:rPr>
          <w:rFonts w:hint="eastAsia" w:ascii="宋体" w:hAnsi="宋体" w:eastAsia="宋体" w:cs="宋体"/>
          <w:b/>
          <w:sz w:val="21"/>
          <w:szCs w:val="21"/>
        </w:rPr>
      </w:pPr>
      <w:r>
        <w:rPr>
          <w:rFonts w:hint="eastAsia" w:ascii="宋体" w:hAnsi="宋体" w:eastAsia="宋体" w:cs="宋体"/>
          <w:b/>
          <w:sz w:val="21"/>
          <w:szCs w:val="21"/>
        </w:rPr>
        <w:t>二、资金来源</w:t>
      </w:r>
      <w:bookmarkEnd w:id="11"/>
      <w:bookmarkEnd w:id="12"/>
      <w:bookmarkEnd w:id="13"/>
    </w:p>
    <w:p w14:paraId="35524B41">
      <w:pPr>
        <w:spacing w:line="360" w:lineRule="auto"/>
        <w:ind w:firstLine="420" w:firstLineChars="200"/>
        <w:rPr>
          <w:rFonts w:hint="eastAsia" w:ascii="宋体" w:hAnsi="宋体" w:cs="宋体"/>
          <w:sz w:val="21"/>
          <w:szCs w:val="21"/>
        </w:rPr>
      </w:pPr>
      <w:r>
        <w:rPr>
          <w:rFonts w:hint="eastAsia" w:ascii="宋体" w:hAnsi="宋体" w:cs="宋体"/>
          <w:sz w:val="21"/>
          <w:szCs w:val="21"/>
        </w:rPr>
        <w:t>财政预算资金。</w:t>
      </w:r>
    </w:p>
    <w:p w14:paraId="5CA91148">
      <w:pPr>
        <w:pStyle w:val="5"/>
        <w:spacing w:before="0" w:after="0" w:line="360" w:lineRule="auto"/>
        <w:rPr>
          <w:rFonts w:hint="eastAsia" w:ascii="宋体" w:hAnsi="宋体" w:eastAsia="宋体" w:cs="宋体"/>
          <w:b/>
          <w:sz w:val="21"/>
          <w:szCs w:val="21"/>
        </w:rPr>
      </w:pPr>
      <w:bookmarkStart w:id="16" w:name="_Toc2374"/>
      <w:bookmarkStart w:id="17" w:name="_Toc18299"/>
      <w:bookmarkStart w:id="18" w:name="_Toc4191"/>
      <w:r>
        <w:rPr>
          <w:rFonts w:hint="eastAsia" w:ascii="宋体" w:hAnsi="宋体" w:eastAsia="宋体" w:cs="宋体"/>
          <w:b/>
          <w:sz w:val="21"/>
          <w:szCs w:val="21"/>
        </w:rPr>
        <w:t>三、谈判资格</w:t>
      </w:r>
      <w:bookmarkEnd w:id="16"/>
      <w:bookmarkEnd w:id="17"/>
      <w:bookmarkEnd w:id="18"/>
    </w:p>
    <w:p w14:paraId="50AA5FAD">
      <w:pPr>
        <w:spacing w:line="360" w:lineRule="auto"/>
        <w:ind w:firstLine="420" w:firstLineChars="200"/>
        <w:rPr>
          <w:rFonts w:ascii="宋体" w:hAnsi="宋体" w:cs="宋体"/>
          <w:sz w:val="21"/>
          <w:szCs w:val="21"/>
        </w:rPr>
      </w:pPr>
      <w:r>
        <w:rPr>
          <w:rFonts w:hint="eastAsia" w:ascii="宋体" w:hAnsi="宋体" w:cs="宋体"/>
          <w:sz w:val="21"/>
          <w:szCs w:val="21"/>
        </w:rPr>
        <w:t>谈判供应商是指向采购人提供货物、工程或者服务的法人、其他组织或者自然人。以下简称供应商。合格的供应商应符合政府采购法第二十二条规定的基本条件。</w:t>
      </w:r>
      <w:bookmarkStart w:id="144" w:name="_GoBack"/>
      <w:bookmarkEnd w:id="144"/>
    </w:p>
    <w:p w14:paraId="619632EF">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（一）符合《中华人民共和国政府采购法》第二十二条规定，且已在本系统注册的供应商。</w:t>
      </w:r>
      <w:bookmarkStart w:id="19" w:name="_Hlk103955707"/>
      <w:bookmarkStart w:id="20" w:name="_Hlk110861054"/>
      <w:r>
        <w:rPr>
          <w:rFonts w:hint="eastAsia" w:ascii="宋体" w:hAnsi="宋体" w:eastAsia="宋体" w:cs="宋体"/>
          <w:sz w:val="21"/>
          <w:szCs w:val="21"/>
        </w:rPr>
        <w:t xml:space="preserve">   </w:t>
      </w:r>
    </w:p>
    <w:bookmarkEnd w:id="19"/>
    <w:bookmarkEnd w:id="20"/>
    <w:p w14:paraId="5049A0F5">
      <w:pPr>
        <w:spacing w:line="360" w:lineRule="auto"/>
        <w:ind w:firstLine="420" w:firstLineChars="200"/>
        <w:rPr>
          <w:rFonts w:hint="eastAsia" w:ascii="宋体" w:hAnsi="宋体" w:eastAsia="宋体" w:cs="宋体"/>
          <w:sz w:val="21"/>
          <w:szCs w:val="21"/>
          <w:u w:val="single"/>
          <w:lang w:val="en-US" w:eastAsia="zh-CN"/>
        </w:rPr>
      </w:pPr>
      <w:r>
        <w:rPr>
          <w:rFonts w:hint="eastAsia" w:ascii="宋体" w:hAnsi="宋体" w:eastAsia="宋体" w:cs="宋体"/>
          <w:sz w:val="21"/>
          <w:szCs w:val="21"/>
        </w:rPr>
        <w:t>（二）特定的资格要求：</w:t>
      </w:r>
      <w:r>
        <w:rPr>
          <w:rFonts w:hint="eastAsia" w:ascii="宋体" w:hAnsi="宋体" w:eastAsia="宋体" w:cs="宋体"/>
          <w:sz w:val="21"/>
          <w:szCs w:val="21"/>
          <w:u w:val="single"/>
          <w:lang w:val="en-US" w:eastAsia="zh-CN"/>
        </w:rPr>
        <w:t>1.拟派项目负责人具备一级注册造价工程师资格(安装工程)，提供证书复印件加盖公章以及供应商为其缴纳的投标截止日前1个月的养老保险缴费证明（新成立企业距投标截止日不足30日的，可不提供社保证明材料，以企业营业执照成立日期为准），否则相关人员不予认可。</w:t>
      </w:r>
    </w:p>
    <w:p w14:paraId="0706CCC2">
      <w:pPr>
        <w:pStyle w:val="5"/>
        <w:spacing w:before="0" w:after="0" w:line="360" w:lineRule="auto"/>
        <w:rPr>
          <w:rFonts w:hint="eastAsia" w:ascii="宋体" w:hAnsi="宋体" w:eastAsia="宋体" w:cs="宋体"/>
          <w:b/>
          <w:sz w:val="21"/>
          <w:szCs w:val="21"/>
        </w:rPr>
      </w:pPr>
      <w:bookmarkStart w:id="21" w:name="_Toc6120"/>
      <w:bookmarkStart w:id="22" w:name="_Toc30737"/>
      <w:bookmarkStart w:id="23" w:name="_Toc7332"/>
      <w:r>
        <w:rPr>
          <w:rFonts w:hint="eastAsia" w:ascii="宋体" w:hAnsi="宋体" w:eastAsia="宋体" w:cs="宋体"/>
          <w:b/>
          <w:sz w:val="21"/>
          <w:szCs w:val="21"/>
        </w:rPr>
        <w:t>四、谈判有关说明</w:t>
      </w:r>
      <w:bookmarkEnd w:id="14"/>
      <w:bookmarkEnd w:id="21"/>
      <w:bookmarkEnd w:id="22"/>
      <w:bookmarkEnd w:id="23"/>
    </w:p>
    <w:p w14:paraId="116F774A">
      <w:pPr>
        <w:spacing w:line="360" w:lineRule="auto"/>
        <w:ind w:firstLine="420" w:firstLineChars="200"/>
        <w:rPr>
          <w:rFonts w:hint="eastAsia" w:ascii="宋体" w:hAnsi="宋体" w:cs="宋体"/>
          <w:sz w:val="21"/>
          <w:szCs w:val="21"/>
        </w:rPr>
      </w:pPr>
      <w:r>
        <w:rPr>
          <w:rFonts w:hint="eastAsia" w:ascii="宋体" w:hAnsi="宋体" w:cs="宋体"/>
          <w:sz w:val="21"/>
          <w:szCs w:val="21"/>
        </w:rPr>
        <w:t>（一）凡有意参加谈判的供应商，请于公告发布之日</w:t>
      </w:r>
      <w:r>
        <w:rPr>
          <w:rFonts w:hint="eastAsia" w:ascii="宋体" w:hAnsi="宋体" w:eastAsia="宋体" w:cs="宋体"/>
          <w:sz w:val="21"/>
          <w:szCs w:val="21"/>
        </w:rPr>
        <w:t>（202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cs="宋体"/>
          <w:sz w:val="21"/>
          <w:szCs w:val="21"/>
          <w:lang w:val="en-US" w:eastAsia="zh-CN"/>
        </w:rPr>
        <w:t>7</w:t>
      </w:r>
      <w:r>
        <w:rPr>
          <w:rFonts w:hint="eastAsia" w:ascii="宋体" w:hAnsi="宋体" w:eastAsia="宋体" w:cs="宋体"/>
          <w:sz w:val="21"/>
          <w:szCs w:val="21"/>
        </w:rPr>
        <w:t>月</w:t>
      </w:r>
      <w:r>
        <w:rPr>
          <w:rFonts w:hint="eastAsia" w:ascii="宋体" w:hAnsi="宋体" w:cs="宋体"/>
          <w:sz w:val="21"/>
          <w:szCs w:val="21"/>
          <w:lang w:val="en-US" w:eastAsia="zh-CN"/>
        </w:rPr>
        <w:t>2</w:t>
      </w:r>
      <w:r>
        <w:rPr>
          <w:rFonts w:hint="eastAsia" w:ascii="宋体" w:hAnsi="宋体" w:eastAsia="宋体" w:cs="宋体"/>
          <w:sz w:val="21"/>
          <w:szCs w:val="21"/>
        </w:rPr>
        <w:t>日）起至报名截</w:t>
      </w:r>
      <w:r>
        <w:rPr>
          <w:rFonts w:hint="eastAsia" w:ascii="宋体" w:hAnsi="宋体" w:cs="宋体"/>
          <w:sz w:val="21"/>
          <w:szCs w:val="21"/>
        </w:rPr>
        <w:t>止时间之前，在扬州市政府采购·服务商城网上下载查看本项目需求文件以及变更公告等谈判前公布的所有项目资料，无论供应商下载查看与否，均视为已知晓所有谈判实质性要求内容。</w:t>
      </w:r>
    </w:p>
    <w:p w14:paraId="34946663">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）供应商如确定参加</w:t>
      </w:r>
      <w:r>
        <w:rPr>
          <w:rFonts w:hint="eastAsia" w:ascii="宋体" w:hAnsi="宋体" w:eastAsia="宋体" w:cs="宋体"/>
          <w:sz w:val="21"/>
          <w:szCs w:val="21"/>
          <w:lang w:val="en-US" w:eastAsia="zh-CN"/>
        </w:rPr>
        <w:t>谈判</w:t>
      </w:r>
      <w:r>
        <w:rPr>
          <w:rFonts w:hint="eastAsia" w:ascii="宋体" w:hAnsi="宋体" w:eastAsia="宋体" w:cs="宋体"/>
          <w:sz w:val="21"/>
          <w:szCs w:val="21"/>
          <w:lang w:eastAsia="zh-CN"/>
        </w:rPr>
        <w:t>，请如实填写《供应商参加</w:t>
      </w:r>
      <w:r>
        <w:rPr>
          <w:rFonts w:hint="eastAsia" w:ascii="宋体" w:hAnsi="宋体" w:eastAsia="宋体" w:cs="宋体"/>
          <w:sz w:val="21"/>
          <w:szCs w:val="21"/>
          <w:lang w:val="en-US" w:eastAsia="zh-CN"/>
        </w:rPr>
        <w:t>谈判</w:t>
      </w:r>
      <w:r>
        <w:rPr>
          <w:rFonts w:hint="eastAsia" w:ascii="宋体" w:hAnsi="宋体" w:eastAsia="宋体" w:cs="宋体"/>
          <w:sz w:val="21"/>
          <w:szCs w:val="21"/>
          <w:lang w:eastAsia="zh-CN"/>
        </w:rPr>
        <w:t>确认函》并于20</w:t>
      </w:r>
      <w:r>
        <w:rPr>
          <w:rFonts w:hint="eastAsia" w:ascii="宋体" w:hAnsi="宋体" w:eastAsia="宋体" w:cs="宋体"/>
          <w:sz w:val="21"/>
          <w:szCs w:val="21"/>
          <w:lang w:val="en-US" w:eastAsia="zh-CN"/>
        </w:rPr>
        <w:t>24</w:t>
      </w:r>
      <w:r>
        <w:rPr>
          <w:rFonts w:hint="eastAsia" w:ascii="宋体" w:hAnsi="宋体" w:eastAsia="宋体" w:cs="宋体"/>
          <w:sz w:val="21"/>
          <w:szCs w:val="21"/>
          <w:lang w:eastAsia="zh-CN"/>
        </w:rPr>
        <w:t>年</w:t>
      </w:r>
      <w:r>
        <w:rPr>
          <w:rFonts w:hint="eastAsia" w:ascii="宋体" w:hAnsi="宋体" w:cs="宋体"/>
          <w:sz w:val="21"/>
          <w:szCs w:val="21"/>
          <w:lang w:val="en-US" w:eastAsia="zh-CN"/>
        </w:rPr>
        <w:t>7</w:t>
      </w:r>
      <w:r>
        <w:rPr>
          <w:rFonts w:hint="eastAsia" w:ascii="宋体" w:hAnsi="宋体" w:eastAsia="宋体" w:cs="宋体"/>
          <w:sz w:val="21"/>
          <w:szCs w:val="21"/>
          <w:lang w:eastAsia="zh-CN"/>
        </w:rPr>
        <w:t>月</w:t>
      </w:r>
      <w:r>
        <w:rPr>
          <w:rFonts w:hint="eastAsia" w:ascii="宋体" w:hAnsi="宋体" w:cs="宋体"/>
          <w:sz w:val="21"/>
          <w:szCs w:val="21"/>
          <w:lang w:val="en-US" w:eastAsia="zh-CN"/>
        </w:rPr>
        <w:t>9</w:t>
      </w:r>
      <w:r>
        <w:rPr>
          <w:rFonts w:hint="eastAsia" w:ascii="宋体" w:hAnsi="宋体" w:eastAsia="宋体" w:cs="宋体"/>
          <w:sz w:val="21"/>
          <w:szCs w:val="21"/>
          <w:lang w:eastAsia="zh-CN"/>
        </w:rPr>
        <w:t>日</w:t>
      </w:r>
      <w:r>
        <w:rPr>
          <w:rFonts w:hint="eastAsia" w:ascii="宋体" w:hAnsi="宋体" w:eastAsia="宋体" w:cs="宋体"/>
          <w:sz w:val="21"/>
          <w:szCs w:val="21"/>
          <w:lang w:val="en-US" w:eastAsia="zh-CN"/>
        </w:rPr>
        <w:t>下</w:t>
      </w:r>
      <w:r>
        <w:rPr>
          <w:rFonts w:hint="eastAsia" w:ascii="宋体" w:hAnsi="宋体" w:eastAsia="宋体" w:cs="宋体"/>
          <w:sz w:val="21"/>
          <w:szCs w:val="21"/>
          <w:lang w:eastAsia="zh-CN"/>
        </w:rPr>
        <w:t>午</w:t>
      </w:r>
      <w:r>
        <w:rPr>
          <w:rFonts w:hint="eastAsia" w:ascii="宋体" w:hAnsi="宋体" w:eastAsia="宋体" w:cs="宋体"/>
          <w:sz w:val="21"/>
          <w:szCs w:val="21"/>
          <w:lang w:val="en-US" w:eastAsia="zh-CN"/>
        </w:rPr>
        <w:t>23：59</w:t>
      </w:r>
      <w:r>
        <w:rPr>
          <w:rFonts w:hint="eastAsia" w:ascii="宋体" w:hAnsi="宋体" w:eastAsia="宋体" w:cs="宋体"/>
          <w:sz w:val="21"/>
          <w:szCs w:val="21"/>
          <w:lang w:eastAsia="zh-CN"/>
        </w:rPr>
        <w:t>（北京时间）前，</w:t>
      </w:r>
      <w:r>
        <w:rPr>
          <w:rFonts w:hint="eastAsia" w:ascii="宋体" w:hAnsi="宋体" w:eastAsia="宋体" w:cs="宋体"/>
          <w:sz w:val="21"/>
          <w:szCs w:val="21"/>
          <w:lang w:val="en-US" w:eastAsia="zh-CN"/>
        </w:rPr>
        <w:t>将确认函发送至</w:t>
      </w:r>
      <w:r>
        <w:rPr>
          <w:rFonts w:hint="eastAsia" w:ascii="宋体" w:hAnsi="宋体" w:eastAsia="宋体" w:cs="宋体"/>
          <w:sz w:val="21"/>
          <w:szCs w:val="21"/>
          <w:lang w:eastAsia="zh-CN"/>
        </w:rPr>
        <w:t>电子邮箱：</w:t>
      </w:r>
      <w:r>
        <w:rPr>
          <w:rFonts w:hint="eastAsia" w:ascii="宋体" w:hAnsi="宋体" w:cs="宋体"/>
          <w:sz w:val="21"/>
          <w:szCs w:val="21"/>
          <w:lang w:val="en-US" w:eastAsia="zh-CN"/>
        </w:rPr>
        <w:t>602059943</w:t>
      </w:r>
      <w:r>
        <w:rPr>
          <w:rFonts w:hint="eastAsia" w:ascii="宋体" w:hAnsi="宋体" w:eastAsia="宋体" w:cs="宋体"/>
          <w:sz w:val="21"/>
          <w:szCs w:val="21"/>
          <w:lang w:eastAsia="zh-CN"/>
        </w:rPr>
        <w:t>@qq.com，联系电话：</w:t>
      </w:r>
      <w:r>
        <w:rPr>
          <w:rFonts w:hint="eastAsia" w:ascii="宋体" w:hAnsi="宋体" w:cs="宋体"/>
          <w:sz w:val="21"/>
          <w:szCs w:val="21"/>
          <w:lang w:val="en-US" w:eastAsia="zh-CN"/>
        </w:rPr>
        <w:t>13912131736</w:t>
      </w:r>
      <w:r>
        <w:rPr>
          <w:rFonts w:hint="eastAsia" w:ascii="宋体" w:hAnsi="宋体" w:eastAsia="宋体" w:cs="宋体"/>
          <w:sz w:val="21"/>
          <w:szCs w:val="21"/>
          <w:lang w:val="en-US" w:eastAsia="zh-CN"/>
        </w:rPr>
        <w:t>，，同时需与采购代理机构经办人确认是否收到。如供应商未按上述要求去做，将自行承担所产生的风险</w:t>
      </w:r>
      <w:r>
        <w:rPr>
          <w:rFonts w:hint="eastAsia" w:ascii="宋体" w:hAnsi="宋体" w:eastAsia="宋体" w:cs="宋体"/>
          <w:sz w:val="21"/>
          <w:szCs w:val="21"/>
          <w:lang w:eastAsia="zh-CN"/>
        </w:rPr>
        <w:t>。</w:t>
      </w:r>
    </w:p>
    <w:p w14:paraId="61726467">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）供应商</w:t>
      </w:r>
      <w:r>
        <w:rPr>
          <w:rFonts w:hint="eastAsia" w:ascii="宋体" w:hAnsi="宋体" w:cs="宋体"/>
          <w:sz w:val="21"/>
          <w:szCs w:val="21"/>
          <w:lang w:val="en-US" w:eastAsia="zh-CN"/>
        </w:rPr>
        <w:t>可同时参加两个标包的谈判，但不得兼中，中标顺序为包一→包二。</w:t>
      </w:r>
    </w:p>
    <w:p w14:paraId="5D319F1E">
      <w:pPr>
        <w:spacing w:line="360" w:lineRule="auto"/>
        <w:ind w:firstLine="420" w:firstLineChars="200"/>
        <w:rPr>
          <w:rFonts w:hint="default" w:ascii="宋体" w:hAnsi="宋体" w:eastAsia="宋体" w:cs="宋体"/>
          <w:sz w:val="21"/>
          <w:szCs w:val="21"/>
          <w:lang w:val="en-US" w:eastAsia="zh-CN"/>
        </w:rPr>
      </w:pPr>
      <w:r>
        <w:rPr>
          <w:rFonts w:hint="eastAsia" w:ascii="宋体" w:hAnsi="宋体" w:cs="宋体"/>
          <w:sz w:val="21"/>
          <w:szCs w:val="21"/>
          <w:lang w:eastAsia="zh-CN"/>
        </w:rPr>
        <w:t>（</w:t>
      </w:r>
      <w:r>
        <w:rPr>
          <w:rFonts w:hint="eastAsia" w:ascii="宋体" w:hAnsi="宋体" w:cs="宋体"/>
          <w:sz w:val="21"/>
          <w:szCs w:val="21"/>
          <w:lang w:val="en-US" w:eastAsia="zh-CN"/>
        </w:rPr>
        <w:t>四</w:t>
      </w:r>
      <w:r>
        <w:rPr>
          <w:rFonts w:hint="eastAsia" w:ascii="宋体" w:hAnsi="宋体" w:cs="宋体"/>
          <w:sz w:val="21"/>
          <w:szCs w:val="21"/>
          <w:lang w:eastAsia="zh-CN"/>
        </w:rPr>
        <w:t>）</w:t>
      </w:r>
      <w:r>
        <w:rPr>
          <w:rFonts w:hint="eastAsia" w:ascii="宋体" w:hAnsi="宋体" w:cs="宋体"/>
          <w:sz w:val="21"/>
          <w:szCs w:val="21"/>
          <w:lang w:val="en-US" w:eastAsia="zh-CN"/>
        </w:rPr>
        <w:t>本项目与</w:t>
      </w:r>
      <w:r>
        <w:rPr>
          <w:rFonts w:hint="eastAsia" w:ascii="宋体" w:hAnsi="宋体" w:cs="宋体"/>
          <w:kern w:val="0"/>
          <w:sz w:val="21"/>
          <w:szCs w:val="21"/>
        </w:rPr>
        <w:t>市管照明设施架空杆线改造工程</w:t>
      </w:r>
      <w:r>
        <w:rPr>
          <w:rFonts w:hint="eastAsia" w:ascii="宋体" w:hAnsi="宋体" w:cs="宋体"/>
          <w:kern w:val="0"/>
          <w:sz w:val="21"/>
          <w:szCs w:val="21"/>
          <w:lang w:val="en-US" w:eastAsia="zh-CN"/>
        </w:rPr>
        <w:t>造价咨询项目不得兼中。</w:t>
      </w:r>
    </w:p>
    <w:p w14:paraId="2B57117C">
      <w:pPr>
        <w:spacing w:line="360" w:lineRule="auto"/>
        <w:ind w:firstLine="420" w:firstLineChars="200"/>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五</w:t>
      </w:r>
      <w:r>
        <w:rPr>
          <w:rFonts w:hint="eastAsia" w:ascii="宋体" w:hAnsi="宋体" w:cs="宋体"/>
          <w:sz w:val="21"/>
          <w:szCs w:val="21"/>
        </w:rPr>
        <w:t>）供应商须满足以下三种要件，其响应文件才被接受：</w:t>
      </w:r>
    </w:p>
    <w:p w14:paraId="4BE125A7">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1.平台线上报名并上传响应文件。</w:t>
      </w:r>
    </w:p>
    <w:p w14:paraId="0B088F81">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2.按时递交了纸质响应文件；</w:t>
      </w:r>
    </w:p>
    <w:p w14:paraId="6B5806BD">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3.按时报名签到。</w:t>
      </w:r>
    </w:p>
    <w:p w14:paraId="111BA0AF">
      <w:pPr>
        <w:spacing w:line="360" w:lineRule="auto"/>
        <w:ind w:firstLine="420" w:firstLineChars="200"/>
        <w:rPr>
          <w:rFonts w:hint="eastAsia" w:ascii="宋体" w:hAnsi="宋体" w:cs="宋体"/>
          <w:sz w:val="21"/>
          <w:szCs w:val="21"/>
          <w:u w:val="single"/>
        </w:rPr>
      </w:pPr>
      <w:r>
        <w:rPr>
          <w:rFonts w:hint="eastAsia" w:ascii="宋体" w:hAnsi="宋体" w:cs="宋体"/>
          <w:sz w:val="21"/>
          <w:szCs w:val="21"/>
        </w:rPr>
        <w:t>（</w:t>
      </w:r>
      <w:r>
        <w:rPr>
          <w:rFonts w:hint="eastAsia" w:ascii="宋体" w:hAnsi="宋体" w:cs="宋体"/>
          <w:sz w:val="21"/>
          <w:szCs w:val="21"/>
          <w:lang w:val="en-US" w:eastAsia="zh-CN"/>
        </w:rPr>
        <w:t>六</w:t>
      </w:r>
      <w:r>
        <w:rPr>
          <w:rFonts w:hint="eastAsia" w:ascii="宋体" w:hAnsi="宋体" w:cs="宋体"/>
          <w:sz w:val="21"/>
          <w:szCs w:val="21"/>
        </w:rPr>
        <w:t>）谈判地点：</w:t>
      </w:r>
      <w:r>
        <w:rPr>
          <w:rFonts w:hint="eastAsia" w:ascii="宋体" w:hAnsi="宋体" w:cs="宋体"/>
          <w:sz w:val="21"/>
          <w:szCs w:val="21"/>
          <w:u w:val="single"/>
          <w:lang w:eastAsia="zh-CN"/>
        </w:rPr>
        <w:t>扬州览众建设工程咨询服务有限公司</w:t>
      </w:r>
      <w:r>
        <w:rPr>
          <w:rFonts w:hint="eastAsia" w:ascii="宋体" w:hAnsi="宋体" w:cs="宋体"/>
          <w:sz w:val="21"/>
          <w:szCs w:val="21"/>
          <w:u w:val="single"/>
        </w:rPr>
        <w:t>开标室（</w:t>
      </w:r>
      <w:r>
        <w:rPr>
          <w:rFonts w:hint="eastAsia" w:ascii="宋体" w:hAnsi="宋体" w:cs="宋体"/>
          <w:sz w:val="21"/>
          <w:szCs w:val="21"/>
          <w:u w:val="single"/>
          <w:lang w:eastAsia="zh-CN"/>
        </w:rPr>
        <w:t>扬州市邗江区玉箫路18号瘦西湖名苑商业配套用房4楼</w:t>
      </w:r>
      <w:r>
        <w:rPr>
          <w:rFonts w:hint="eastAsia" w:ascii="宋体" w:hAnsi="宋体" w:cs="宋体"/>
          <w:sz w:val="21"/>
          <w:szCs w:val="21"/>
          <w:u w:val="single"/>
        </w:rPr>
        <w:t xml:space="preserve">） </w:t>
      </w:r>
    </w:p>
    <w:p w14:paraId="0E6AEB0E">
      <w:pPr>
        <w:spacing w:line="360" w:lineRule="auto"/>
        <w:ind w:firstLine="420" w:firstLineChars="200"/>
        <w:rPr>
          <w:rFonts w:hint="eastAsia" w:ascii="宋体" w:hAnsi="宋体" w:eastAsia="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七</w:t>
      </w:r>
      <w:r>
        <w:rPr>
          <w:rFonts w:hint="eastAsia" w:ascii="宋体" w:hAnsi="宋体" w:cs="宋体"/>
          <w:sz w:val="21"/>
          <w:szCs w:val="21"/>
        </w:rPr>
        <w:t>）谈判开始时间</w:t>
      </w:r>
      <w:r>
        <w:rPr>
          <w:rFonts w:hint="eastAsia" w:ascii="宋体" w:hAnsi="宋体" w:eastAsia="宋体" w:cs="宋体"/>
          <w:sz w:val="21"/>
          <w:szCs w:val="21"/>
        </w:rPr>
        <w:t>：202</w:t>
      </w:r>
      <w:r>
        <w:rPr>
          <w:rFonts w:hint="eastAsia" w:ascii="宋体" w:hAnsi="宋体" w:eastAsia="宋体" w:cs="宋体"/>
          <w:sz w:val="21"/>
          <w:szCs w:val="21"/>
          <w:lang w:val="en-US" w:eastAsia="zh-CN"/>
        </w:rPr>
        <w:t>4</w:t>
      </w:r>
      <w:r>
        <w:rPr>
          <w:rFonts w:hint="eastAsia" w:ascii="宋体" w:hAnsi="宋体" w:eastAsia="宋体" w:cs="宋体"/>
          <w:sz w:val="21"/>
          <w:szCs w:val="21"/>
        </w:rPr>
        <w:t>年</w:t>
      </w:r>
      <w:r>
        <w:rPr>
          <w:rFonts w:hint="eastAsia" w:ascii="宋体" w:hAnsi="宋体" w:cs="宋体"/>
          <w:sz w:val="21"/>
          <w:szCs w:val="21"/>
          <w:lang w:val="en-US" w:eastAsia="zh-CN"/>
        </w:rPr>
        <w:t>7</w:t>
      </w:r>
      <w:r>
        <w:rPr>
          <w:rFonts w:hint="eastAsia" w:ascii="宋体" w:hAnsi="宋体" w:eastAsia="宋体" w:cs="宋体"/>
          <w:sz w:val="21"/>
          <w:szCs w:val="21"/>
        </w:rPr>
        <w:t>月</w:t>
      </w:r>
      <w:r>
        <w:rPr>
          <w:rFonts w:hint="eastAsia" w:ascii="宋体" w:hAnsi="宋体" w:cs="宋体"/>
          <w:sz w:val="21"/>
          <w:szCs w:val="21"/>
          <w:lang w:val="en-US" w:eastAsia="zh-CN"/>
        </w:rPr>
        <w:t>10</w:t>
      </w:r>
      <w:r>
        <w:rPr>
          <w:rFonts w:hint="eastAsia" w:ascii="宋体" w:hAnsi="宋体" w:eastAsia="宋体" w:cs="宋体"/>
          <w:sz w:val="21"/>
          <w:szCs w:val="21"/>
        </w:rPr>
        <w:t>日北京时间</w:t>
      </w:r>
      <w:r>
        <w:rPr>
          <w:rFonts w:hint="eastAsia" w:ascii="宋体" w:hAnsi="宋体" w:cs="宋体"/>
          <w:sz w:val="21"/>
          <w:szCs w:val="21"/>
          <w:lang w:val="en-US" w:eastAsia="zh-CN"/>
        </w:rPr>
        <w:t>14</w:t>
      </w:r>
      <w:r>
        <w:rPr>
          <w:rFonts w:hint="eastAsia" w:ascii="宋体" w:hAnsi="宋体" w:eastAsia="宋体" w:cs="宋体"/>
          <w:sz w:val="21"/>
          <w:szCs w:val="21"/>
          <w:lang w:val="en-US" w:eastAsia="zh-CN"/>
        </w:rPr>
        <w:t>：3</w:t>
      </w:r>
      <w:r>
        <w:rPr>
          <w:rFonts w:hint="eastAsia" w:ascii="宋体" w:hAnsi="宋体" w:eastAsia="宋体" w:cs="宋体"/>
          <w:sz w:val="21"/>
          <w:szCs w:val="21"/>
        </w:rPr>
        <w:t>0</w:t>
      </w:r>
    </w:p>
    <w:p w14:paraId="092F1118">
      <w:pPr>
        <w:pStyle w:val="5"/>
        <w:spacing w:before="0" w:after="0" w:line="360" w:lineRule="auto"/>
        <w:rPr>
          <w:rFonts w:hint="eastAsia" w:ascii="宋体" w:hAnsi="宋体" w:eastAsia="宋体" w:cs="宋体"/>
          <w:b/>
          <w:sz w:val="21"/>
          <w:szCs w:val="21"/>
        </w:rPr>
      </w:pPr>
      <w:bookmarkStart w:id="24" w:name="_Toc5809"/>
      <w:bookmarkStart w:id="25" w:name="_Toc13780"/>
      <w:bookmarkStart w:id="26" w:name="_Toc5839"/>
      <w:r>
        <w:rPr>
          <w:rFonts w:hint="eastAsia" w:ascii="宋体" w:hAnsi="宋体" w:eastAsia="宋体" w:cs="宋体"/>
          <w:b/>
          <w:sz w:val="21"/>
          <w:szCs w:val="21"/>
        </w:rPr>
        <w:t>五、</w:t>
      </w:r>
      <w:bookmarkEnd w:id="15"/>
      <w:r>
        <w:rPr>
          <w:rFonts w:hint="eastAsia" w:ascii="宋体" w:hAnsi="宋体" w:eastAsia="宋体" w:cs="宋体"/>
          <w:b/>
          <w:sz w:val="21"/>
          <w:szCs w:val="21"/>
        </w:rPr>
        <w:t>其它有关规定</w:t>
      </w:r>
      <w:bookmarkEnd w:id="24"/>
      <w:bookmarkEnd w:id="25"/>
      <w:bookmarkEnd w:id="26"/>
    </w:p>
    <w:p w14:paraId="1D541924">
      <w:pPr>
        <w:spacing w:line="360" w:lineRule="auto"/>
        <w:ind w:firstLine="420" w:firstLineChars="200"/>
        <w:rPr>
          <w:rFonts w:hint="eastAsia" w:ascii="宋体" w:hAnsi="宋体" w:cs="宋体"/>
          <w:sz w:val="21"/>
          <w:szCs w:val="21"/>
        </w:rPr>
      </w:pPr>
      <w:r>
        <w:rPr>
          <w:rFonts w:hint="eastAsia" w:ascii="宋体" w:hAnsi="宋体" w:cs="宋体"/>
          <w:sz w:val="21"/>
          <w:szCs w:val="21"/>
        </w:rPr>
        <w:t>（一）单位负责人为同一人或者存在直接控股、管理关系的不同供应商，不得参加同一合同项下的政府采购活动，否则均为无效谈判。</w:t>
      </w:r>
    </w:p>
    <w:p w14:paraId="4FE29997">
      <w:pPr>
        <w:spacing w:line="360" w:lineRule="auto"/>
        <w:ind w:firstLine="420" w:firstLineChars="200"/>
        <w:rPr>
          <w:rFonts w:hint="eastAsia" w:ascii="宋体" w:hAnsi="宋体" w:cs="宋体"/>
          <w:sz w:val="21"/>
          <w:szCs w:val="21"/>
        </w:rPr>
      </w:pPr>
      <w:r>
        <w:rPr>
          <w:rFonts w:hint="eastAsia" w:ascii="宋体" w:hAnsi="宋体" w:cs="宋体"/>
          <w:sz w:val="21"/>
          <w:szCs w:val="21"/>
        </w:rPr>
        <w:t>（二）为采购项目提供整体设计、规范编制或者项目管理、监理、检测等服务的供应商，不得再参加该采购项目的其他采购活动，否则均为无效谈判。</w:t>
      </w:r>
    </w:p>
    <w:p w14:paraId="07E2F861">
      <w:pPr>
        <w:spacing w:line="360" w:lineRule="auto"/>
        <w:ind w:firstLine="420" w:firstLineChars="200"/>
        <w:rPr>
          <w:rFonts w:hint="eastAsia" w:ascii="宋体" w:hAnsi="宋体" w:cs="宋体"/>
          <w:sz w:val="21"/>
          <w:szCs w:val="21"/>
        </w:rPr>
      </w:pPr>
      <w:r>
        <w:rPr>
          <w:rFonts w:hint="eastAsia" w:ascii="宋体" w:hAnsi="宋体" w:cs="宋体"/>
          <w:sz w:val="21"/>
          <w:szCs w:val="21"/>
        </w:rPr>
        <w:t>（三）超过响应文件截止时间递交的响应文件，恕不接收。</w:t>
      </w:r>
    </w:p>
    <w:p w14:paraId="22CB1873">
      <w:pPr>
        <w:spacing w:line="360" w:lineRule="auto"/>
        <w:ind w:firstLine="420" w:firstLineChars="200"/>
        <w:rPr>
          <w:rFonts w:hint="eastAsia" w:ascii="宋体" w:hAnsi="宋体" w:cs="宋体"/>
          <w:sz w:val="21"/>
          <w:szCs w:val="21"/>
        </w:rPr>
      </w:pPr>
      <w:r>
        <w:rPr>
          <w:rFonts w:hint="eastAsia" w:ascii="宋体" w:hAnsi="宋体" w:cs="宋体"/>
          <w:sz w:val="21"/>
          <w:szCs w:val="21"/>
        </w:rPr>
        <w:t>（四）谈判费用：</w:t>
      </w:r>
    </w:p>
    <w:p w14:paraId="700F3ABB">
      <w:pPr>
        <w:spacing w:line="360" w:lineRule="auto"/>
        <w:ind w:firstLine="420" w:firstLineChars="200"/>
        <w:rPr>
          <w:rFonts w:hint="eastAsia" w:ascii="宋体" w:hAnsi="宋体" w:cs="宋体"/>
          <w:sz w:val="21"/>
          <w:szCs w:val="21"/>
        </w:rPr>
      </w:pPr>
      <w:r>
        <w:rPr>
          <w:rFonts w:hint="eastAsia" w:ascii="宋体" w:hAnsi="宋体" w:cs="宋体"/>
          <w:sz w:val="21"/>
          <w:szCs w:val="21"/>
        </w:rPr>
        <w:t>1.无论谈判结果如何，供应商参与本项目谈判的所有费用均应由供应商自行承担。</w:t>
      </w:r>
    </w:p>
    <w:p w14:paraId="10076D32">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2.本次谈判文件售价</w:t>
      </w:r>
      <w:r>
        <w:rPr>
          <w:rFonts w:hint="eastAsia" w:ascii="宋体" w:hAnsi="宋体" w:eastAsia="宋体" w:cs="宋体"/>
          <w:sz w:val="21"/>
          <w:szCs w:val="21"/>
          <w:lang w:val="en-US" w:eastAsia="zh-CN"/>
        </w:rPr>
        <w:t>200</w:t>
      </w:r>
      <w:r>
        <w:rPr>
          <w:rFonts w:hint="eastAsia" w:ascii="宋体" w:hAnsi="宋体" w:eastAsia="宋体" w:cs="宋体"/>
          <w:sz w:val="21"/>
          <w:szCs w:val="21"/>
        </w:rPr>
        <w:t>元，递交响应文件时现金缴纳，售后不退。</w:t>
      </w:r>
    </w:p>
    <w:p w14:paraId="41A50B2E">
      <w:pPr>
        <w:spacing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.专家评审费按《扬州市财政局关于进一步规范扬州市政府采购专家评审费标准的通知》（扬财购〔2020〕40号）标准执行</w:t>
      </w:r>
      <w:r>
        <w:rPr>
          <w:rFonts w:hint="eastAsia" w:ascii="宋体" w:hAnsi="宋体" w:cs="宋体"/>
          <w:sz w:val="21"/>
          <w:szCs w:val="21"/>
          <w:lang w:eastAsia="zh-CN"/>
        </w:rPr>
        <w:t>，</w:t>
      </w:r>
      <w:r>
        <w:rPr>
          <w:rFonts w:hint="eastAsia" w:ascii="宋体" w:hAnsi="宋体" w:cs="宋体"/>
          <w:sz w:val="21"/>
          <w:szCs w:val="21"/>
        </w:rPr>
        <w:t>由成交人支付。</w:t>
      </w:r>
    </w:p>
    <w:p w14:paraId="1110136A">
      <w:pPr>
        <w:spacing w:line="360" w:lineRule="auto"/>
        <w:ind w:firstLine="420" w:firstLineChars="200"/>
        <w:rPr>
          <w:rFonts w:hint="eastAsia" w:ascii="宋体" w:hAnsi="宋体" w:cs="宋体"/>
          <w:sz w:val="21"/>
          <w:szCs w:val="21"/>
        </w:rPr>
      </w:pPr>
      <w:r>
        <w:rPr>
          <w:rFonts w:hint="eastAsia" w:ascii="宋体" w:hAnsi="宋体" w:cs="宋体"/>
          <w:sz w:val="21"/>
          <w:szCs w:val="21"/>
        </w:rPr>
        <w:t>（五）本项目不接受联合体参与谈判。</w:t>
      </w:r>
    </w:p>
    <w:p w14:paraId="6D6CB043">
      <w:pPr>
        <w:spacing w:line="360" w:lineRule="auto"/>
        <w:ind w:firstLine="420" w:firstLineChars="200"/>
        <w:rPr>
          <w:rFonts w:hint="eastAsia" w:ascii="宋体" w:hAnsi="宋体" w:cs="宋体"/>
          <w:sz w:val="21"/>
          <w:szCs w:val="21"/>
        </w:rPr>
      </w:pPr>
      <w:r>
        <w:rPr>
          <w:rFonts w:hint="eastAsia" w:ascii="宋体" w:hAnsi="宋体" w:cs="宋体"/>
          <w:sz w:val="21"/>
          <w:szCs w:val="21"/>
        </w:rPr>
        <w:t>（六）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14:paraId="56F9E53F">
      <w:pPr>
        <w:pStyle w:val="5"/>
        <w:spacing w:before="0" w:after="0" w:line="360" w:lineRule="auto"/>
        <w:rPr>
          <w:rFonts w:hint="eastAsia" w:ascii="宋体" w:hAnsi="宋体" w:eastAsia="宋体" w:cs="宋体"/>
          <w:b/>
          <w:sz w:val="21"/>
          <w:szCs w:val="21"/>
        </w:rPr>
      </w:pPr>
      <w:bookmarkStart w:id="27" w:name="_Toc23096"/>
      <w:bookmarkStart w:id="28" w:name="_Toc17016"/>
      <w:bookmarkStart w:id="29" w:name="_Toc25923"/>
      <w:r>
        <w:rPr>
          <w:rFonts w:hint="eastAsia" w:ascii="宋体" w:hAnsi="宋体" w:eastAsia="宋体" w:cs="宋体"/>
          <w:b/>
          <w:sz w:val="21"/>
          <w:szCs w:val="21"/>
        </w:rPr>
        <w:t>六、联系方式</w:t>
      </w:r>
      <w:bookmarkEnd w:id="27"/>
      <w:bookmarkEnd w:id="28"/>
      <w:bookmarkEnd w:id="29"/>
    </w:p>
    <w:p w14:paraId="0AD392E1">
      <w:pPr>
        <w:spacing w:line="360" w:lineRule="auto"/>
        <w:ind w:firstLine="420" w:firstLineChars="200"/>
        <w:rPr>
          <w:rFonts w:ascii="宋体" w:hAnsi="宋体" w:cs="宋体"/>
          <w:sz w:val="21"/>
          <w:szCs w:val="21"/>
        </w:rPr>
      </w:pPr>
      <w:r>
        <w:rPr>
          <w:rFonts w:hint="eastAsia" w:ascii="宋体" w:hAnsi="宋体" w:cs="宋体"/>
          <w:sz w:val="21"/>
          <w:szCs w:val="21"/>
        </w:rPr>
        <w:t>1.采购人信息</w:t>
      </w:r>
    </w:p>
    <w:p w14:paraId="2C9EBAB8">
      <w:pPr>
        <w:spacing w:line="360" w:lineRule="auto"/>
        <w:ind w:firstLine="420" w:firstLineChars="200"/>
        <w:rPr>
          <w:rFonts w:hint="eastAsia" w:ascii="宋体" w:hAnsi="宋体" w:cs="宋体"/>
          <w:sz w:val="21"/>
          <w:szCs w:val="21"/>
        </w:rPr>
      </w:pPr>
      <w:r>
        <w:rPr>
          <w:rFonts w:hint="eastAsia" w:ascii="宋体" w:hAnsi="宋体" w:cs="宋体"/>
          <w:sz w:val="21"/>
          <w:szCs w:val="21"/>
        </w:rPr>
        <w:t>采购人：扬州市</w:t>
      </w:r>
      <w:r>
        <w:rPr>
          <w:rFonts w:hint="eastAsia" w:ascii="宋体" w:hAnsi="宋体" w:cs="宋体"/>
          <w:sz w:val="21"/>
          <w:szCs w:val="21"/>
          <w:lang w:val="en-US" w:eastAsia="zh-CN"/>
        </w:rPr>
        <w:t>市政设施管理中心</w:t>
      </w:r>
      <w:r>
        <w:rPr>
          <w:rFonts w:hint="eastAsia" w:ascii="宋体" w:hAnsi="宋体" w:cs="宋体"/>
          <w:sz w:val="21"/>
          <w:szCs w:val="21"/>
        </w:rPr>
        <w:t xml:space="preserve"> </w:t>
      </w:r>
    </w:p>
    <w:p w14:paraId="6584B110">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lang w:val="en-US" w:eastAsia="zh-CN"/>
        </w:rPr>
        <w:t>徐进</w:t>
      </w:r>
      <w:r>
        <w:rPr>
          <w:rFonts w:hint="eastAsia" w:ascii="宋体" w:hAnsi="宋体" w:eastAsia="宋体" w:cs="宋体"/>
          <w:sz w:val="21"/>
          <w:szCs w:val="21"/>
        </w:rPr>
        <w:t xml:space="preserve">  </w:t>
      </w:r>
    </w:p>
    <w:p w14:paraId="7EC68125">
      <w:pPr>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2.采购代理机构信息 </w:t>
      </w:r>
    </w:p>
    <w:p w14:paraId="65038220">
      <w:pPr>
        <w:spacing w:line="360" w:lineRule="auto"/>
        <w:ind w:firstLine="420" w:firstLineChars="200"/>
        <w:rPr>
          <w:rFonts w:hint="eastAsia" w:ascii="宋体" w:hAnsi="宋体" w:eastAsia="宋体" w:cs="宋体"/>
          <w:sz w:val="21"/>
          <w:szCs w:val="21"/>
          <w:lang w:eastAsia="zh-CN"/>
        </w:rPr>
      </w:pPr>
      <w:r>
        <w:rPr>
          <w:rFonts w:hint="eastAsia" w:ascii="宋体" w:hAnsi="宋体" w:cs="宋体"/>
          <w:sz w:val="21"/>
          <w:szCs w:val="21"/>
        </w:rPr>
        <w:t>名称：</w:t>
      </w:r>
      <w:r>
        <w:rPr>
          <w:rFonts w:hint="eastAsia" w:ascii="宋体" w:hAnsi="宋体" w:cs="宋体"/>
          <w:sz w:val="21"/>
          <w:szCs w:val="21"/>
          <w:lang w:eastAsia="zh-CN"/>
        </w:rPr>
        <w:t>扬州览众建设工程咨询服务有限公司</w:t>
      </w:r>
    </w:p>
    <w:p w14:paraId="6783F66D">
      <w:pPr>
        <w:spacing w:line="360" w:lineRule="auto"/>
        <w:ind w:firstLine="420" w:firstLineChars="200"/>
        <w:rPr>
          <w:rFonts w:hint="eastAsia" w:ascii="宋体" w:hAnsi="宋体" w:eastAsia="宋体" w:cs="宋体"/>
          <w:sz w:val="21"/>
          <w:szCs w:val="21"/>
          <w:lang w:eastAsia="zh-CN"/>
        </w:rPr>
      </w:pPr>
      <w:r>
        <w:rPr>
          <w:rFonts w:hint="eastAsia" w:ascii="宋体" w:hAnsi="宋体" w:cs="宋体"/>
          <w:sz w:val="21"/>
          <w:szCs w:val="21"/>
        </w:rPr>
        <w:t>地址：</w:t>
      </w:r>
      <w:r>
        <w:rPr>
          <w:rFonts w:hint="eastAsia" w:ascii="宋体" w:hAnsi="宋体" w:cs="宋体"/>
          <w:sz w:val="21"/>
          <w:szCs w:val="21"/>
          <w:lang w:eastAsia="zh-CN"/>
        </w:rPr>
        <w:t>扬州市邗江区玉箫路18号瘦西湖名苑商业配套用房4楼</w:t>
      </w:r>
    </w:p>
    <w:p w14:paraId="7330BA2D">
      <w:pPr>
        <w:spacing w:line="360" w:lineRule="auto"/>
        <w:ind w:firstLine="420" w:firstLineChars="200"/>
        <w:rPr>
          <w:rFonts w:hint="eastAsia" w:ascii="宋体" w:hAnsi="宋体" w:cs="宋体"/>
          <w:sz w:val="21"/>
          <w:szCs w:val="21"/>
          <w:lang w:val="en-US" w:eastAsia="zh-CN"/>
        </w:rPr>
      </w:pPr>
      <w:r>
        <w:rPr>
          <w:rFonts w:hint="eastAsia" w:ascii="宋体" w:hAnsi="宋体" w:cs="宋体"/>
          <w:sz w:val="21"/>
          <w:szCs w:val="21"/>
        </w:rPr>
        <w:t>联系人：</w:t>
      </w:r>
      <w:r>
        <w:rPr>
          <w:rFonts w:hint="eastAsia" w:ascii="宋体" w:hAnsi="宋体" w:cs="宋体"/>
          <w:sz w:val="21"/>
          <w:szCs w:val="21"/>
          <w:lang w:eastAsia="zh-CN"/>
        </w:rPr>
        <w:t>殷工</w:t>
      </w:r>
      <w:r>
        <w:rPr>
          <w:rFonts w:hint="eastAsia" w:ascii="宋体" w:hAnsi="宋体" w:cs="宋体"/>
          <w:sz w:val="21"/>
          <w:szCs w:val="21"/>
        </w:rPr>
        <w:t xml:space="preserve"> </w:t>
      </w:r>
      <w:r>
        <w:rPr>
          <w:rFonts w:hint="eastAsia" w:ascii="宋体" w:hAnsi="宋体" w:cs="宋体"/>
          <w:sz w:val="21"/>
          <w:szCs w:val="21"/>
          <w:lang w:val="en-US" w:eastAsia="zh-CN"/>
        </w:rPr>
        <w:t xml:space="preserve">   </w:t>
      </w:r>
    </w:p>
    <w:p w14:paraId="70E18576">
      <w:pPr>
        <w:spacing w:line="360" w:lineRule="auto"/>
        <w:ind w:firstLine="420" w:firstLineChars="200"/>
        <w:rPr>
          <w:rFonts w:hint="eastAsia" w:ascii="宋体" w:hAnsi="宋体" w:eastAsia="宋体" w:cs="宋体"/>
          <w:sz w:val="21"/>
          <w:szCs w:val="21"/>
          <w:lang w:eastAsia="zh-CN"/>
        </w:rPr>
      </w:pPr>
      <w:r>
        <w:rPr>
          <w:rFonts w:hint="eastAsia" w:ascii="宋体" w:hAnsi="宋体" w:cs="宋体"/>
          <w:sz w:val="21"/>
          <w:szCs w:val="21"/>
        </w:rPr>
        <w:t>联系方式：</w:t>
      </w:r>
      <w:r>
        <w:rPr>
          <w:rFonts w:hint="eastAsia" w:ascii="宋体" w:hAnsi="宋体" w:cs="宋体"/>
          <w:sz w:val="21"/>
          <w:szCs w:val="21"/>
          <w:lang w:eastAsia="zh-CN"/>
        </w:rPr>
        <w:t>13912131736</w:t>
      </w:r>
    </w:p>
    <w:p w14:paraId="6DBF5B07">
      <w:pPr>
        <w:snapToGrid w:val="0"/>
        <w:spacing w:line="360" w:lineRule="auto"/>
        <w:rPr>
          <w:rFonts w:ascii="黑体" w:hAnsi="黑体" w:eastAsia="黑体"/>
          <w:b/>
          <w:sz w:val="24"/>
          <w:szCs w:val="24"/>
        </w:rPr>
        <w:sectPr>
          <w:footerReference r:id="rId8" w:type="default"/>
          <w:pgSz w:w="11907" w:h="16840"/>
          <w:pgMar w:top="1134" w:right="1418" w:bottom="1134" w:left="1418" w:header="964" w:footer="992" w:gutter="0"/>
          <w:pgBorders>
            <w:top w:val="none" w:sz="0" w:space="0"/>
            <w:left w:val="none" w:sz="0" w:space="0"/>
            <w:bottom w:val="none" w:sz="0" w:space="0"/>
            <w:right w:val="none" w:sz="0" w:space="0"/>
          </w:pgBorders>
          <w:pgNumType w:start="1"/>
          <w:cols w:space="720" w:num="1"/>
          <w:docGrid w:linePitch="312" w:charSpace="0"/>
        </w:sectPr>
      </w:pPr>
    </w:p>
    <w:p w14:paraId="7F31826A">
      <w:pPr>
        <w:pStyle w:val="4"/>
        <w:numPr>
          <w:ilvl w:val="0"/>
          <w:numId w:val="13"/>
        </w:numPr>
        <w:spacing w:line="240" w:lineRule="auto"/>
        <w:jc w:val="center"/>
        <w:rPr>
          <w:rFonts w:hint="eastAsia"/>
        </w:rPr>
      </w:pPr>
      <w:bookmarkStart w:id="30" w:name="_Toc20524"/>
      <w:bookmarkStart w:id="31" w:name="_Toc1361"/>
      <w:bookmarkStart w:id="32" w:name="_Toc7521"/>
      <w:r>
        <w:rPr>
          <w:rFonts w:hint="eastAsia" w:ascii="宋体" w:hAnsi="宋体" w:eastAsia="宋体"/>
          <w:sz w:val="36"/>
          <w:szCs w:val="30"/>
        </w:rPr>
        <w:t xml:space="preserve"> 采购服务需求</w:t>
      </w:r>
      <w:bookmarkEnd w:id="30"/>
      <w:bookmarkEnd w:id="31"/>
      <w:bookmarkEnd w:id="32"/>
      <w:bookmarkStart w:id="33" w:name="_Toc12789058"/>
    </w:p>
    <w:p w14:paraId="2D0D1249">
      <w:pPr>
        <w:pStyle w:val="5"/>
        <w:spacing w:before="0" w:after="0" w:line="360" w:lineRule="auto"/>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一、采购需求</w:t>
      </w:r>
    </w:p>
    <w:p w14:paraId="575913DC">
      <w:pPr>
        <w:spacing w:line="360" w:lineRule="auto"/>
        <w:ind w:firstLine="420" w:firstLineChars="200"/>
        <w:rPr>
          <w:rFonts w:hint="eastAsia" w:ascii="宋体" w:hAnsi="宋体" w:cs="宋体"/>
          <w:kern w:val="0"/>
          <w:sz w:val="21"/>
          <w:szCs w:val="21"/>
          <w:lang w:val="en-US" w:eastAsia="zh-CN"/>
        </w:rPr>
      </w:pPr>
      <w:r>
        <w:rPr>
          <w:rFonts w:hint="eastAsia" w:ascii="宋体" w:hAnsi="宋体" w:cs="宋体"/>
          <w:kern w:val="0"/>
          <w:sz w:val="21"/>
          <w:szCs w:val="21"/>
          <w:lang w:eastAsia="zh-CN"/>
        </w:rPr>
        <w:t>市管照明设施灯杆改造工程</w:t>
      </w:r>
      <w:r>
        <w:rPr>
          <w:rFonts w:hint="eastAsia" w:ascii="宋体" w:hAnsi="宋体" w:cs="宋体"/>
          <w:kern w:val="0"/>
          <w:sz w:val="21"/>
          <w:szCs w:val="21"/>
          <w:lang w:val="en-US" w:eastAsia="zh-CN"/>
        </w:rPr>
        <w:t>造价咨询服务，共划分为两个包，分别为：</w:t>
      </w:r>
    </w:p>
    <w:p w14:paraId="23FE00EB">
      <w:pPr>
        <w:spacing w:line="360" w:lineRule="auto"/>
        <w:ind w:firstLine="420" w:firstLineChars="200"/>
        <w:rPr>
          <w:rFonts w:hint="eastAsia" w:ascii="宋体" w:hAnsi="宋体" w:cs="宋体"/>
          <w:kern w:val="0"/>
          <w:sz w:val="21"/>
          <w:szCs w:val="21"/>
          <w:lang w:val="en-US" w:eastAsia="zh-CN"/>
        </w:rPr>
      </w:pPr>
      <w:r>
        <w:rPr>
          <w:rFonts w:hint="eastAsia" w:ascii="宋体" w:hAnsi="宋体" w:cs="宋体"/>
          <w:kern w:val="0"/>
          <w:sz w:val="21"/>
          <w:szCs w:val="21"/>
          <w:lang w:val="en-US" w:eastAsia="zh-CN"/>
        </w:rPr>
        <w:t>包一：工程量清单及招标控制价编制；</w:t>
      </w:r>
    </w:p>
    <w:p w14:paraId="6224575E">
      <w:pPr>
        <w:spacing w:line="360" w:lineRule="auto"/>
        <w:ind w:firstLine="420" w:firstLineChars="200"/>
        <w:rPr>
          <w:rFonts w:hint="default" w:ascii="宋体" w:hAnsi="宋体" w:cs="宋体"/>
          <w:kern w:val="0"/>
          <w:sz w:val="21"/>
          <w:szCs w:val="21"/>
          <w:lang w:val="en-US" w:eastAsia="zh-CN"/>
        </w:rPr>
      </w:pPr>
      <w:r>
        <w:rPr>
          <w:rFonts w:hint="eastAsia" w:ascii="宋体" w:hAnsi="宋体" w:cs="宋体"/>
          <w:kern w:val="0"/>
          <w:sz w:val="21"/>
          <w:szCs w:val="21"/>
          <w:lang w:val="en-US" w:eastAsia="zh-CN"/>
        </w:rPr>
        <w:t>包二：设计概算审核、工程量清单及招标控制价审核；</w:t>
      </w:r>
    </w:p>
    <w:p w14:paraId="5D22B795">
      <w:pPr>
        <w:pStyle w:val="5"/>
        <w:spacing w:before="0" w:after="0" w:line="360" w:lineRule="auto"/>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二、服务周期</w:t>
      </w:r>
    </w:p>
    <w:p w14:paraId="3706CED8">
      <w:pPr>
        <w:spacing w:line="360" w:lineRule="auto"/>
        <w:ind w:firstLine="420" w:firstLineChars="200"/>
        <w:rPr>
          <w:rFonts w:hint="eastAsia" w:ascii="宋体" w:hAnsi="宋体" w:cs="宋体"/>
          <w:kern w:val="0"/>
          <w:sz w:val="21"/>
          <w:szCs w:val="21"/>
          <w:lang w:val="en-US" w:eastAsia="zh-CN"/>
        </w:rPr>
      </w:pPr>
      <w:r>
        <w:rPr>
          <w:rFonts w:hint="eastAsia" w:ascii="宋体" w:hAnsi="宋体" w:cs="宋体"/>
          <w:kern w:val="0"/>
          <w:sz w:val="21"/>
          <w:szCs w:val="21"/>
          <w:lang w:val="en-US" w:eastAsia="zh-CN"/>
        </w:rPr>
        <w:t>包一：10日历天；</w:t>
      </w:r>
    </w:p>
    <w:p w14:paraId="1F4C059C">
      <w:pPr>
        <w:spacing w:line="360" w:lineRule="auto"/>
        <w:ind w:firstLine="420" w:firstLineChars="200"/>
        <w:rPr>
          <w:rFonts w:hint="default" w:ascii="宋体" w:hAnsi="宋体" w:cs="宋体"/>
          <w:kern w:val="0"/>
          <w:sz w:val="21"/>
          <w:szCs w:val="21"/>
          <w:lang w:val="en-US" w:eastAsia="zh-CN"/>
        </w:rPr>
      </w:pPr>
      <w:r>
        <w:rPr>
          <w:rFonts w:hint="eastAsia" w:ascii="宋体" w:hAnsi="宋体" w:cs="宋体"/>
          <w:kern w:val="0"/>
          <w:sz w:val="21"/>
          <w:szCs w:val="21"/>
          <w:lang w:val="en-US" w:eastAsia="zh-CN"/>
        </w:rPr>
        <w:t>包二：5日历天；</w:t>
      </w:r>
    </w:p>
    <w:p w14:paraId="6DEC636C">
      <w:pPr>
        <w:pStyle w:val="5"/>
        <w:spacing w:before="0" w:after="0" w:line="360" w:lineRule="auto"/>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三、服务要求</w:t>
      </w:r>
    </w:p>
    <w:p w14:paraId="6C662EA7">
      <w:pPr>
        <w:spacing w:line="360" w:lineRule="auto"/>
        <w:ind w:firstLine="420" w:firstLineChars="20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（1）向采购人提供与工程造价咨询业务有关的资料，包括承担本合同咨询业务的专业人员名单、咨询工作计划等。</w:t>
      </w:r>
    </w:p>
    <w:p w14:paraId="7F131E7E">
      <w:pPr>
        <w:spacing w:line="360" w:lineRule="auto"/>
        <w:ind w:firstLine="420" w:firstLineChars="20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（2）按约定进行</w:t>
      </w:r>
      <w:r>
        <w:rPr>
          <w:rFonts w:hint="eastAsia" w:ascii="宋体" w:hAnsi="宋体" w:cs="宋体"/>
          <w:kern w:val="0"/>
          <w:sz w:val="21"/>
          <w:szCs w:val="21"/>
          <w:lang w:val="en-US" w:eastAsia="zh-CN"/>
        </w:rPr>
        <w:t>工程量清单及招标控制价编制、审计概算审核、工程量清单及招标控制价编制审核</w:t>
      </w:r>
      <w:r>
        <w:rPr>
          <w:rFonts w:hint="eastAsia" w:ascii="宋体" w:hAnsi="宋体" w:eastAsia="宋体" w:cs="宋体"/>
          <w:kern w:val="0"/>
          <w:sz w:val="21"/>
          <w:szCs w:val="21"/>
          <w:lang w:val="en-US" w:eastAsia="zh-CN"/>
        </w:rPr>
        <w:t>，向采购人提供工程造价咨询专业服务，包括正常服务、附加服务和额外服务。在合同约定的时间内，提供符合行业管理规定的咨询成果文件。</w:t>
      </w:r>
    </w:p>
    <w:p w14:paraId="2989D606">
      <w:pPr>
        <w:spacing w:line="360" w:lineRule="auto"/>
        <w:ind w:firstLine="420" w:firstLineChars="200"/>
        <w:rPr>
          <w:rFonts w:hint="eastAsia" w:ascii="宋体" w:hAnsi="宋体" w:eastAsia="宋体" w:cs="宋体"/>
          <w:kern w:val="0"/>
          <w:sz w:val="21"/>
          <w:szCs w:val="21"/>
          <w:lang w:val="en-US" w:eastAsia="zh-CN"/>
        </w:rPr>
      </w:pPr>
    </w:p>
    <w:p w14:paraId="4BBDEA15">
      <w:pPr>
        <w:spacing w:line="360" w:lineRule="auto"/>
        <w:rPr>
          <w:rFonts w:ascii="宋体" w:hAnsi="宋体" w:cs="宋体"/>
          <w:b/>
          <w:color w:val="FF0000"/>
          <w:sz w:val="36"/>
          <w:szCs w:val="30"/>
        </w:rPr>
      </w:pPr>
      <w:r>
        <w:rPr>
          <w:rFonts w:hint="eastAsia" w:ascii="宋体" w:hAnsi="宋体" w:cs="宋体"/>
          <w:sz w:val="21"/>
          <w:szCs w:val="21"/>
        </w:rPr>
        <w:br w:type="page"/>
      </w:r>
      <w:bookmarkStart w:id="34" w:name="_Toc2064"/>
      <w:bookmarkStart w:id="35" w:name="_Toc6890"/>
      <w:bookmarkStart w:id="36" w:name="_Toc9707"/>
      <w:r>
        <w:rPr>
          <w:rFonts w:hint="eastAsia" w:ascii="宋体" w:hAnsi="宋体" w:cs="宋体"/>
          <w:sz w:val="21"/>
          <w:szCs w:val="21"/>
          <w:lang w:val="en-US" w:eastAsia="zh-CN"/>
        </w:rPr>
        <w:t xml:space="preserve">                        </w:t>
      </w:r>
      <w:r>
        <w:rPr>
          <w:rFonts w:hint="eastAsia" w:ascii="宋体" w:hAnsi="宋体"/>
          <w:b/>
          <w:sz w:val="36"/>
          <w:szCs w:val="30"/>
        </w:rPr>
        <w:t>第三篇  采购商务需求</w:t>
      </w:r>
      <w:bookmarkEnd w:id="33"/>
      <w:bookmarkEnd w:id="34"/>
      <w:bookmarkEnd w:id="35"/>
      <w:bookmarkEnd w:id="36"/>
    </w:p>
    <w:p w14:paraId="6E7E06D3">
      <w:pPr>
        <w:adjustRightInd w:val="0"/>
        <w:snapToGrid w:val="0"/>
        <w:spacing w:line="360" w:lineRule="auto"/>
        <w:rPr>
          <w:rFonts w:hint="eastAsia" w:ascii="宋体" w:hAnsi="宋体" w:eastAsia="宋体" w:cs="Times New Roman"/>
          <w:b/>
          <w:bCs/>
          <w:sz w:val="21"/>
          <w:szCs w:val="21"/>
        </w:rPr>
      </w:pPr>
      <w:bookmarkStart w:id="37" w:name="_Toc5730"/>
      <w:bookmarkStart w:id="38" w:name="_Toc521399411"/>
      <w:bookmarkStart w:id="39" w:name="_Toc344475122"/>
      <w:bookmarkStart w:id="40" w:name="_Toc27155"/>
      <w:bookmarkStart w:id="41" w:name="_Toc4253"/>
      <w:r>
        <w:rPr>
          <w:rFonts w:hint="eastAsia" w:ascii="宋体" w:hAnsi="宋体" w:eastAsia="宋体" w:cs="Times New Roman"/>
          <w:b/>
          <w:bCs/>
          <w:sz w:val="21"/>
          <w:szCs w:val="21"/>
          <w:lang w:val="en-US" w:eastAsia="zh-CN"/>
        </w:rPr>
        <w:t>一</w:t>
      </w:r>
      <w:r>
        <w:rPr>
          <w:rFonts w:hint="eastAsia" w:ascii="宋体" w:hAnsi="宋体" w:eastAsia="宋体" w:cs="Times New Roman"/>
          <w:b/>
          <w:bCs/>
          <w:sz w:val="21"/>
          <w:szCs w:val="21"/>
        </w:rPr>
        <w:t>、付款方式</w:t>
      </w:r>
      <w:bookmarkEnd w:id="37"/>
      <w:bookmarkEnd w:id="38"/>
      <w:bookmarkEnd w:id="39"/>
      <w:bookmarkEnd w:id="40"/>
      <w:bookmarkEnd w:id="41"/>
      <w:bookmarkStart w:id="42" w:name="_Toc344475123"/>
      <w:r>
        <w:rPr>
          <w:rFonts w:hint="eastAsia" w:ascii="宋体" w:hAnsi="宋体" w:eastAsia="宋体" w:cs="Times New Roman"/>
          <w:b/>
          <w:bCs/>
          <w:sz w:val="21"/>
          <w:szCs w:val="21"/>
        </w:rPr>
        <w:t xml:space="preserve">    </w:t>
      </w:r>
    </w:p>
    <w:p w14:paraId="5B65C1B8">
      <w:pPr>
        <w:adjustRightInd w:val="0"/>
        <w:snapToGrid w:val="0"/>
        <w:spacing w:after="120" w:afterLines="50" w:line="360" w:lineRule="auto"/>
        <w:ind w:firstLine="420" w:firstLineChars="200"/>
        <w:rPr>
          <w:rFonts w:hint="default" w:ascii="宋体" w:hAnsi="宋体" w:eastAsia="宋体" w:cs="Times New Roman"/>
          <w:bCs/>
          <w:sz w:val="21"/>
          <w:szCs w:val="21"/>
          <w:lang w:val="en-US" w:eastAsia="zh-CN"/>
        </w:rPr>
      </w:pPr>
      <w:bookmarkStart w:id="43" w:name="_Toc21021"/>
      <w:bookmarkStart w:id="44" w:name="_Toc30601"/>
      <w:bookmarkStart w:id="45" w:name="_Toc25895"/>
      <w:bookmarkStart w:id="46" w:name="_Toc521399412"/>
      <w:r>
        <w:rPr>
          <w:rFonts w:hint="eastAsia" w:ascii="宋体" w:hAnsi="宋体" w:eastAsia="宋体" w:cs="Times New Roman"/>
          <w:bCs/>
          <w:sz w:val="21"/>
          <w:szCs w:val="21"/>
          <w:lang w:val="en-US" w:eastAsia="zh-CN"/>
        </w:rPr>
        <w:t>成交价即为合同价，项目完成</w:t>
      </w:r>
      <w:r>
        <w:rPr>
          <w:rFonts w:hint="eastAsia" w:ascii="宋体" w:hAnsi="宋体" w:cs="Times New Roman"/>
          <w:bCs/>
          <w:sz w:val="21"/>
          <w:szCs w:val="21"/>
          <w:lang w:val="en-US" w:eastAsia="zh-CN"/>
        </w:rPr>
        <w:t>并出具书面咨询报告</w:t>
      </w:r>
      <w:r>
        <w:rPr>
          <w:rFonts w:hint="eastAsia" w:ascii="宋体" w:hAnsi="宋体" w:eastAsia="宋体" w:cs="Times New Roman"/>
          <w:bCs/>
          <w:sz w:val="21"/>
          <w:szCs w:val="21"/>
          <w:lang w:val="en-US" w:eastAsia="zh-CN"/>
        </w:rPr>
        <w:t>后当年年底一次性付款。付款前成交人向委托人开具正式发票，否则付款相应顺延（实际支付时间以财政资金下达后时间为准）。</w:t>
      </w:r>
    </w:p>
    <w:p w14:paraId="0F71E51F">
      <w:pPr>
        <w:adjustRightInd w:val="0"/>
        <w:snapToGrid w:val="0"/>
        <w:spacing w:line="360" w:lineRule="auto"/>
        <w:rPr>
          <w:rFonts w:hint="eastAsia" w:ascii="宋体" w:hAnsi="宋体" w:eastAsia="宋体" w:cs="Times New Roman"/>
          <w:b/>
          <w:bCs/>
          <w:sz w:val="21"/>
          <w:szCs w:val="21"/>
        </w:rPr>
      </w:pPr>
      <w:r>
        <w:rPr>
          <w:rFonts w:hint="eastAsia" w:ascii="宋体" w:hAnsi="宋体" w:eastAsia="宋体" w:cs="Times New Roman"/>
          <w:b/>
          <w:bCs/>
          <w:sz w:val="21"/>
          <w:szCs w:val="21"/>
          <w:lang w:val="en-US" w:eastAsia="zh-CN"/>
        </w:rPr>
        <w:t>二</w:t>
      </w:r>
      <w:r>
        <w:rPr>
          <w:rFonts w:hint="eastAsia" w:ascii="宋体" w:hAnsi="宋体" w:eastAsia="宋体" w:cs="Times New Roman"/>
          <w:b/>
          <w:bCs/>
          <w:sz w:val="21"/>
          <w:szCs w:val="21"/>
        </w:rPr>
        <w:t>、知识产权</w:t>
      </w:r>
      <w:bookmarkEnd w:id="42"/>
      <w:bookmarkEnd w:id="43"/>
      <w:bookmarkEnd w:id="44"/>
      <w:bookmarkEnd w:id="45"/>
      <w:bookmarkEnd w:id="46"/>
    </w:p>
    <w:p w14:paraId="7B919683">
      <w:pPr>
        <w:adjustRightInd w:val="0"/>
        <w:snapToGrid w:val="0"/>
        <w:spacing w:after="120" w:afterLines="50" w:line="360" w:lineRule="auto"/>
        <w:ind w:firstLine="420" w:firstLineChars="200"/>
        <w:rPr>
          <w:rFonts w:hint="eastAsia" w:ascii="宋体" w:hAnsi="宋体" w:eastAsia="宋体"/>
          <w:sz w:val="36"/>
          <w:szCs w:val="30"/>
        </w:rPr>
      </w:pPr>
      <w:r>
        <w:rPr>
          <w:rFonts w:hint="eastAsia" w:ascii="宋体" w:hAnsi="宋体" w:eastAsia="宋体" w:cs="Times New Roman"/>
          <w:bCs/>
          <w:sz w:val="21"/>
          <w:szCs w:val="21"/>
        </w:rPr>
        <w:t>采购人在中华人民共和国境内使用成交供应商提供的货物及服务时免受第三方提出的侵犯其专利权或其它知识产权的起诉。如果第三方提出侵权指控，成交供应商应承担由此而引起的一切法律责任和费用。</w:t>
      </w:r>
      <w:r>
        <w:rPr>
          <w:rFonts w:hint="eastAsia" w:ascii="宋体" w:hAnsi="宋体" w:eastAsia="宋体" w:cs="Times New Roman"/>
          <w:bCs/>
          <w:sz w:val="21"/>
          <w:szCs w:val="21"/>
        </w:rPr>
        <w:br w:type="page"/>
      </w:r>
      <w:bookmarkStart w:id="47" w:name="_Toc27244"/>
      <w:bookmarkStart w:id="48" w:name="_Toc27969"/>
      <w:bookmarkStart w:id="49" w:name="_Toc25167"/>
      <w:r>
        <w:rPr>
          <w:rFonts w:hint="eastAsia" w:ascii="宋体" w:hAnsi="宋体" w:eastAsia="宋体" w:cs="Times New Roman"/>
          <w:b/>
          <w:sz w:val="36"/>
          <w:szCs w:val="30"/>
        </w:rPr>
        <w:t>第四篇 谈判程序及方法、评审标准、无效响应和采购终止</w:t>
      </w:r>
      <w:bookmarkEnd w:id="47"/>
      <w:bookmarkEnd w:id="48"/>
      <w:bookmarkEnd w:id="49"/>
    </w:p>
    <w:p w14:paraId="55D6F8BE">
      <w:pPr>
        <w:pStyle w:val="5"/>
        <w:spacing w:before="0" w:after="0" w:line="360" w:lineRule="auto"/>
        <w:rPr>
          <w:rFonts w:hint="eastAsia" w:ascii="宋体" w:hAnsi="宋体" w:eastAsia="宋体" w:cs="宋体"/>
          <w:b/>
          <w:sz w:val="21"/>
          <w:szCs w:val="21"/>
        </w:rPr>
      </w:pPr>
      <w:bookmarkStart w:id="50" w:name="_Toc12770"/>
      <w:bookmarkStart w:id="51" w:name="_Toc16377"/>
      <w:bookmarkStart w:id="52" w:name="_Toc15209"/>
      <w:r>
        <w:rPr>
          <w:rFonts w:hint="eastAsia" w:ascii="宋体" w:hAnsi="宋体" w:eastAsia="宋体" w:cs="宋体"/>
          <w:b/>
          <w:sz w:val="21"/>
          <w:szCs w:val="21"/>
        </w:rPr>
        <w:t>一、谈判程序及方法</w:t>
      </w:r>
      <w:bookmarkEnd w:id="50"/>
      <w:bookmarkEnd w:id="51"/>
      <w:bookmarkEnd w:id="52"/>
    </w:p>
    <w:p w14:paraId="7F2261B8">
      <w:pPr>
        <w:spacing w:line="360" w:lineRule="auto"/>
        <w:ind w:firstLine="420" w:firstLineChars="200"/>
        <w:rPr>
          <w:rFonts w:hint="eastAsia" w:ascii="宋体" w:hAnsi="宋体" w:cs="宋体"/>
          <w:sz w:val="21"/>
          <w:szCs w:val="21"/>
        </w:rPr>
      </w:pPr>
      <w:r>
        <w:rPr>
          <w:rFonts w:hint="eastAsia" w:ascii="宋体" w:hAnsi="宋体" w:cs="宋体"/>
          <w:sz w:val="21"/>
          <w:szCs w:val="21"/>
        </w:rPr>
        <w:t>（一）谈判按谈判文件规定的时间和地点进行，供应商须有法定代表人或其授权代表参加并签到。线下谈判以签到顺序确定，由本项目的谈判小组分别与各供应商进行谈判。</w:t>
      </w:r>
    </w:p>
    <w:p w14:paraId="5F93D798">
      <w:pPr>
        <w:spacing w:line="360" w:lineRule="auto"/>
        <w:ind w:firstLine="420" w:firstLineChars="200"/>
        <w:rPr>
          <w:rFonts w:hint="eastAsia" w:ascii="宋体" w:hAnsi="宋体" w:cs="宋体"/>
          <w:sz w:val="21"/>
          <w:szCs w:val="21"/>
        </w:rPr>
      </w:pPr>
      <w:r>
        <w:rPr>
          <w:rFonts w:hint="eastAsia" w:ascii="宋体" w:hAnsi="宋体" w:cs="宋体"/>
          <w:sz w:val="21"/>
          <w:szCs w:val="21"/>
        </w:rPr>
        <w:t>（二）谈判小组对各供应商的资格条件、响应文件的有效性、完整性和响应程度进行审查。各供应商只有在完全符合要求的前提下，才能参与正式谈判。</w:t>
      </w:r>
    </w:p>
    <w:p w14:paraId="33F315A2">
      <w:pPr>
        <w:spacing w:line="360" w:lineRule="auto"/>
        <w:ind w:firstLine="420" w:firstLineChars="200"/>
        <w:rPr>
          <w:rFonts w:hint="eastAsia" w:ascii="宋体" w:hAnsi="宋体" w:cs="宋体"/>
          <w:sz w:val="21"/>
          <w:szCs w:val="21"/>
        </w:rPr>
      </w:pPr>
      <w:r>
        <w:rPr>
          <w:rFonts w:hint="eastAsia" w:ascii="宋体" w:hAnsi="宋体" w:cs="宋体"/>
          <w:sz w:val="21"/>
          <w:szCs w:val="21"/>
        </w:rPr>
        <w:t>1、资格性检查。依据法律法规和谈判采购文件的规定，对响应文件中的资格证明进行审查，以确定供应商是否具备谈判资格。资格性检查资料表如下：</w:t>
      </w:r>
    </w:p>
    <w:tbl>
      <w:tblPr>
        <w:tblStyle w:val="58"/>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33"/>
        <w:gridCol w:w="3800"/>
        <w:gridCol w:w="4386"/>
      </w:tblGrid>
      <w:tr w14:paraId="323226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00" w:type="dxa"/>
            <w:noWrap w:val="0"/>
            <w:vAlign w:val="center"/>
          </w:tcPr>
          <w:p w14:paraId="5F9A4945">
            <w:pPr>
              <w:jc w:val="center"/>
              <w:rPr>
                <w:rFonts w:ascii="宋体" w:hAnsi="宋体" w:cs="宋体"/>
                <w:b/>
                <w:kern w:val="0"/>
                <w:sz w:val="18"/>
                <w:szCs w:val="18"/>
              </w:rPr>
            </w:pPr>
            <w:r>
              <w:rPr>
                <w:rFonts w:hint="eastAsia" w:ascii="宋体" w:hAnsi="宋体" w:cs="宋体"/>
                <w:b/>
                <w:kern w:val="0"/>
                <w:sz w:val="18"/>
                <w:szCs w:val="18"/>
              </w:rPr>
              <w:t>序号</w:t>
            </w:r>
          </w:p>
        </w:tc>
        <w:tc>
          <w:tcPr>
            <w:tcW w:w="4633" w:type="dxa"/>
            <w:gridSpan w:val="2"/>
            <w:noWrap w:val="0"/>
            <w:vAlign w:val="center"/>
          </w:tcPr>
          <w:p w14:paraId="0789DBDC">
            <w:pPr>
              <w:jc w:val="center"/>
              <w:rPr>
                <w:rFonts w:ascii="宋体" w:hAnsi="宋体" w:cs="宋体"/>
                <w:b/>
                <w:kern w:val="0"/>
                <w:sz w:val="18"/>
                <w:szCs w:val="18"/>
              </w:rPr>
            </w:pPr>
            <w:r>
              <w:rPr>
                <w:rFonts w:hint="eastAsia" w:ascii="宋体" w:hAnsi="宋体" w:cs="宋体"/>
                <w:b/>
                <w:kern w:val="0"/>
                <w:sz w:val="18"/>
                <w:szCs w:val="18"/>
              </w:rPr>
              <w:t>检查因素</w:t>
            </w:r>
          </w:p>
        </w:tc>
        <w:tc>
          <w:tcPr>
            <w:tcW w:w="4386" w:type="dxa"/>
            <w:noWrap w:val="0"/>
            <w:vAlign w:val="center"/>
          </w:tcPr>
          <w:p w14:paraId="616B82F0">
            <w:pPr>
              <w:jc w:val="center"/>
              <w:rPr>
                <w:rFonts w:ascii="宋体" w:hAnsi="宋体" w:cs="宋体"/>
                <w:b/>
                <w:kern w:val="0"/>
                <w:sz w:val="18"/>
                <w:szCs w:val="18"/>
              </w:rPr>
            </w:pPr>
            <w:r>
              <w:rPr>
                <w:rFonts w:hint="eastAsia" w:ascii="宋体" w:hAnsi="宋体" w:cs="宋体"/>
                <w:b/>
                <w:kern w:val="0"/>
                <w:sz w:val="18"/>
                <w:szCs w:val="18"/>
              </w:rPr>
              <w:t>检查内容</w:t>
            </w:r>
          </w:p>
        </w:tc>
      </w:tr>
      <w:tr w14:paraId="19EF09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700" w:type="dxa"/>
            <w:vMerge w:val="restart"/>
            <w:noWrap w:val="0"/>
            <w:vAlign w:val="center"/>
          </w:tcPr>
          <w:p w14:paraId="61E9B29F">
            <w:pPr>
              <w:jc w:val="center"/>
              <w:rPr>
                <w:rFonts w:ascii="宋体" w:hAnsi="宋体" w:cs="宋体"/>
                <w:sz w:val="18"/>
                <w:szCs w:val="18"/>
              </w:rPr>
            </w:pPr>
            <w:r>
              <w:rPr>
                <w:rFonts w:hint="eastAsia" w:ascii="宋体" w:hAnsi="宋体" w:cs="宋体"/>
                <w:sz w:val="18"/>
                <w:szCs w:val="18"/>
              </w:rPr>
              <w:t>1</w:t>
            </w:r>
          </w:p>
        </w:tc>
        <w:tc>
          <w:tcPr>
            <w:tcW w:w="833" w:type="dxa"/>
            <w:vMerge w:val="restart"/>
            <w:noWrap w:val="0"/>
            <w:vAlign w:val="center"/>
          </w:tcPr>
          <w:p w14:paraId="7C85E79B">
            <w:pPr>
              <w:spacing w:line="360" w:lineRule="auto"/>
              <w:rPr>
                <w:rFonts w:hint="eastAsia" w:ascii="宋体" w:hAnsi="宋体" w:cs="宋体"/>
                <w:sz w:val="18"/>
                <w:szCs w:val="18"/>
                <w:lang w:val="zh-CN"/>
              </w:rPr>
            </w:pPr>
            <w:r>
              <w:rPr>
                <w:rFonts w:hint="eastAsia" w:ascii="宋体" w:hAnsi="宋体" w:cs="宋体"/>
                <w:sz w:val="18"/>
                <w:szCs w:val="18"/>
              </w:rPr>
              <w:t>供应商</w:t>
            </w:r>
            <w:r>
              <w:rPr>
                <w:rFonts w:hint="eastAsia" w:ascii="宋体" w:hAnsi="宋体" w:cs="宋体"/>
                <w:sz w:val="18"/>
                <w:szCs w:val="18"/>
                <w:lang w:val="zh-CN"/>
              </w:rPr>
              <w:t>应符合的基本资格条件</w:t>
            </w:r>
          </w:p>
        </w:tc>
        <w:tc>
          <w:tcPr>
            <w:tcW w:w="3800" w:type="dxa"/>
            <w:noWrap w:val="0"/>
            <w:vAlign w:val="center"/>
          </w:tcPr>
          <w:p w14:paraId="13A99AC1">
            <w:pPr>
              <w:spacing w:line="360" w:lineRule="auto"/>
              <w:rPr>
                <w:rFonts w:hint="eastAsia" w:ascii="宋体" w:hAnsi="宋体" w:cs="宋体"/>
                <w:sz w:val="18"/>
                <w:szCs w:val="18"/>
              </w:rPr>
            </w:pPr>
            <w:r>
              <w:rPr>
                <w:rFonts w:hint="eastAsia" w:ascii="宋体" w:hAnsi="宋体" w:cs="宋体"/>
                <w:sz w:val="18"/>
                <w:szCs w:val="18"/>
              </w:rPr>
              <w:t>（1）具有独立承担民事责任的能力</w:t>
            </w:r>
          </w:p>
        </w:tc>
        <w:tc>
          <w:tcPr>
            <w:tcW w:w="4386" w:type="dxa"/>
            <w:noWrap w:val="0"/>
            <w:vAlign w:val="center"/>
          </w:tcPr>
          <w:p w14:paraId="515CFD21">
            <w:pPr>
              <w:spacing w:line="360" w:lineRule="auto"/>
              <w:rPr>
                <w:rFonts w:hint="eastAsia" w:ascii="宋体" w:hAnsi="宋体" w:cs="宋体"/>
                <w:sz w:val="18"/>
                <w:szCs w:val="18"/>
              </w:rPr>
            </w:pPr>
            <w:r>
              <w:rPr>
                <w:rFonts w:hint="eastAsia" w:ascii="宋体" w:hAnsi="宋体" w:cs="宋体"/>
                <w:sz w:val="18"/>
                <w:szCs w:val="18"/>
              </w:rPr>
              <w:t>1.供应商法人营业执照（副本）或事业单位法人证书（副本）（复印件加盖公章）</w:t>
            </w:r>
          </w:p>
          <w:p w14:paraId="2B0F9630">
            <w:pPr>
              <w:spacing w:line="360" w:lineRule="auto"/>
              <w:rPr>
                <w:rFonts w:hint="eastAsia" w:ascii="宋体" w:hAnsi="宋体" w:cs="宋体"/>
                <w:sz w:val="18"/>
                <w:szCs w:val="18"/>
              </w:rPr>
            </w:pPr>
            <w:r>
              <w:rPr>
                <w:rFonts w:hint="eastAsia" w:ascii="宋体" w:hAnsi="宋体" w:cs="宋体"/>
                <w:sz w:val="18"/>
                <w:szCs w:val="18"/>
              </w:rPr>
              <w:t>2.供应商法定代表人身份证明和法定代表人授权委托书（原件）。</w:t>
            </w:r>
          </w:p>
          <w:p w14:paraId="7F2F8C50">
            <w:pPr>
              <w:spacing w:line="360" w:lineRule="auto"/>
              <w:rPr>
                <w:rFonts w:ascii="宋体" w:hAnsi="宋体" w:cs="宋体"/>
                <w:sz w:val="18"/>
                <w:szCs w:val="18"/>
              </w:rPr>
            </w:pPr>
            <w:r>
              <w:rPr>
                <w:rFonts w:hint="eastAsia" w:ascii="宋体" w:hAnsi="宋体" w:cs="宋体"/>
                <w:sz w:val="18"/>
                <w:szCs w:val="18"/>
              </w:rPr>
              <w:t>（不具有独立法人的分公司、办事处等分支机构不能参加谈判）</w:t>
            </w:r>
          </w:p>
        </w:tc>
      </w:tr>
      <w:tr w14:paraId="7BEF76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700" w:type="dxa"/>
            <w:vMerge w:val="continue"/>
            <w:noWrap w:val="0"/>
            <w:vAlign w:val="center"/>
          </w:tcPr>
          <w:p w14:paraId="13FF1751">
            <w:pPr>
              <w:jc w:val="center"/>
              <w:rPr>
                <w:rFonts w:ascii="宋体" w:hAnsi="宋体" w:cs="宋体"/>
                <w:sz w:val="18"/>
                <w:szCs w:val="18"/>
              </w:rPr>
            </w:pPr>
          </w:p>
        </w:tc>
        <w:tc>
          <w:tcPr>
            <w:tcW w:w="833" w:type="dxa"/>
            <w:vMerge w:val="continue"/>
            <w:noWrap w:val="0"/>
            <w:vAlign w:val="center"/>
          </w:tcPr>
          <w:p w14:paraId="476E89FB">
            <w:pPr>
              <w:spacing w:line="360" w:lineRule="auto"/>
              <w:rPr>
                <w:rFonts w:hint="eastAsia" w:ascii="宋体" w:hAnsi="宋体" w:cs="宋体"/>
                <w:sz w:val="18"/>
                <w:szCs w:val="18"/>
                <w:lang w:val="zh-CN"/>
              </w:rPr>
            </w:pPr>
          </w:p>
        </w:tc>
        <w:tc>
          <w:tcPr>
            <w:tcW w:w="3800" w:type="dxa"/>
            <w:noWrap w:val="0"/>
            <w:vAlign w:val="center"/>
          </w:tcPr>
          <w:p w14:paraId="0FE13B95">
            <w:pPr>
              <w:spacing w:line="240" w:lineRule="auto"/>
              <w:jc w:val="both"/>
              <w:rPr>
                <w:rFonts w:hint="eastAsia" w:ascii="宋体" w:hAnsi="宋体" w:cs="宋体"/>
                <w:sz w:val="18"/>
                <w:szCs w:val="18"/>
              </w:rPr>
            </w:pPr>
            <w:r>
              <w:rPr>
                <w:rFonts w:hint="eastAsia" w:ascii="宋体" w:hAnsi="宋体" w:cs="宋体"/>
                <w:sz w:val="18"/>
                <w:szCs w:val="18"/>
                <w:lang w:val="zh-CN"/>
              </w:rPr>
              <w:t>（2）</w:t>
            </w:r>
            <w:r>
              <w:rPr>
                <w:rFonts w:hint="eastAsia" w:ascii="宋体" w:hAnsi="宋体" w:cs="宋体"/>
                <w:sz w:val="18"/>
                <w:szCs w:val="18"/>
              </w:rPr>
              <w:t>具有良好的商业信誉和健全的财务会计制度</w:t>
            </w:r>
          </w:p>
        </w:tc>
        <w:tc>
          <w:tcPr>
            <w:tcW w:w="4386" w:type="dxa"/>
            <w:noWrap w:val="0"/>
            <w:vAlign w:val="center"/>
          </w:tcPr>
          <w:p w14:paraId="31CE759E">
            <w:pPr>
              <w:spacing w:line="240" w:lineRule="auto"/>
              <w:jc w:val="both"/>
              <w:rPr>
                <w:rFonts w:hint="eastAsia" w:ascii="宋体" w:hAnsi="宋体" w:cs="宋体"/>
                <w:sz w:val="18"/>
                <w:szCs w:val="18"/>
              </w:rPr>
            </w:pPr>
            <w:r>
              <w:rPr>
                <w:rFonts w:hint="eastAsia" w:ascii="宋体" w:hAnsi="宋体" w:cs="宋体"/>
                <w:sz w:val="18"/>
                <w:szCs w:val="18"/>
              </w:rPr>
              <w:t>1.</w:t>
            </w:r>
            <w:r>
              <w:rPr>
                <w:rFonts w:hint="eastAsia" w:ascii="宋体" w:hAnsi="宋体" w:cs="宋体"/>
                <w:sz w:val="18"/>
                <w:szCs w:val="18"/>
                <w:lang w:val="en-US" w:eastAsia="zh-CN"/>
              </w:rPr>
              <w:t>上</w:t>
            </w:r>
            <w:r>
              <w:rPr>
                <w:rFonts w:hint="eastAsia" w:ascii="宋体" w:hAnsi="宋体" w:cs="宋体"/>
                <w:sz w:val="18"/>
                <w:szCs w:val="18"/>
              </w:rPr>
              <w:t>一年度财务报告（复印件加盖公章，成立不满一年无需提供）</w:t>
            </w:r>
          </w:p>
        </w:tc>
      </w:tr>
      <w:tr w14:paraId="0EFDA7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700" w:type="dxa"/>
            <w:vMerge w:val="continue"/>
            <w:noWrap w:val="0"/>
            <w:vAlign w:val="center"/>
          </w:tcPr>
          <w:p w14:paraId="53475F00">
            <w:pPr>
              <w:jc w:val="center"/>
              <w:rPr>
                <w:rFonts w:ascii="宋体" w:hAnsi="宋体" w:cs="宋体"/>
                <w:sz w:val="18"/>
                <w:szCs w:val="18"/>
              </w:rPr>
            </w:pPr>
          </w:p>
        </w:tc>
        <w:tc>
          <w:tcPr>
            <w:tcW w:w="833" w:type="dxa"/>
            <w:vMerge w:val="continue"/>
            <w:noWrap w:val="0"/>
            <w:vAlign w:val="center"/>
          </w:tcPr>
          <w:p w14:paraId="6113A387">
            <w:pPr>
              <w:spacing w:line="360" w:lineRule="auto"/>
              <w:rPr>
                <w:rFonts w:hint="eastAsia" w:ascii="宋体" w:hAnsi="宋体" w:cs="宋体"/>
                <w:sz w:val="18"/>
                <w:szCs w:val="18"/>
                <w:lang w:val="zh-CN"/>
              </w:rPr>
            </w:pPr>
          </w:p>
        </w:tc>
        <w:tc>
          <w:tcPr>
            <w:tcW w:w="3800" w:type="dxa"/>
            <w:noWrap w:val="0"/>
            <w:vAlign w:val="center"/>
          </w:tcPr>
          <w:p w14:paraId="304CB70C">
            <w:pPr>
              <w:spacing w:line="240" w:lineRule="auto"/>
              <w:jc w:val="both"/>
              <w:rPr>
                <w:rFonts w:hint="eastAsia" w:ascii="宋体" w:hAnsi="宋体" w:cs="宋体"/>
                <w:sz w:val="18"/>
                <w:szCs w:val="18"/>
                <w:lang w:val="zh-CN"/>
              </w:rPr>
            </w:pPr>
            <w:r>
              <w:rPr>
                <w:rFonts w:hint="eastAsia" w:ascii="宋体" w:hAnsi="宋体" w:cs="宋体"/>
                <w:sz w:val="18"/>
                <w:szCs w:val="18"/>
                <w:lang w:val="zh-CN"/>
              </w:rPr>
              <w:t>（3）具有履行合同所必需的设备和专业技术能力</w:t>
            </w:r>
          </w:p>
        </w:tc>
        <w:tc>
          <w:tcPr>
            <w:tcW w:w="4386" w:type="dxa"/>
            <w:noWrap w:val="0"/>
            <w:vAlign w:val="center"/>
          </w:tcPr>
          <w:p w14:paraId="10C718C5">
            <w:pPr>
              <w:spacing w:line="240" w:lineRule="auto"/>
              <w:jc w:val="both"/>
              <w:rPr>
                <w:rFonts w:hint="eastAsia" w:ascii="宋体" w:hAnsi="宋体" w:cs="宋体"/>
                <w:sz w:val="18"/>
                <w:szCs w:val="18"/>
              </w:rPr>
            </w:pPr>
            <w:r>
              <w:rPr>
                <w:rFonts w:hint="eastAsia" w:ascii="宋体" w:hAnsi="宋体" w:cs="宋体"/>
                <w:sz w:val="18"/>
                <w:szCs w:val="18"/>
              </w:rPr>
              <w:t>供应商提供诚信声明（原件）</w:t>
            </w:r>
          </w:p>
        </w:tc>
      </w:tr>
      <w:tr w14:paraId="14501F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700" w:type="dxa"/>
            <w:vMerge w:val="continue"/>
            <w:noWrap w:val="0"/>
            <w:vAlign w:val="center"/>
          </w:tcPr>
          <w:p w14:paraId="346BE675">
            <w:pPr>
              <w:jc w:val="center"/>
              <w:rPr>
                <w:rFonts w:ascii="宋体" w:hAnsi="宋体" w:cs="宋体"/>
                <w:sz w:val="18"/>
                <w:szCs w:val="18"/>
              </w:rPr>
            </w:pPr>
          </w:p>
        </w:tc>
        <w:tc>
          <w:tcPr>
            <w:tcW w:w="833" w:type="dxa"/>
            <w:vMerge w:val="continue"/>
            <w:noWrap w:val="0"/>
            <w:vAlign w:val="center"/>
          </w:tcPr>
          <w:p w14:paraId="5B09B6F2">
            <w:pPr>
              <w:spacing w:line="360" w:lineRule="auto"/>
              <w:rPr>
                <w:rFonts w:hint="eastAsia" w:ascii="宋体" w:hAnsi="宋体" w:cs="宋体"/>
                <w:sz w:val="18"/>
                <w:szCs w:val="18"/>
                <w:lang w:val="zh-CN"/>
              </w:rPr>
            </w:pPr>
          </w:p>
        </w:tc>
        <w:tc>
          <w:tcPr>
            <w:tcW w:w="3800" w:type="dxa"/>
            <w:noWrap w:val="0"/>
            <w:vAlign w:val="center"/>
          </w:tcPr>
          <w:p w14:paraId="4A7860A8">
            <w:pPr>
              <w:spacing w:line="360" w:lineRule="auto"/>
              <w:rPr>
                <w:rFonts w:hint="eastAsia" w:ascii="宋体" w:hAnsi="宋体" w:cs="宋体"/>
                <w:sz w:val="18"/>
                <w:szCs w:val="18"/>
                <w:lang w:val="zh-CN"/>
              </w:rPr>
            </w:pPr>
            <w:r>
              <w:rPr>
                <w:rFonts w:hint="eastAsia" w:ascii="宋体" w:hAnsi="宋体" w:cs="宋体"/>
                <w:sz w:val="18"/>
                <w:szCs w:val="18"/>
                <w:lang w:val="zh-CN"/>
              </w:rPr>
              <w:t>（4）有依法缴纳税收和社会保障金的良好记录</w:t>
            </w:r>
          </w:p>
        </w:tc>
        <w:tc>
          <w:tcPr>
            <w:tcW w:w="4386" w:type="dxa"/>
            <w:noWrap w:val="0"/>
            <w:vAlign w:val="center"/>
          </w:tcPr>
          <w:p w14:paraId="3FE84FAA">
            <w:pPr>
              <w:spacing w:line="360" w:lineRule="auto"/>
              <w:rPr>
                <w:rFonts w:hint="eastAsia" w:ascii="宋体" w:hAnsi="宋体" w:eastAsia="宋体" w:cs="宋体"/>
                <w:sz w:val="18"/>
                <w:szCs w:val="18"/>
                <w:lang w:eastAsia="zh-CN"/>
              </w:rPr>
            </w:pPr>
            <w:r>
              <w:rPr>
                <w:rFonts w:hint="eastAsia" w:ascii="宋体" w:hAnsi="宋体" w:cs="宋体"/>
                <w:sz w:val="18"/>
                <w:szCs w:val="18"/>
              </w:rPr>
              <w:t>1.近三个月内任意一个月依法纳税的缴款凭证（复印件加盖投标人公章）（新成立企业距投标截止日不足30日的，可不提供社保证明材料，以企业营业执照成立日期为准</w:t>
            </w:r>
            <w:r>
              <w:rPr>
                <w:rFonts w:hint="eastAsia" w:ascii="宋体" w:hAnsi="宋体" w:cs="宋体"/>
                <w:sz w:val="18"/>
                <w:szCs w:val="18"/>
                <w:lang w:eastAsia="zh-CN"/>
              </w:rPr>
              <w:t>。）</w:t>
            </w:r>
          </w:p>
          <w:p w14:paraId="6D22972D">
            <w:pPr>
              <w:spacing w:line="360" w:lineRule="auto"/>
              <w:rPr>
                <w:rFonts w:hint="eastAsia" w:ascii="宋体" w:hAnsi="宋体" w:eastAsia="宋体" w:cs="宋体"/>
                <w:sz w:val="18"/>
                <w:szCs w:val="18"/>
                <w:lang w:eastAsia="zh-CN"/>
              </w:rPr>
            </w:pPr>
            <w:r>
              <w:rPr>
                <w:rFonts w:hint="eastAsia" w:ascii="宋体" w:hAnsi="宋体" w:cs="宋体"/>
                <w:sz w:val="18"/>
                <w:szCs w:val="18"/>
              </w:rPr>
              <w:t>2.近三个月内任意一个月缴纳职工社会保障资金的缴款凭证或缴款证明)（新成立企业距投标截止日不足30日的，可不提供社保证明材料，以企业营业执照成立日期为准</w:t>
            </w:r>
            <w:r>
              <w:rPr>
                <w:rFonts w:hint="eastAsia" w:ascii="宋体" w:hAnsi="宋体" w:cs="宋体"/>
                <w:sz w:val="18"/>
                <w:szCs w:val="18"/>
                <w:lang w:eastAsia="zh-CN"/>
              </w:rPr>
              <w:t>。）</w:t>
            </w:r>
          </w:p>
          <w:p w14:paraId="05F53E4E">
            <w:pPr>
              <w:spacing w:line="360" w:lineRule="auto"/>
              <w:rPr>
                <w:sz w:val="18"/>
                <w:szCs w:val="18"/>
              </w:rPr>
            </w:pPr>
            <w:r>
              <w:rPr>
                <w:rFonts w:hint="eastAsia" w:ascii="宋体" w:hAnsi="宋体" w:cs="宋体"/>
                <w:sz w:val="18"/>
                <w:szCs w:val="18"/>
              </w:rPr>
              <w:t>（投标人依法享受缓缴、免缴的提供相关证明材料）</w:t>
            </w:r>
          </w:p>
        </w:tc>
      </w:tr>
      <w:tr w14:paraId="536760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5" w:hRule="atLeast"/>
        </w:trPr>
        <w:tc>
          <w:tcPr>
            <w:tcW w:w="700" w:type="dxa"/>
            <w:vMerge w:val="continue"/>
            <w:noWrap w:val="0"/>
            <w:vAlign w:val="center"/>
          </w:tcPr>
          <w:p w14:paraId="5B4B428F">
            <w:pPr>
              <w:jc w:val="center"/>
              <w:rPr>
                <w:rFonts w:ascii="宋体" w:hAnsi="宋体" w:cs="宋体"/>
                <w:sz w:val="18"/>
                <w:szCs w:val="18"/>
              </w:rPr>
            </w:pPr>
          </w:p>
        </w:tc>
        <w:tc>
          <w:tcPr>
            <w:tcW w:w="833" w:type="dxa"/>
            <w:vMerge w:val="continue"/>
            <w:noWrap w:val="0"/>
            <w:vAlign w:val="center"/>
          </w:tcPr>
          <w:p w14:paraId="283480F6">
            <w:pPr>
              <w:spacing w:line="360" w:lineRule="auto"/>
              <w:rPr>
                <w:rFonts w:hint="eastAsia" w:ascii="宋体" w:hAnsi="宋体" w:cs="宋体"/>
                <w:sz w:val="18"/>
                <w:szCs w:val="18"/>
                <w:lang w:val="zh-CN"/>
              </w:rPr>
            </w:pPr>
          </w:p>
        </w:tc>
        <w:tc>
          <w:tcPr>
            <w:tcW w:w="3800" w:type="dxa"/>
            <w:noWrap w:val="0"/>
            <w:vAlign w:val="center"/>
          </w:tcPr>
          <w:p w14:paraId="14F321D6">
            <w:pPr>
              <w:spacing w:line="360" w:lineRule="auto"/>
              <w:rPr>
                <w:rFonts w:hint="eastAsia" w:ascii="宋体" w:hAnsi="宋体" w:cs="宋体"/>
                <w:sz w:val="18"/>
                <w:szCs w:val="18"/>
                <w:lang w:val="zh-CN"/>
              </w:rPr>
            </w:pPr>
            <w:r>
              <w:rPr>
                <w:rFonts w:hint="eastAsia" w:ascii="宋体" w:hAnsi="宋体" w:cs="宋体"/>
                <w:sz w:val="18"/>
                <w:szCs w:val="18"/>
              </w:rPr>
              <w:t>（5）参加政府采购活动前三年内，在经营活动中没有重大违法记录</w:t>
            </w:r>
          </w:p>
        </w:tc>
        <w:tc>
          <w:tcPr>
            <w:tcW w:w="4386" w:type="dxa"/>
            <w:noWrap w:val="0"/>
            <w:vAlign w:val="center"/>
          </w:tcPr>
          <w:p w14:paraId="7F78F2CB">
            <w:pPr>
              <w:spacing w:line="360" w:lineRule="auto"/>
              <w:rPr>
                <w:rFonts w:hint="eastAsia" w:ascii="宋体" w:hAnsi="宋体" w:cs="宋体"/>
                <w:sz w:val="18"/>
                <w:szCs w:val="18"/>
              </w:rPr>
            </w:pPr>
            <w:r>
              <w:rPr>
                <w:rFonts w:hint="eastAsia" w:ascii="宋体" w:hAnsi="宋体" w:cs="宋体"/>
                <w:sz w:val="18"/>
                <w:szCs w:val="18"/>
              </w:rPr>
              <w:t>1.供应商提供信用中国网站（www.creditchina.gov.cn）以下内容的查询结果网页打印件并加盖供应商公章（查询信息为供应商名称）</w:t>
            </w:r>
          </w:p>
          <w:p w14:paraId="0D79D2D4">
            <w:pPr>
              <w:spacing w:line="360" w:lineRule="auto"/>
              <w:rPr>
                <w:rFonts w:hint="eastAsia" w:ascii="宋体" w:hAnsi="宋体" w:cs="宋体"/>
                <w:sz w:val="18"/>
                <w:szCs w:val="18"/>
              </w:rPr>
            </w:pPr>
            <w:r>
              <w:rPr>
                <w:rFonts w:hint="eastAsia" w:ascii="宋体" w:hAnsi="宋体" w:cs="宋体"/>
                <w:sz w:val="18"/>
                <w:szCs w:val="18"/>
              </w:rPr>
              <w:t>1.1“信用信息”查询结果；</w:t>
            </w:r>
          </w:p>
          <w:p w14:paraId="55879625">
            <w:pPr>
              <w:spacing w:line="360" w:lineRule="auto"/>
              <w:rPr>
                <w:rFonts w:hint="eastAsia" w:ascii="宋体" w:hAnsi="宋体" w:cs="宋体"/>
                <w:sz w:val="18"/>
                <w:szCs w:val="18"/>
              </w:rPr>
            </w:pPr>
            <w:r>
              <w:rPr>
                <w:rFonts w:hint="eastAsia" w:ascii="宋体" w:hAnsi="宋体" w:cs="宋体"/>
                <w:sz w:val="18"/>
                <w:szCs w:val="18"/>
              </w:rPr>
              <w:t>1.2“失信被执行人”查询结果；</w:t>
            </w:r>
          </w:p>
          <w:p w14:paraId="40E5B92A">
            <w:pPr>
              <w:spacing w:line="360" w:lineRule="auto"/>
              <w:rPr>
                <w:rFonts w:hint="eastAsia" w:ascii="宋体" w:hAnsi="宋体" w:cs="宋体"/>
                <w:sz w:val="18"/>
                <w:szCs w:val="18"/>
              </w:rPr>
            </w:pPr>
            <w:r>
              <w:rPr>
                <w:rFonts w:hint="eastAsia" w:ascii="宋体" w:hAnsi="宋体" w:cs="宋体"/>
                <w:sz w:val="18"/>
                <w:szCs w:val="18"/>
              </w:rPr>
              <w:t>1.3“重大税收违法案件当事人名单”查询结果；</w:t>
            </w:r>
          </w:p>
          <w:p w14:paraId="428ACD1A">
            <w:pPr>
              <w:spacing w:line="360" w:lineRule="auto"/>
              <w:rPr>
                <w:rFonts w:hint="eastAsia" w:ascii="宋体" w:hAnsi="宋体" w:cs="宋体"/>
                <w:sz w:val="18"/>
                <w:szCs w:val="18"/>
              </w:rPr>
            </w:pPr>
            <w:r>
              <w:rPr>
                <w:rFonts w:hint="eastAsia" w:ascii="宋体" w:hAnsi="宋体" w:cs="宋体"/>
                <w:sz w:val="18"/>
                <w:szCs w:val="18"/>
              </w:rPr>
              <w:t>2. 中国政府采购网（www.ccgp.gov.cn）“政府采购严重违法失信行为记录名单”查询结果，提供查询结果网页打印件并加盖供应商公章</w:t>
            </w:r>
          </w:p>
          <w:p w14:paraId="5320E451">
            <w:pPr>
              <w:spacing w:line="360" w:lineRule="auto"/>
              <w:rPr>
                <w:rFonts w:ascii="宋体" w:hAnsi="宋体" w:cs="宋体"/>
                <w:sz w:val="18"/>
                <w:szCs w:val="18"/>
              </w:rPr>
            </w:pPr>
            <w:r>
              <w:rPr>
                <w:rFonts w:hint="eastAsia" w:ascii="宋体" w:hAnsi="宋体" w:cs="宋体"/>
                <w:sz w:val="18"/>
                <w:szCs w:val="18"/>
              </w:rPr>
              <w:t>3.以上查询时间为本项目采购公告发布之日起至响应文件递交截止时间前。（网页截图或打印件应显示查询时间；若未显示查询时间，供应商应自行标注查询时间）</w:t>
            </w:r>
          </w:p>
        </w:tc>
      </w:tr>
      <w:tr w14:paraId="1B17D0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rPr>
        <w:tc>
          <w:tcPr>
            <w:tcW w:w="700" w:type="dxa"/>
            <w:noWrap w:val="0"/>
            <w:vAlign w:val="center"/>
          </w:tcPr>
          <w:p w14:paraId="36BB5850">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4633" w:type="dxa"/>
            <w:gridSpan w:val="2"/>
            <w:noWrap w:val="0"/>
            <w:vAlign w:val="center"/>
          </w:tcPr>
          <w:p w14:paraId="6C9006D9">
            <w:pPr>
              <w:spacing w:line="360" w:lineRule="auto"/>
              <w:jc w:val="center"/>
              <w:rPr>
                <w:rFonts w:hint="eastAsia" w:ascii="宋体" w:hAnsi="宋体" w:cs="宋体"/>
                <w:sz w:val="18"/>
                <w:szCs w:val="18"/>
              </w:rPr>
            </w:pPr>
            <w:r>
              <w:rPr>
                <w:rFonts w:hint="eastAsia" w:ascii="宋体" w:hAnsi="宋体" w:eastAsia="宋体" w:cs="宋体"/>
                <w:sz w:val="18"/>
                <w:szCs w:val="18"/>
                <w:lang w:val="zh-CN"/>
              </w:rPr>
              <w:t>特定资格条件</w:t>
            </w:r>
          </w:p>
        </w:tc>
        <w:tc>
          <w:tcPr>
            <w:tcW w:w="4386" w:type="dxa"/>
            <w:noWrap w:val="0"/>
            <w:vAlign w:val="center"/>
          </w:tcPr>
          <w:p w14:paraId="0CDE4232">
            <w:pPr>
              <w:spacing w:line="360" w:lineRule="auto"/>
              <w:rPr>
                <w:rFonts w:hint="eastAsia" w:ascii="宋体" w:hAnsi="宋体" w:cs="宋体"/>
                <w:sz w:val="18"/>
                <w:szCs w:val="18"/>
              </w:rPr>
            </w:pPr>
            <w:r>
              <w:rPr>
                <w:rFonts w:hint="eastAsia" w:ascii="宋体" w:hAnsi="宋体" w:cs="宋体"/>
                <w:sz w:val="18"/>
                <w:szCs w:val="18"/>
                <w:lang w:val="en-US" w:eastAsia="zh-CN"/>
              </w:rPr>
              <w:t>1.拟派项目负责人具备一级注册造价工程师资格(安装工程)，提供证书复印件加盖公章以及供应商为其缴纳的投标截止日前1个月的养老保险缴费证明（新成立企业距投标截止日不足30日的，可不提供社保证明材料，以企业营业执照成立日期为准），否则相关人员不予认可。</w:t>
            </w:r>
          </w:p>
        </w:tc>
      </w:tr>
    </w:tbl>
    <w:p w14:paraId="6E9DF3E3">
      <w:pPr>
        <w:spacing w:line="360" w:lineRule="auto"/>
        <w:ind w:firstLine="420" w:firstLineChars="200"/>
        <w:rPr>
          <w:rFonts w:hint="eastAsia" w:ascii="宋体" w:hAnsi="宋体" w:cs="宋体"/>
          <w:sz w:val="21"/>
          <w:szCs w:val="21"/>
        </w:rPr>
      </w:pPr>
      <w:r>
        <w:rPr>
          <w:rFonts w:hint="eastAsia" w:ascii="宋体" w:hAnsi="宋体" w:cs="宋体"/>
          <w:sz w:val="21"/>
          <w:szCs w:val="21"/>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w:t>
      </w:r>
    </w:p>
    <w:p w14:paraId="2BACCB49">
      <w:pPr>
        <w:spacing w:line="360" w:lineRule="auto"/>
        <w:ind w:firstLine="420" w:firstLineChars="200"/>
        <w:rPr>
          <w:rFonts w:hint="eastAsia" w:ascii="宋体" w:hAnsi="宋体" w:cs="宋体"/>
          <w:sz w:val="21"/>
          <w:szCs w:val="21"/>
        </w:rPr>
      </w:pPr>
      <w:r>
        <w:rPr>
          <w:rFonts w:hint="eastAsia" w:ascii="宋体" w:hAnsi="宋体" w:cs="宋体"/>
          <w:sz w:val="21"/>
          <w:szCs w:val="21"/>
        </w:rPr>
        <w:t>2、符合性检查。依据谈判采购文件的规定，从响应文件的有效性、完整性和对谈判采购文件的响应程度进行审查，以确定是否对谈判采购文件的实质性要求作出响应。符合性检查资料表如下：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14:paraId="0965F1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14:paraId="62AA8087">
            <w:pPr>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0"/>
            <w:vAlign w:val="center"/>
          </w:tcPr>
          <w:p w14:paraId="6D94E825">
            <w:pPr>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0"/>
            <w:vAlign w:val="center"/>
          </w:tcPr>
          <w:p w14:paraId="0928CFD9">
            <w:pPr>
              <w:jc w:val="center"/>
              <w:rPr>
                <w:rFonts w:ascii="宋体" w:hAnsi="宋体" w:cs="宋体"/>
                <w:b/>
                <w:kern w:val="0"/>
                <w:sz w:val="21"/>
                <w:szCs w:val="21"/>
              </w:rPr>
            </w:pPr>
            <w:r>
              <w:rPr>
                <w:rFonts w:hint="eastAsia" w:ascii="宋体" w:hAnsi="宋体" w:cs="宋体"/>
                <w:b/>
                <w:kern w:val="0"/>
                <w:sz w:val="21"/>
                <w:szCs w:val="21"/>
              </w:rPr>
              <w:t>评审标准</w:t>
            </w:r>
          </w:p>
        </w:tc>
      </w:tr>
      <w:tr w14:paraId="38277D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noWrap w:val="0"/>
            <w:vAlign w:val="center"/>
          </w:tcPr>
          <w:p w14:paraId="59F26E2B">
            <w:pPr>
              <w:spacing w:line="360" w:lineRule="auto"/>
              <w:jc w:val="center"/>
              <w:rPr>
                <w:rFonts w:ascii="宋体" w:hAnsi="宋体" w:cs="宋体"/>
                <w:kern w:val="0"/>
                <w:sz w:val="18"/>
                <w:szCs w:val="18"/>
              </w:rPr>
            </w:pPr>
            <w:r>
              <w:rPr>
                <w:rFonts w:hint="eastAsia" w:ascii="宋体" w:hAnsi="宋体" w:cs="宋体"/>
                <w:kern w:val="0"/>
                <w:sz w:val="18"/>
                <w:szCs w:val="18"/>
              </w:rPr>
              <w:t>1</w:t>
            </w:r>
          </w:p>
        </w:tc>
        <w:tc>
          <w:tcPr>
            <w:tcW w:w="1560" w:type="dxa"/>
            <w:vMerge w:val="restart"/>
            <w:noWrap w:val="0"/>
            <w:vAlign w:val="center"/>
          </w:tcPr>
          <w:p w14:paraId="456ACA84">
            <w:pPr>
              <w:spacing w:line="360" w:lineRule="auto"/>
              <w:rPr>
                <w:rFonts w:ascii="宋体" w:hAnsi="宋体" w:cs="宋体"/>
                <w:kern w:val="0"/>
                <w:sz w:val="18"/>
                <w:szCs w:val="18"/>
              </w:rPr>
            </w:pPr>
            <w:r>
              <w:rPr>
                <w:rFonts w:hint="eastAsia" w:ascii="宋体" w:hAnsi="宋体" w:cs="宋体"/>
                <w:kern w:val="0"/>
                <w:sz w:val="18"/>
                <w:szCs w:val="18"/>
              </w:rPr>
              <w:t>有效性审查</w:t>
            </w:r>
          </w:p>
        </w:tc>
        <w:tc>
          <w:tcPr>
            <w:tcW w:w="1984" w:type="dxa"/>
            <w:noWrap w:val="0"/>
            <w:vAlign w:val="center"/>
          </w:tcPr>
          <w:p w14:paraId="6F756B66">
            <w:pPr>
              <w:spacing w:line="240" w:lineRule="auto"/>
              <w:rPr>
                <w:rFonts w:ascii="宋体" w:hAnsi="宋体" w:cs="宋体"/>
                <w:kern w:val="0"/>
                <w:sz w:val="18"/>
                <w:szCs w:val="18"/>
              </w:rPr>
            </w:pPr>
            <w:r>
              <w:rPr>
                <w:rFonts w:hint="eastAsia" w:ascii="宋体" w:hAnsi="宋体" w:cs="宋体"/>
                <w:sz w:val="18"/>
                <w:szCs w:val="18"/>
              </w:rPr>
              <w:t>响应文件签署</w:t>
            </w:r>
          </w:p>
        </w:tc>
        <w:tc>
          <w:tcPr>
            <w:tcW w:w="5409" w:type="dxa"/>
            <w:noWrap w:val="0"/>
            <w:vAlign w:val="center"/>
          </w:tcPr>
          <w:p w14:paraId="6FC3049A">
            <w:pPr>
              <w:spacing w:line="240" w:lineRule="auto"/>
              <w:rPr>
                <w:rFonts w:ascii="宋体" w:hAnsi="宋体" w:cs="宋体"/>
                <w:kern w:val="0"/>
                <w:sz w:val="18"/>
                <w:szCs w:val="18"/>
              </w:rPr>
            </w:pPr>
            <w:r>
              <w:rPr>
                <w:rFonts w:hint="eastAsia" w:ascii="宋体" w:hAnsi="宋体" w:cs="宋体"/>
                <w:sz w:val="18"/>
                <w:szCs w:val="18"/>
              </w:rPr>
              <w:t>响应文件上法定代表人或其授权代表人的签字齐全。</w:t>
            </w:r>
          </w:p>
        </w:tc>
      </w:tr>
      <w:tr w14:paraId="0742E0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noWrap w:val="0"/>
            <w:vAlign w:val="center"/>
          </w:tcPr>
          <w:p w14:paraId="27A4F0FD">
            <w:pPr>
              <w:spacing w:line="360" w:lineRule="auto"/>
              <w:jc w:val="center"/>
              <w:rPr>
                <w:rFonts w:ascii="宋体" w:hAnsi="宋体" w:cs="宋体"/>
                <w:kern w:val="0"/>
                <w:sz w:val="18"/>
                <w:szCs w:val="18"/>
              </w:rPr>
            </w:pPr>
          </w:p>
        </w:tc>
        <w:tc>
          <w:tcPr>
            <w:tcW w:w="1560" w:type="dxa"/>
            <w:vMerge w:val="continue"/>
            <w:noWrap w:val="0"/>
            <w:vAlign w:val="center"/>
          </w:tcPr>
          <w:p w14:paraId="7909CD59">
            <w:pPr>
              <w:spacing w:line="360" w:lineRule="auto"/>
              <w:rPr>
                <w:rFonts w:ascii="宋体" w:hAnsi="宋体" w:cs="宋体"/>
                <w:kern w:val="0"/>
                <w:sz w:val="18"/>
                <w:szCs w:val="18"/>
              </w:rPr>
            </w:pPr>
          </w:p>
        </w:tc>
        <w:tc>
          <w:tcPr>
            <w:tcW w:w="1984" w:type="dxa"/>
            <w:noWrap w:val="0"/>
            <w:vAlign w:val="center"/>
          </w:tcPr>
          <w:p w14:paraId="55063663">
            <w:pPr>
              <w:spacing w:line="240" w:lineRule="auto"/>
              <w:rPr>
                <w:rFonts w:ascii="宋体" w:hAnsi="宋体" w:cs="宋体"/>
                <w:sz w:val="18"/>
                <w:szCs w:val="18"/>
              </w:rPr>
            </w:pPr>
            <w:r>
              <w:rPr>
                <w:rFonts w:hint="eastAsia" w:ascii="宋体" w:hAnsi="宋体" w:cs="宋体"/>
                <w:sz w:val="18"/>
                <w:szCs w:val="18"/>
              </w:rPr>
              <w:t>法定代表人身份证明及授权委托书</w:t>
            </w:r>
          </w:p>
        </w:tc>
        <w:tc>
          <w:tcPr>
            <w:tcW w:w="5409" w:type="dxa"/>
            <w:noWrap w:val="0"/>
            <w:vAlign w:val="center"/>
          </w:tcPr>
          <w:p w14:paraId="1F8BE085">
            <w:pPr>
              <w:spacing w:line="240" w:lineRule="auto"/>
              <w:rPr>
                <w:rFonts w:ascii="宋体" w:hAnsi="宋体" w:cs="宋体"/>
                <w:sz w:val="18"/>
                <w:szCs w:val="18"/>
              </w:rPr>
            </w:pPr>
            <w:r>
              <w:rPr>
                <w:rFonts w:hint="eastAsia" w:ascii="宋体" w:hAnsi="宋体" w:cs="宋体"/>
                <w:sz w:val="18"/>
                <w:szCs w:val="18"/>
              </w:rPr>
              <w:t>法定代表人身份证明及授权委托书有效，符合谈判采购文件规定的格式，签字或盖章齐全。</w:t>
            </w:r>
          </w:p>
        </w:tc>
      </w:tr>
      <w:tr w14:paraId="782D20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noWrap w:val="0"/>
            <w:vAlign w:val="center"/>
          </w:tcPr>
          <w:p w14:paraId="59C8E070">
            <w:pPr>
              <w:spacing w:line="360" w:lineRule="auto"/>
              <w:jc w:val="center"/>
              <w:rPr>
                <w:rFonts w:ascii="宋体" w:hAnsi="宋体" w:cs="宋体"/>
                <w:kern w:val="0"/>
                <w:sz w:val="18"/>
                <w:szCs w:val="18"/>
              </w:rPr>
            </w:pPr>
          </w:p>
        </w:tc>
        <w:tc>
          <w:tcPr>
            <w:tcW w:w="1560" w:type="dxa"/>
            <w:vMerge w:val="continue"/>
            <w:noWrap w:val="0"/>
            <w:vAlign w:val="center"/>
          </w:tcPr>
          <w:p w14:paraId="3B9F3DBA">
            <w:pPr>
              <w:spacing w:line="360" w:lineRule="auto"/>
              <w:rPr>
                <w:rFonts w:ascii="宋体" w:hAnsi="宋体" w:cs="宋体"/>
                <w:kern w:val="0"/>
                <w:sz w:val="18"/>
                <w:szCs w:val="18"/>
              </w:rPr>
            </w:pPr>
          </w:p>
        </w:tc>
        <w:tc>
          <w:tcPr>
            <w:tcW w:w="1984" w:type="dxa"/>
            <w:noWrap w:val="0"/>
            <w:vAlign w:val="center"/>
          </w:tcPr>
          <w:p w14:paraId="75EC3128">
            <w:pPr>
              <w:spacing w:line="240" w:lineRule="auto"/>
              <w:rPr>
                <w:rFonts w:ascii="宋体" w:hAnsi="宋体" w:cs="宋体"/>
                <w:sz w:val="18"/>
                <w:szCs w:val="18"/>
                <w:lang w:val="zh-CN"/>
              </w:rPr>
            </w:pPr>
            <w:r>
              <w:rPr>
                <w:rFonts w:hint="eastAsia" w:ascii="宋体" w:hAnsi="宋体" w:cs="宋体"/>
                <w:sz w:val="18"/>
                <w:szCs w:val="18"/>
              </w:rPr>
              <w:t>响应</w:t>
            </w:r>
            <w:r>
              <w:rPr>
                <w:rFonts w:hint="eastAsia" w:ascii="宋体" w:hAnsi="宋体" w:cs="宋体"/>
                <w:sz w:val="18"/>
                <w:szCs w:val="18"/>
                <w:lang w:val="zh-CN"/>
              </w:rPr>
              <w:t>方案</w:t>
            </w:r>
          </w:p>
        </w:tc>
        <w:tc>
          <w:tcPr>
            <w:tcW w:w="5409" w:type="dxa"/>
            <w:noWrap w:val="0"/>
            <w:vAlign w:val="center"/>
          </w:tcPr>
          <w:p w14:paraId="7592E683">
            <w:pPr>
              <w:spacing w:line="240" w:lineRule="auto"/>
              <w:rPr>
                <w:rFonts w:ascii="宋体" w:hAnsi="宋体" w:cs="宋体"/>
                <w:kern w:val="0"/>
                <w:sz w:val="18"/>
                <w:szCs w:val="18"/>
              </w:rPr>
            </w:pPr>
            <w:r>
              <w:rPr>
                <w:rFonts w:hint="eastAsia" w:ascii="宋体" w:hAnsi="宋体" w:cs="宋体"/>
                <w:sz w:val="18"/>
                <w:szCs w:val="18"/>
                <w:lang w:val="zh-CN"/>
              </w:rPr>
              <w:t>每个分包只能有一个</w:t>
            </w:r>
            <w:r>
              <w:rPr>
                <w:rFonts w:hint="eastAsia" w:ascii="宋体" w:hAnsi="宋体" w:cs="宋体"/>
                <w:sz w:val="18"/>
                <w:szCs w:val="18"/>
              </w:rPr>
              <w:t>响应</w:t>
            </w:r>
            <w:r>
              <w:rPr>
                <w:rFonts w:hint="eastAsia" w:ascii="宋体" w:hAnsi="宋体" w:cs="宋体"/>
                <w:sz w:val="18"/>
                <w:szCs w:val="18"/>
                <w:lang w:val="zh-CN"/>
              </w:rPr>
              <w:t>方案。</w:t>
            </w:r>
          </w:p>
        </w:tc>
      </w:tr>
      <w:tr w14:paraId="0749BD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noWrap w:val="0"/>
            <w:vAlign w:val="center"/>
          </w:tcPr>
          <w:p w14:paraId="285061B8">
            <w:pPr>
              <w:spacing w:line="360" w:lineRule="auto"/>
              <w:jc w:val="center"/>
              <w:rPr>
                <w:rFonts w:ascii="宋体" w:hAnsi="宋体" w:cs="宋体"/>
                <w:kern w:val="0"/>
                <w:sz w:val="18"/>
                <w:szCs w:val="18"/>
              </w:rPr>
            </w:pPr>
          </w:p>
        </w:tc>
        <w:tc>
          <w:tcPr>
            <w:tcW w:w="1560" w:type="dxa"/>
            <w:vMerge w:val="continue"/>
            <w:noWrap w:val="0"/>
            <w:vAlign w:val="center"/>
          </w:tcPr>
          <w:p w14:paraId="1837FF5B">
            <w:pPr>
              <w:spacing w:line="360" w:lineRule="auto"/>
              <w:rPr>
                <w:rFonts w:ascii="宋体" w:hAnsi="宋体" w:cs="宋体"/>
                <w:kern w:val="0"/>
                <w:sz w:val="18"/>
                <w:szCs w:val="18"/>
              </w:rPr>
            </w:pPr>
          </w:p>
        </w:tc>
        <w:tc>
          <w:tcPr>
            <w:tcW w:w="1984" w:type="dxa"/>
            <w:noWrap w:val="0"/>
            <w:vAlign w:val="center"/>
          </w:tcPr>
          <w:p w14:paraId="27FC08C5">
            <w:pPr>
              <w:spacing w:line="240" w:lineRule="auto"/>
              <w:rPr>
                <w:rFonts w:ascii="宋体" w:hAnsi="宋体" w:cs="宋体"/>
                <w:sz w:val="18"/>
                <w:szCs w:val="18"/>
                <w:lang w:val="zh-CN"/>
              </w:rPr>
            </w:pPr>
            <w:r>
              <w:rPr>
                <w:rFonts w:hint="eastAsia" w:ascii="宋体" w:hAnsi="宋体" w:cs="宋体"/>
                <w:sz w:val="18"/>
                <w:szCs w:val="18"/>
              </w:rPr>
              <w:t>报价唯一</w:t>
            </w:r>
          </w:p>
        </w:tc>
        <w:tc>
          <w:tcPr>
            <w:tcW w:w="5409" w:type="dxa"/>
            <w:noWrap w:val="0"/>
            <w:vAlign w:val="center"/>
          </w:tcPr>
          <w:p w14:paraId="3A8094AC">
            <w:pPr>
              <w:spacing w:line="240" w:lineRule="auto"/>
              <w:rPr>
                <w:rFonts w:ascii="宋体" w:hAnsi="宋体" w:cs="宋体"/>
                <w:kern w:val="0"/>
                <w:sz w:val="18"/>
                <w:szCs w:val="18"/>
              </w:rPr>
            </w:pPr>
            <w:r>
              <w:rPr>
                <w:rFonts w:hint="eastAsia" w:ascii="宋体" w:hAnsi="宋体" w:cs="宋体"/>
                <w:sz w:val="18"/>
                <w:szCs w:val="18"/>
                <w:lang w:val="zh-CN"/>
              </w:rPr>
              <w:t>只能在采购预算范围内报价，</w:t>
            </w:r>
            <w:r>
              <w:rPr>
                <w:rFonts w:hint="eastAsia" w:ascii="宋体" w:hAnsi="宋体" w:cs="宋体"/>
                <w:sz w:val="18"/>
                <w:szCs w:val="18"/>
              </w:rPr>
              <w:t>只能有一个有效报价，不得提交选择性报价。</w:t>
            </w:r>
          </w:p>
        </w:tc>
      </w:tr>
      <w:tr w14:paraId="165F2B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noWrap w:val="0"/>
            <w:vAlign w:val="center"/>
          </w:tcPr>
          <w:p w14:paraId="36B0542E">
            <w:pPr>
              <w:spacing w:line="360" w:lineRule="auto"/>
              <w:jc w:val="center"/>
              <w:rPr>
                <w:rFonts w:ascii="宋体" w:hAnsi="宋体" w:cs="宋体"/>
                <w:kern w:val="0"/>
                <w:sz w:val="18"/>
                <w:szCs w:val="18"/>
              </w:rPr>
            </w:pPr>
            <w:r>
              <w:rPr>
                <w:rFonts w:hint="eastAsia" w:ascii="宋体" w:hAnsi="宋体" w:cs="宋体"/>
                <w:kern w:val="0"/>
                <w:sz w:val="18"/>
                <w:szCs w:val="18"/>
              </w:rPr>
              <w:t>2</w:t>
            </w:r>
          </w:p>
        </w:tc>
        <w:tc>
          <w:tcPr>
            <w:tcW w:w="1560" w:type="dxa"/>
            <w:vMerge w:val="restart"/>
            <w:noWrap w:val="0"/>
            <w:vAlign w:val="center"/>
          </w:tcPr>
          <w:p w14:paraId="6729E342">
            <w:pPr>
              <w:spacing w:line="360" w:lineRule="auto"/>
              <w:rPr>
                <w:rFonts w:ascii="宋体" w:hAnsi="宋体" w:cs="宋体"/>
                <w:kern w:val="0"/>
                <w:sz w:val="18"/>
                <w:szCs w:val="18"/>
              </w:rPr>
            </w:pPr>
            <w:r>
              <w:rPr>
                <w:rFonts w:hint="eastAsia" w:ascii="宋体" w:hAnsi="宋体" w:cs="宋体"/>
                <w:kern w:val="0"/>
                <w:sz w:val="18"/>
                <w:szCs w:val="18"/>
              </w:rPr>
              <w:t>完整性审查</w:t>
            </w:r>
          </w:p>
        </w:tc>
        <w:tc>
          <w:tcPr>
            <w:tcW w:w="1984" w:type="dxa"/>
            <w:noWrap w:val="0"/>
            <w:vAlign w:val="center"/>
          </w:tcPr>
          <w:p w14:paraId="18897E9F">
            <w:pPr>
              <w:spacing w:line="240" w:lineRule="auto"/>
              <w:rPr>
                <w:rFonts w:ascii="宋体" w:hAnsi="宋体" w:cs="宋体"/>
                <w:kern w:val="0"/>
                <w:sz w:val="18"/>
                <w:szCs w:val="18"/>
              </w:rPr>
            </w:pPr>
            <w:r>
              <w:rPr>
                <w:rFonts w:hint="eastAsia" w:ascii="宋体" w:hAnsi="宋体" w:cs="宋体"/>
                <w:sz w:val="18"/>
                <w:szCs w:val="18"/>
              </w:rPr>
              <w:t>响应</w:t>
            </w:r>
            <w:r>
              <w:rPr>
                <w:rFonts w:hint="eastAsia" w:ascii="宋体" w:hAnsi="宋体" w:cs="宋体"/>
                <w:sz w:val="18"/>
                <w:szCs w:val="18"/>
                <w:lang w:val="zh-CN"/>
              </w:rPr>
              <w:t>文件份数</w:t>
            </w:r>
          </w:p>
        </w:tc>
        <w:tc>
          <w:tcPr>
            <w:tcW w:w="5409" w:type="dxa"/>
            <w:noWrap w:val="0"/>
            <w:vAlign w:val="center"/>
          </w:tcPr>
          <w:p w14:paraId="0E02B7C5">
            <w:pPr>
              <w:spacing w:line="240" w:lineRule="auto"/>
              <w:rPr>
                <w:rFonts w:ascii="宋体" w:hAnsi="宋体" w:cs="宋体"/>
                <w:kern w:val="0"/>
                <w:sz w:val="18"/>
                <w:szCs w:val="18"/>
              </w:rPr>
            </w:pPr>
            <w:r>
              <w:rPr>
                <w:rFonts w:hint="eastAsia" w:ascii="宋体" w:hAnsi="宋体" w:cs="宋体"/>
                <w:sz w:val="18"/>
                <w:szCs w:val="18"/>
              </w:rPr>
              <w:t>响应</w:t>
            </w:r>
            <w:r>
              <w:rPr>
                <w:rFonts w:hint="eastAsia" w:ascii="宋体" w:hAnsi="宋体" w:cs="宋体"/>
                <w:sz w:val="18"/>
                <w:szCs w:val="18"/>
                <w:lang w:val="zh-CN"/>
              </w:rPr>
              <w:t>文件正、副本数量符合谈判采购文件要求。</w:t>
            </w:r>
          </w:p>
        </w:tc>
      </w:tr>
      <w:tr w14:paraId="7B5695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noWrap w:val="0"/>
            <w:vAlign w:val="center"/>
          </w:tcPr>
          <w:p w14:paraId="46A820E2">
            <w:pPr>
              <w:spacing w:line="360" w:lineRule="auto"/>
              <w:jc w:val="center"/>
              <w:rPr>
                <w:rFonts w:ascii="宋体" w:hAnsi="宋体" w:cs="宋体"/>
                <w:kern w:val="0"/>
                <w:sz w:val="18"/>
                <w:szCs w:val="18"/>
              </w:rPr>
            </w:pPr>
          </w:p>
        </w:tc>
        <w:tc>
          <w:tcPr>
            <w:tcW w:w="1560" w:type="dxa"/>
            <w:vMerge w:val="continue"/>
            <w:noWrap w:val="0"/>
            <w:vAlign w:val="center"/>
          </w:tcPr>
          <w:p w14:paraId="3D9A3FB2">
            <w:pPr>
              <w:spacing w:line="360" w:lineRule="auto"/>
              <w:rPr>
                <w:rFonts w:ascii="宋体" w:hAnsi="宋体" w:cs="宋体"/>
                <w:kern w:val="0"/>
                <w:sz w:val="18"/>
                <w:szCs w:val="18"/>
              </w:rPr>
            </w:pPr>
          </w:p>
        </w:tc>
        <w:tc>
          <w:tcPr>
            <w:tcW w:w="1984" w:type="dxa"/>
            <w:noWrap w:val="0"/>
            <w:vAlign w:val="center"/>
          </w:tcPr>
          <w:p w14:paraId="5C295BCB">
            <w:pPr>
              <w:spacing w:line="240" w:lineRule="auto"/>
              <w:rPr>
                <w:rFonts w:ascii="宋体" w:hAnsi="宋体" w:cs="宋体"/>
                <w:sz w:val="18"/>
                <w:szCs w:val="18"/>
                <w:lang w:val="zh-CN"/>
              </w:rPr>
            </w:pPr>
            <w:r>
              <w:rPr>
                <w:rFonts w:hint="eastAsia" w:ascii="宋体" w:hAnsi="宋体" w:cs="宋体"/>
                <w:sz w:val="18"/>
                <w:szCs w:val="18"/>
              </w:rPr>
              <w:t>响应</w:t>
            </w:r>
            <w:r>
              <w:rPr>
                <w:rFonts w:hint="eastAsia" w:ascii="宋体" w:hAnsi="宋体" w:cs="宋体"/>
                <w:sz w:val="18"/>
                <w:szCs w:val="18"/>
                <w:lang w:val="zh-CN"/>
              </w:rPr>
              <w:t>文件内容</w:t>
            </w:r>
          </w:p>
        </w:tc>
        <w:tc>
          <w:tcPr>
            <w:tcW w:w="5409" w:type="dxa"/>
            <w:noWrap w:val="0"/>
            <w:vAlign w:val="center"/>
          </w:tcPr>
          <w:p w14:paraId="45135D62">
            <w:pPr>
              <w:spacing w:line="240" w:lineRule="auto"/>
              <w:rPr>
                <w:rFonts w:ascii="宋体" w:hAnsi="宋体" w:cs="宋体"/>
                <w:sz w:val="18"/>
                <w:szCs w:val="18"/>
                <w:lang w:val="zh-CN"/>
              </w:rPr>
            </w:pPr>
            <w:r>
              <w:rPr>
                <w:rFonts w:hint="eastAsia" w:ascii="宋体" w:hAnsi="宋体" w:cs="宋体"/>
                <w:sz w:val="18"/>
                <w:szCs w:val="18"/>
              </w:rPr>
              <w:t>响应</w:t>
            </w:r>
            <w:r>
              <w:rPr>
                <w:rFonts w:hint="eastAsia" w:ascii="宋体" w:hAnsi="宋体" w:cs="宋体"/>
                <w:sz w:val="18"/>
                <w:szCs w:val="18"/>
                <w:lang w:val="zh-CN"/>
              </w:rPr>
              <w:t>文件内容齐全、无遗漏。</w:t>
            </w:r>
          </w:p>
        </w:tc>
      </w:tr>
      <w:tr w14:paraId="5FF725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noWrap w:val="0"/>
            <w:vAlign w:val="center"/>
          </w:tcPr>
          <w:p w14:paraId="1640434F">
            <w:pPr>
              <w:spacing w:line="360" w:lineRule="auto"/>
              <w:jc w:val="center"/>
              <w:rPr>
                <w:rFonts w:ascii="宋体" w:hAnsi="宋体" w:cs="宋体"/>
                <w:kern w:val="0"/>
                <w:sz w:val="18"/>
                <w:szCs w:val="18"/>
              </w:rPr>
            </w:pPr>
            <w:r>
              <w:rPr>
                <w:rFonts w:hint="eastAsia" w:ascii="宋体" w:hAnsi="宋体" w:cs="宋体"/>
                <w:kern w:val="0"/>
                <w:sz w:val="18"/>
                <w:szCs w:val="18"/>
              </w:rPr>
              <w:t>3</w:t>
            </w:r>
          </w:p>
        </w:tc>
        <w:tc>
          <w:tcPr>
            <w:tcW w:w="1560" w:type="dxa"/>
            <w:vMerge w:val="restart"/>
            <w:noWrap w:val="0"/>
            <w:vAlign w:val="center"/>
          </w:tcPr>
          <w:p w14:paraId="5CB9AF2F">
            <w:pPr>
              <w:spacing w:line="360" w:lineRule="auto"/>
              <w:rPr>
                <w:rFonts w:ascii="宋体" w:hAnsi="宋体" w:cs="宋体"/>
                <w:sz w:val="18"/>
                <w:szCs w:val="18"/>
                <w:lang w:val="zh-CN"/>
              </w:rPr>
            </w:pPr>
            <w:r>
              <w:rPr>
                <w:rFonts w:ascii="宋体" w:hAnsi="宋体" w:cs="宋体"/>
                <w:kern w:val="0"/>
                <w:sz w:val="18"/>
                <w:szCs w:val="18"/>
              </w:rPr>
              <w:t>谈判采购</w:t>
            </w:r>
            <w:r>
              <w:rPr>
                <w:rFonts w:hint="eastAsia" w:ascii="宋体" w:hAnsi="宋体" w:cs="宋体"/>
                <w:kern w:val="0"/>
                <w:sz w:val="18"/>
                <w:szCs w:val="18"/>
              </w:rPr>
              <w:t>文件的响应程度审查</w:t>
            </w:r>
          </w:p>
        </w:tc>
        <w:tc>
          <w:tcPr>
            <w:tcW w:w="1984" w:type="dxa"/>
            <w:noWrap w:val="0"/>
            <w:vAlign w:val="center"/>
          </w:tcPr>
          <w:p w14:paraId="15E7EC9D">
            <w:pPr>
              <w:spacing w:line="240" w:lineRule="auto"/>
              <w:rPr>
                <w:rFonts w:ascii="宋体" w:hAnsi="宋体" w:cs="宋体"/>
                <w:kern w:val="0"/>
                <w:sz w:val="18"/>
                <w:szCs w:val="18"/>
              </w:rPr>
            </w:pPr>
            <w:r>
              <w:rPr>
                <w:rFonts w:hint="eastAsia" w:ascii="宋体" w:hAnsi="宋体" w:cs="宋体"/>
                <w:kern w:val="0"/>
                <w:sz w:val="18"/>
                <w:szCs w:val="18"/>
              </w:rPr>
              <w:t>响应文件内容</w:t>
            </w:r>
          </w:p>
        </w:tc>
        <w:tc>
          <w:tcPr>
            <w:tcW w:w="5409" w:type="dxa"/>
            <w:noWrap w:val="0"/>
            <w:vAlign w:val="center"/>
          </w:tcPr>
          <w:p w14:paraId="73CA7A87">
            <w:pPr>
              <w:pStyle w:val="33"/>
              <w:spacing w:line="240" w:lineRule="auto"/>
              <w:rPr>
                <w:rFonts w:ascii="宋体" w:hAnsi="宋体" w:cs="宋体"/>
                <w:kern w:val="0"/>
                <w:sz w:val="18"/>
                <w:szCs w:val="18"/>
              </w:rPr>
            </w:pPr>
            <w:r>
              <w:rPr>
                <w:rFonts w:hint="eastAsia" w:ascii="宋体" w:hAnsi="宋体" w:cs="宋体"/>
                <w:kern w:val="0"/>
                <w:sz w:val="18"/>
                <w:szCs w:val="18"/>
              </w:rPr>
              <w:t>满足对谈判采购文件第二、三篇规定的谈判内容，并作出响应。</w:t>
            </w:r>
          </w:p>
        </w:tc>
      </w:tr>
      <w:tr w14:paraId="1CCBA5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noWrap w:val="0"/>
            <w:vAlign w:val="center"/>
          </w:tcPr>
          <w:p w14:paraId="16B9C66B">
            <w:pPr>
              <w:spacing w:line="360" w:lineRule="auto"/>
              <w:jc w:val="center"/>
              <w:rPr>
                <w:rFonts w:ascii="宋体" w:hAnsi="宋体" w:cs="宋体"/>
                <w:kern w:val="0"/>
                <w:sz w:val="18"/>
                <w:szCs w:val="18"/>
              </w:rPr>
            </w:pPr>
          </w:p>
        </w:tc>
        <w:tc>
          <w:tcPr>
            <w:tcW w:w="1560" w:type="dxa"/>
            <w:vMerge w:val="continue"/>
            <w:noWrap w:val="0"/>
            <w:vAlign w:val="center"/>
          </w:tcPr>
          <w:p w14:paraId="3DF95E2C">
            <w:pPr>
              <w:spacing w:line="360" w:lineRule="auto"/>
              <w:rPr>
                <w:rFonts w:ascii="宋体" w:hAnsi="宋体" w:cs="宋体"/>
                <w:sz w:val="18"/>
                <w:szCs w:val="18"/>
                <w:lang w:val="zh-CN"/>
              </w:rPr>
            </w:pPr>
          </w:p>
        </w:tc>
        <w:tc>
          <w:tcPr>
            <w:tcW w:w="1984" w:type="dxa"/>
            <w:noWrap w:val="0"/>
            <w:vAlign w:val="center"/>
          </w:tcPr>
          <w:p w14:paraId="2AC4CA5F">
            <w:pPr>
              <w:spacing w:line="240" w:lineRule="auto"/>
              <w:rPr>
                <w:rFonts w:ascii="宋体" w:hAnsi="宋体" w:cs="宋体"/>
                <w:kern w:val="0"/>
                <w:sz w:val="18"/>
                <w:szCs w:val="18"/>
              </w:rPr>
            </w:pPr>
            <w:r>
              <w:rPr>
                <w:rFonts w:hint="eastAsia" w:ascii="宋体" w:hAnsi="宋体" w:cs="宋体"/>
                <w:kern w:val="0"/>
                <w:sz w:val="18"/>
                <w:szCs w:val="18"/>
              </w:rPr>
              <w:t>谈判有效期</w:t>
            </w:r>
          </w:p>
        </w:tc>
        <w:tc>
          <w:tcPr>
            <w:tcW w:w="5409" w:type="dxa"/>
            <w:noWrap w:val="0"/>
            <w:vAlign w:val="center"/>
          </w:tcPr>
          <w:p w14:paraId="68BCE2CA">
            <w:pPr>
              <w:spacing w:line="240" w:lineRule="auto"/>
              <w:rPr>
                <w:rFonts w:ascii="宋体" w:hAnsi="宋体" w:cs="宋体"/>
                <w:kern w:val="0"/>
                <w:sz w:val="18"/>
                <w:szCs w:val="18"/>
              </w:rPr>
            </w:pPr>
            <w:r>
              <w:rPr>
                <w:rFonts w:hint="eastAsia" w:ascii="宋体" w:hAnsi="宋体" w:cs="宋体"/>
                <w:kern w:val="0"/>
                <w:sz w:val="18"/>
                <w:szCs w:val="18"/>
              </w:rPr>
              <w:t>满足谈判文件</w:t>
            </w:r>
            <w:r>
              <w:rPr>
                <w:rFonts w:hint="eastAsia" w:ascii="宋体" w:hAnsi="宋体" w:cs="宋体"/>
                <w:sz w:val="18"/>
                <w:szCs w:val="18"/>
                <w:lang w:val="zh-CN"/>
              </w:rPr>
              <w:t>规定。</w:t>
            </w:r>
          </w:p>
        </w:tc>
      </w:tr>
    </w:tbl>
    <w:p w14:paraId="60D86221">
      <w:pPr>
        <w:spacing w:line="360" w:lineRule="auto"/>
        <w:ind w:firstLine="420" w:firstLineChars="200"/>
        <w:rPr>
          <w:rFonts w:hint="eastAsia" w:ascii="宋体" w:hAnsi="宋体" w:cs="宋体"/>
          <w:sz w:val="21"/>
          <w:szCs w:val="21"/>
        </w:rPr>
      </w:pPr>
      <w:r>
        <w:rPr>
          <w:rFonts w:hint="eastAsia" w:ascii="宋体" w:hAnsi="宋体" w:cs="宋体"/>
          <w:sz w:val="21"/>
          <w:szCs w:val="21"/>
        </w:rPr>
        <w:t>（三）澄清有关问题。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75CA8E4">
      <w:pPr>
        <w:spacing w:line="360" w:lineRule="auto"/>
        <w:ind w:firstLine="420" w:firstLineChars="200"/>
        <w:rPr>
          <w:rFonts w:hint="eastAsia" w:ascii="宋体" w:hAnsi="宋体" w:cs="宋体"/>
          <w:sz w:val="21"/>
          <w:szCs w:val="21"/>
        </w:rPr>
      </w:pPr>
      <w:r>
        <w:rPr>
          <w:rFonts w:hint="eastAsia" w:ascii="宋体" w:hAnsi="宋体" w:cs="宋体"/>
          <w:sz w:val="21"/>
          <w:szCs w:val="21"/>
        </w:rPr>
        <w:t>（四）谈判小组要求供应商澄清、说明或者更正响应文件应当以书面形式作出。供应商的澄清、说明或者更正应当由法定代表人或其授权代表签字或者加盖公章。由授权代表签字的，应当附法定代表人授权书。</w:t>
      </w:r>
    </w:p>
    <w:p w14:paraId="1BFFA852">
      <w:pPr>
        <w:spacing w:line="360" w:lineRule="auto"/>
        <w:ind w:firstLine="420" w:firstLineChars="200"/>
        <w:rPr>
          <w:rFonts w:hint="eastAsia" w:ascii="宋体" w:hAnsi="宋体" w:cs="宋体"/>
          <w:sz w:val="21"/>
          <w:szCs w:val="21"/>
        </w:rPr>
      </w:pPr>
      <w:r>
        <w:rPr>
          <w:rFonts w:hint="eastAsia" w:ascii="宋体" w:hAnsi="宋体" w:cs="宋体"/>
          <w:sz w:val="21"/>
          <w:szCs w:val="21"/>
        </w:rPr>
        <w:t>（五）在谈判过程中谈判的任何一方不得向他人透露与谈判有关的技术资料、价格或其他信息。</w:t>
      </w:r>
    </w:p>
    <w:p w14:paraId="61290990">
      <w:pPr>
        <w:spacing w:line="360" w:lineRule="auto"/>
        <w:ind w:firstLine="420" w:firstLineChars="200"/>
        <w:rPr>
          <w:rFonts w:hint="eastAsia" w:ascii="宋体" w:hAnsi="宋体" w:cs="宋体"/>
          <w:sz w:val="21"/>
          <w:szCs w:val="21"/>
        </w:rPr>
      </w:pPr>
      <w:r>
        <w:rPr>
          <w:rFonts w:hint="eastAsia" w:ascii="宋体" w:hAnsi="宋体" w:cs="宋体"/>
          <w:sz w:val="21"/>
          <w:szCs w:val="21"/>
        </w:rPr>
        <w:t>（六）在谈判过程中，谈判小组可以根据竞谈判采购文件和谈判情况实质性变动采购需求中的技术、服务要求以及合同草案条款，但不得变动谈判采购文件中的其他内容。实质性变动的内容，须经采购人代表确认。对谈判采购文件作出的实质性变动是谈判采购文件的有效组成部分，谈判小组应当及时以书面形式同时通知所有参加谈判的供应商。</w:t>
      </w:r>
    </w:p>
    <w:p w14:paraId="260C2748">
      <w:pPr>
        <w:spacing w:line="360" w:lineRule="auto"/>
        <w:ind w:firstLine="420" w:firstLineChars="200"/>
        <w:rPr>
          <w:rFonts w:hint="eastAsia" w:ascii="宋体" w:hAnsi="宋体" w:cs="宋体"/>
          <w:sz w:val="21"/>
          <w:szCs w:val="21"/>
        </w:rPr>
      </w:pPr>
      <w:r>
        <w:rPr>
          <w:rFonts w:hint="eastAsia" w:ascii="宋体" w:hAnsi="宋体" w:cs="宋体"/>
          <w:sz w:val="21"/>
          <w:szCs w:val="21"/>
        </w:rPr>
        <w:t>（七）供应商在谈判时作出的所有书面承诺须由法定代表人或其授权代表签字。</w:t>
      </w:r>
    </w:p>
    <w:p w14:paraId="552912EA">
      <w:pPr>
        <w:spacing w:line="360" w:lineRule="auto"/>
        <w:ind w:firstLine="420" w:firstLineChars="200"/>
        <w:rPr>
          <w:rFonts w:hint="eastAsia" w:ascii="宋体" w:hAnsi="宋体" w:cs="宋体"/>
          <w:sz w:val="21"/>
          <w:szCs w:val="21"/>
        </w:rPr>
      </w:pPr>
      <w:r>
        <w:rPr>
          <w:rFonts w:hint="eastAsia" w:ascii="宋体" w:hAnsi="宋体" w:cs="宋体"/>
          <w:sz w:val="21"/>
          <w:szCs w:val="21"/>
        </w:rPr>
        <w:t>（八）经谈判确定最终采购需求且谈判结束后，供应商应当按照谈判采购文件的变动情况和谈判小组的要求重新提交响应文件或重新做出相关的书面承诺，最后书面提交最后报价及有关承诺（</w:t>
      </w:r>
      <w:r>
        <w:rPr>
          <w:rFonts w:hint="eastAsia" w:ascii="宋体" w:hAnsi="宋体" w:eastAsia="宋体" w:cs="宋体"/>
          <w:sz w:val="21"/>
          <w:szCs w:val="21"/>
        </w:rPr>
        <w:t>填写《最后报价表》并提交）。已提交响应文件但未在规定时间内进行最后报价的供应商，视为放</w:t>
      </w:r>
      <w:r>
        <w:rPr>
          <w:rFonts w:hint="eastAsia" w:ascii="宋体" w:hAnsi="宋体" w:cs="宋体"/>
          <w:sz w:val="21"/>
          <w:szCs w:val="21"/>
        </w:rPr>
        <w:t>弃最后报价，以供应商响应文件中的报价为准。</w:t>
      </w:r>
    </w:p>
    <w:p w14:paraId="34C70D76">
      <w:pPr>
        <w:spacing w:line="360" w:lineRule="auto"/>
        <w:ind w:firstLine="420" w:firstLineChars="200"/>
        <w:rPr>
          <w:rFonts w:hint="eastAsia" w:ascii="宋体" w:hAnsi="宋体" w:cs="宋体"/>
          <w:sz w:val="21"/>
          <w:szCs w:val="21"/>
        </w:rPr>
      </w:pPr>
      <w:r>
        <w:rPr>
          <w:rFonts w:hint="eastAsia" w:ascii="宋体" w:hAnsi="宋体" w:cs="宋体"/>
          <w:sz w:val="21"/>
          <w:szCs w:val="21"/>
        </w:rPr>
        <w:t>（九）谈判小组采用综合评分法对提交最后报价的供应商的响应文件和最后报价（含有效书面承诺）进行综合评分。综合评分法，是指响应文件满足谈判采购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14:paraId="45D1F491">
      <w:pPr>
        <w:spacing w:line="360" w:lineRule="auto"/>
        <w:ind w:firstLine="420" w:firstLineChars="200"/>
        <w:rPr>
          <w:rFonts w:hint="eastAsia" w:ascii="宋体" w:hAnsi="宋体" w:cs="宋体"/>
          <w:sz w:val="21"/>
          <w:szCs w:val="21"/>
        </w:rPr>
      </w:pPr>
      <w:r>
        <w:rPr>
          <w:rFonts w:hint="eastAsia" w:ascii="宋体" w:hAnsi="宋体" w:cs="宋体"/>
          <w:sz w:val="21"/>
          <w:szCs w:val="21"/>
        </w:rPr>
        <w:t>（十）谈判小组各成员独立对每个实质性响应文件进行评价、打分，然后汇总每个供应商每项评分因素的得分，并根据综合评分情况按照评审得分由高到低顺序推荐成交候选供应商，并编写评审报告。若供应商的评审得分相同的，按照最后报价由低到高的顺序排列推荐。评审得分且最后报价相同的，按照服务指标优劣顺序排列推荐。若所推荐的成交供应商的服务部分为0分，将失去成为成交候选供应商的资格。</w:t>
      </w:r>
    </w:p>
    <w:p w14:paraId="4DDE0A99">
      <w:pPr>
        <w:pStyle w:val="5"/>
        <w:spacing w:before="0" w:after="0" w:line="360" w:lineRule="auto"/>
        <w:rPr>
          <w:rFonts w:hint="eastAsia" w:ascii="宋体" w:hAnsi="宋体" w:eastAsia="宋体" w:cs="宋体"/>
          <w:b/>
          <w:sz w:val="21"/>
          <w:szCs w:val="21"/>
        </w:rPr>
      </w:pPr>
      <w:bookmarkStart w:id="53" w:name="_Toc11424"/>
      <w:bookmarkStart w:id="54" w:name="_Toc24890"/>
      <w:bookmarkStart w:id="55" w:name="_Toc9316"/>
      <w:r>
        <w:rPr>
          <w:rFonts w:hint="eastAsia" w:ascii="宋体" w:hAnsi="宋体" w:eastAsia="宋体" w:cs="宋体"/>
          <w:b/>
          <w:sz w:val="21"/>
          <w:szCs w:val="21"/>
        </w:rPr>
        <w:t>二、</w:t>
      </w:r>
      <w:bookmarkStart w:id="56" w:name="_Toc342913394"/>
      <w:bookmarkStart w:id="57" w:name="_Toc102227320"/>
      <w:r>
        <w:rPr>
          <w:rFonts w:hint="eastAsia" w:ascii="宋体" w:hAnsi="宋体" w:eastAsia="宋体" w:cs="宋体"/>
          <w:b/>
          <w:sz w:val="21"/>
          <w:szCs w:val="21"/>
        </w:rPr>
        <w:t>评审标准</w:t>
      </w:r>
      <w:bookmarkEnd w:id="53"/>
      <w:bookmarkEnd w:id="54"/>
      <w:bookmarkEnd w:id="55"/>
    </w:p>
    <w:tbl>
      <w:tblPr>
        <w:tblStyle w:val="58"/>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7862"/>
      </w:tblGrid>
      <w:tr w14:paraId="5D03E9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512" w:type="dxa"/>
            <w:vAlign w:val="center"/>
          </w:tcPr>
          <w:p w14:paraId="166933FF">
            <w:pPr>
              <w:spacing w:line="380" w:lineRule="exact"/>
              <w:jc w:val="center"/>
              <w:rPr>
                <w:rFonts w:ascii="宋体" w:hAnsi="宋体"/>
                <w:b/>
                <w:sz w:val="22"/>
                <w:szCs w:val="16"/>
              </w:rPr>
            </w:pPr>
            <w:bookmarkStart w:id="58" w:name="_Toc29019"/>
            <w:bookmarkStart w:id="59" w:name="_Toc15776"/>
            <w:bookmarkStart w:id="60" w:name="_Toc23540"/>
            <w:r>
              <w:rPr>
                <w:rFonts w:hint="eastAsia" w:ascii="宋体" w:hAnsi="宋体"/>
                <w:b/>
                <w:sz w:val="22"/>
                <w:szCs w:val="16"/>
              </w:rPr>
              <w:t>项目</w:t>
            </w:r>
          </w:p>
        </w:tc>
        <w:tc>
          <w:tcPr>
            <w:tcW w:w="7863" w:type="dxa"/>
            <w:vAlign w:val="center"/>
          </w:tcPr>
          <w:p w14:paraId="025AA7C7">
            <w:pPr>
              <w:spacing w:line="380" w:lineRule="exact"/>
              <w:ind w:right="1495" w:rightChars="534"/>
              <w:jc w:val="center"/>
              <w:rPr>
                <w:rFonts w:ascii="宋体" w:hAnsi="宋体"/>
                <w:b/>
                <w:sz w:val="22"/>
                <w:szCs w:val="16"/>
              </w:rPr>
            </w:pPr>
            <w:r>
              <w:rPr>
                <w:rFonts w:hint="eastAsia" w:ascii="宋体" w:hAnsi="宋体"/>
                <w:b/>
                <w:sz w:val="22"/>
                <w:szCs w:val="16"/>
              </w:rPr>
              <w:t>评分标准</w:t>
            </w:r>
          </w:p>
        </w:tc>
      </w:tr>
      <w:tr w14:paraId="37B78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512" w:type="dxa"/>
            <w:vAlign w:val="center"/>
          </w:tcPr>
          <w:p w14:paraId="3822130D">
            <w:pPr>
              <w:spacing w:line="380" w:lineRule="exact"/>
              <w:jc w:val="center"/>
              <w:rPr>
                <w:rFonts w:ascii="宋体" w:hAnsi="宋体" w:eastAsia="宋体" w:cs="宋体"/>
                <w:bCs/>
                <w:sz w:val="22"/>
                <w:szCs w:val="16"/>
              </w:rPr>
            </w:pPr>
            <w:r>
              <w:rPr>
                <w:rFonts w:hint="eastAsia" w:ascii="宋体" w:hAnsi="宋体" w:eastAsia="宋体" w:cs="宋体"/>
                <w:bCs/>
                <w:sz w:val="22"/>
                <w:szCs w:val="16"/>
              </w:rPr>
              <w:t>报价</w:t>
            </w:r>
          </w:p>
          <w:p w14:paraId="57C15D52">
            <w:pPr>
              <w:spacing w:line="380" w:lineRule="exact"/>
              <w:jc w:val="center"/>
              <w:rPr>
                <w:rFonts w:ascii="宋体" w:hAnsi="宋体" w:eastAsia="宋体" w:cs="宋体"/>
                <w:bCs/>
                <w:sz w:val="22"/>
                <w:szCs w:val="16"/>
              </w:rPr>
            </w:pPr>
            <w:r>
              <w:rPr>
                <w:rFonts w:hint="eastAsia" w:ascii="宋体" w:hAnsi="宋体" w:eastAsia="宋体" w:cs="宋体"/>
                <w:bCs/>
                <w:sz w:val="22"/>
                <w:szCs w:val="16"/>
              </w:rPr>
              <w:t>（10分）</w:t>
            </w:r>
          </w:p>
        </w:tc>
        <w:tc>
          <w:tcPr>
            <w:tcW w:w="7863" w:type="dxa"/>
          </w:tcPr>
          <w:p w14:paraId="04C265AC">
            <w:pPr>
              <w:spacing w:line="380" w:lineRule="exact"/>
              <w:ind w:right="-3" w:rightChars="-1"/>
              <w:rPr>
                <w:rFonts w:ascii="宋体" w:hAnsi="宋体" w:eastAsia="宋体" w:cs="宋体"/>
                <w:bCs/>
                <w:sz w:val="22"/>
                <w:szCs w:val="16"/>
              </w:rPr>
            </w:pPr>
            <w:r>
              <w:rPr>
                <w:rFonts w:hint="eastAsia" w:ascii="宋体" w:hAnsi="宋体" w:eastAsia="宋体" w:cs="宋体"/>
                <w:bCs/>
                <w:sz w:val="22"/>
                <w:szCs w:val="16"/>
              </w:rPr>
              <w:t>以满足采购文件要求的最终最低投标报价为评标基准价，得满分10分,其他报价得分＝（评标基准价/其他最终投标报价）×10×100％</w:t>
            </w:r>
          </w:p>
        </w:tc>
      </w:tr>
      <w:tr w14:paraId="4CFC9A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512" w:type="dxa"/>
            <w:vAlign w:val="center"/>
          </w:tcPr>
          <w:p w14:paraId="6D257212">
            <w:pPr>
              <w:spacing w:line="380" w:lineRule="exact"/>
              <w:jc w:val="center"/>
              <w:rPr>
                <w:rFonts w:ascii="宋体" w:hAnsi="宋体" w:eastAsia="宋体" w:cs="宋体"/>
                <w:bCs/>
                <w:sz w:val="22"/>
                <w:szCs w:val="16"/>
              </w:rPr>
            </w:pPr>
            <w:r>
              <w:rPr>
                <w:rFonts w:hint="eastAsia" w:ascii="宋体" w:hAnsi="宋体" w:eastAsia="宋体" w:cs="宋体"/>
                <w:bCs/>
                <w:sz w:val="22"/>
                <w:szCs w:val="16"/>
              </w:rPr>
              <w:t>工作方案</w:t>
            </w:r>
          </w:p>
          <w:p w14:paraId="2870B9C8">
            <w:pPr>
              <w:spacing w:line="380" w:lineRule="exact"/>
              <w:jc w:val="center"/>
              <w:rPr>
                <w:rFonts w:ascii="宋体" w:hAnsi="宋体" w:eastAsia="宋体" w:cs="宋体"/>
                <w:bCs/>
                <w:sz w:val="22"/>
                <w:szCs w:val="16"/>
              </w:rPr>
            </w:pPr>
            <w:r>
              <w:rPr>
                <w:rFonts w:hint="eastAsia" w:ascii="宋体" w:hAnsi="宋体" w:eastAsia="宋体" w:cs="宋体"/>
                <w:bCs/>
                <w:sz w:val="22"/>
                <w:szCs w:val="16"/>
              </w:rPr>
              <w:t>（</w:t>
            </w:r>
            <w:r>
              <w:rPr>
                <w:rFonts w:hint="eastAsia" w:ascii="宋体" w:hAnsi="宋体" w:eastAsia="宋体" w:cs="宋体"/>
                <w:bCs/>
                <w:sz w:val="22"/>
                <w:szCs w:val="16"/>
                <w:lang w:val="en-US" w:eastAsia="zh-CN"/>
              </w:rPr>
              <w:t>50</w:t>
            </w:r>
            <w:r>
              <w:rPr>
                <w:rFonts w:hint="eastAsia" w:ascii="宋体" w:hAnsi="宋体" w:eastAsia="宋体" w:cs="宋体"/>
                <w:bCs/>
                <w:sz w:val="22"/>
                <w:szCs w:val="16"/>
              </w:rPr>
              <w:t>分）</w:t>
            </w:r>
          </w:p>
        </w:tc>
        <w:tc>
          <w:tcPr>
            <w:tcW w:w="7863" w:type="dxa"/>
          </w:tcPr>
          <w:p w14:paraId="5E5EC53F">
            <w:pPr>
              <w:spacing w:line="276" w:lineRule="auto"/>
              <w:rPr>
                <w:rFonts w:ascii="宋体" w:hAnsi="宋体" w:eastAsia="宋体" w:cs="宋体"/>
                <w:b/>
                <w:sz w:val="22"/>
                <w:szCs w:val="16"/>
              </w:rPr>
            </w:pPr>
            <w:r>
              <w:rPr>
                <w:rFonts w:hint="eastAsia" w:ascii="宋体" w:hAnsi="宋体" w:eastAsia="宋体" w:cs="宋体"/>
                <w:b/>
                <w:sz w:val="22"/>
                <w:szCs w:val="16"/>
              </w:rPr>
              <w:t>1、工作思路（9分）</w:t>
            </w:r>
          </w:p>
          <w:p w14:paraId="7A0D5A77">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工作思路科学合理、可操作性强、完全响应需求的得9分；</w:t>
            </w:r>
          </w:p>
          <w:p w14:paraId="3295F4DB">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工作思路较科学合理、可操作性较强，基本响应需求的得7分；</w:t>
            </w:r>
          </w:p>
          <w:p w14:paraId="4AADB9FB">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工作思路可操作性一般，操作存在一定难度的得5分；</w:t>
            </w:r>
          </w:p>
          <w:p w14:paraId="415A13B5">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工作思路及操作不完整、有所欠缺的得2分；</w:t>
            </w:r>
          </w:p>
          <w:p w14:paraId="07A0CC72">
            <w:pPr>
              <w:spacing w:line="276" w:lineRule="auto"/>
              <w:ind w:firstLine="220" w:firstLineChars="100"/>
              <w:rPr>
                <w:rFonts w:ascii="宋体" w:hAnsi="宋体" w:eastAsia="宋体" w:cs="宋体"/>
                <w:sz w:val="22"/>
                <w:szCs w:val="16"/>
              </w:rPr>
            </w:pPr>
            <w:r>
              <w:rPr>
                <w:rFonts w:hint="eastAsia" w:ascii="宋体" w:hAnsi="宋体" w:eastAsia="宋体" w:cs="宋体"/>
                <w:bCs/>
                <w:sz w:val="22"/>
                <w:szCs w:val="16"/>
              </w:rPr>
              <w:t>未提供不得分。</w:t>
            </w:r>
          </w:p>
          <w:p w14:paraId="64ED2E93">
            <w:pPr>
              <w:spacing w:line="276" w:lineRule="auto"/>
              <w:rPr>
                <w:rFonts w:ascii="宋体" w:hAnsi="宋体" w:eastAsia="宋体" w:cs="宋体"/>
                <w:b/>
                <w:sz w:val="22"/>
                <w:szCs w:val="16"/>
              </w:rPr>
            </w:pPr>
            <w:r>
              <w:rPr>
                <w:rFonts w:hint="eastAsia" w:ascii="宋体" w:hAnsi="宋体" w:eastAsia="宋体" w:cs="宋体"/>
                <w:b/>
                <w:sz w:val="22"/>
                <w:szCs w:val="16"/>
              </w:rPr>
              <w:t>2、服务质量保证措施（</w:t>
            </w:r>
            <w:r>
              <w:rPr>
                <w:rFonts w:hint="eastAsia" w:ascii="宋体" w:hAnsi="宋体" w:eastAsia="宋体" w:cs="宋体"/>
                <w:b/>
                <w:sz w:val="22"/>
                <w:szCs w:val="16"/>
                <w:lang w:val="en-US" w:eastAsia="zh-CN"/>
              </w:rPr>
              <w:t>9</w:t>
            </w:r>
            <w:r>
              <w:rPr>
                <w:rFonts w:hint="eastAsia" w:ascii="宋体" w:hAnsi="宋体" w:eastAsia="宋体" w:cs="宋体"/>
                <w:b/>
                <w:sz w:val="22"/>
                <w:szCs w:val="16"/>
              </w:rPr>
              <w:t>分）</w:t>
            </w:r>
          </w:p>
          <w:p w14:paraId="7959F931">
            <w:pPr>
              <w:spacing w:line="276" w:lineRule="auto"/>
              <w:ind w:firstLine="220" w:firstLineChars="100"/>
              <w:rPr>
                <w:rFonts w:ascii="宋体" w:hAnsi="宋体" w:eastAsia="宋体" w:cs="宋体"/>
                <w:bCs/>
                <w:sz w:val="22"/>
                <w:szCs w:val="16"/>
              </w:rPr>
            </w:pPr>
            <w:r>
              <w:rPr>
                <w:rFonts w:hint="eastAsia" w:ascii="宋体" w:hAnsi="宋体" w:eastAsia="宋体" w:cs="宋体"/>
                <w:sz w:val="22"/>
                <w:szCs w:val="16"/>
              </w:rPr>
              <w:t>措施</w:t>
            </w:r>
            <w:r>
              <w:rPr>
                <w:rFonts w:hint="eastAsia" w:ascii="宋体" w:hAnsi="宋体" w:eastAsia="宋体" w:cs="宋体"/>
                <w:bCs/>
                <w:sz w:val="22"/>
                <w:szCs w:val="16"/>
              </w:rPr>
              <w:t>科学合理、可操作性强、完全响应需求的得</w:t>
            </w:r>
            <w:r>
              <w:rPr>
                <w:rFonts w:hint="eastAsia" w:ascii="宋体" w:hAnsi="宋体" w:eastAsia="宋体" w:cs="宋体"/>
                <w:bCs/>
                <w:sz w:val="22"/>
                <w:szCs w:val="16"/>
                <w:lang w:val="en-US" w:eastAsia="zh-CN"/>
              </w:rPr>
              <w:t>9</w:t>
            </w:r>
            <w:r>
              <w:rPr>
                <w:rFonts w:hint="eastAsia" w:ascii="宋体" w:hAnsi="宋体" w:eastAsia="宋体" w:cs="宋体"/>
                <w:bCs/>
                <w:sz w:val="22"/>
                <w:szCs w:val="16"/>
              </w:rPr>
              <w:t>分；</w:t>
            </w:r>
          </w:p>
          <w:p w14:paraId="2409CADE">
            <w:pPr>
              <w:spacing w:line="276" w:lineRule="auto"/>
              <w:ind w:firstLine="220" w:firstLineChars="100"/>
              <w:rPr>
                <w:rFonts w:ascii="宋体" w:hAnsi="宋体" w:eastAsia="宋体" w:cs="宋体"/>
                <w:bCs/>
                <w:sz w:val="22"/>
                <w:szCs w:val="16"/>
              </w:rPr>
            </w:pPr>
            <w:r>
              <w:rPr>
                <w:rFonts w:hint="eastAsia" w:ascii="宋体" w:hAnsi="宋体" w:eastAsia="宋体" w:cs="宋体"/>
                <w:sz w:val="22"/>
                <w:szCs w:val="16"/>
              </w:rPr>
              <w:t>措施</w:t>
            </w:r>
            <w:r>
              <w:rPr>
                <w:rFonts w:hint="eastAsia" w:ascii="宋体" w:hAnsi="宋体" w:eastAsia="宋体" w:cs="宋体"/>
                <w:bCs/>
                <w:sz w:val="22"/>
                <w:szCs w:val="16"/>
              </w:rPr>
              <w:t>较科学合理、可操作性较强，基本响应需求的得</w:t>
            </w:r>
            <w:r>
              <w:rPr>
                <w:rFonts w:hint="eastAsia" w:ascii="宋体" w:hAnsi="宋体" w:eastAsia="宋体" w:cs="宋体"/>
                <w:bCs/>
                <w:sz w:val="22"/>
                <w:szCs w:val="16"/>
                <w:lang w:val="en-US" w:eastAsia="zh-CN"/>
              </w:rPr>
              <w:t>7</w:t>
            </w:r>
            <w:r>
              <w:rPr>
                <w:rFonts w:hint="eastAsia" w:ascii="宋体" w:hAnsi="宋体" w:eastAsia="宋体" w:cs="宋体"/>
                <w:bCs/>
                <w:sz w:val="22"/>
                <w:szCs w:val="16"/>
              </w:rPr>
              <w:t>分；</w:t>
            </w:r>
          </w:p>
          <w:p w14:paraId="46BC3BA4">
            <w:pPr>
              <w:spacing w:line="276" w:lineRule="auto"/>
              <w:ind w:firstLine="220" w:firstLineChars="100"/>
              <w:rPr>
                <w:rFonts w:ascii="宋体" w:hAnsi="宋体" w:eastAsia="宋体" w:cs="宋体"/>
                <w:bCs/>
                <w:sz w:val="22"/>
                <w:szCs w:val="16"/>
              </w:rPr>
            </w:pPr>
            <w:r>
              <w:rPr>
                <w:rFonts w:hint="eastAsia" w:ascii="宋体" w:hAnsi="宋体" w:eastAsia="宋体" w:cs="宋体"/>
                <w:sz w:val="22"/>
                <w:szCs w:val="16"/>
              </w:rPr>
              <w:t>措施</w:t>
            </w:r>
            <w:r>
              <w:rPr>
                <w:rFonts w:hint="eastAsia" w:ascii="宋体" w:hAnsi="宋体" w:eastAsia="宋体" w:cs="宋体"/>
                <w:bCs/>
                <w:sz w:val="22"/>
                <w:szCs w:val="16"/>
              </w:rPr>
              <w:t>可操作性一般，操作存在一定难度的得</w:t>
            </w:r>
            <w:r>
              <w:rPr>
                <w:rFonts w:hint="eastAsia" w:ascii="宋体" w:hAnsi="宋体" w:eastAsia="宋体" w:cs="宋体"/>
                <w:bCs/>
                <w:sz w:val="22"/>
                <w:szCs w:val="16"/>
                <w:lang w:val="en-US" w:eastAsia="zh-CN"/>
              </w:rPr>
              <w:t>5</w:t>
            </w:r>
            <w:r>
              <w:rPr>
                <w:rFonts w:hint="eastAsia" w:ascii="宋体" w:hAnsi="宋体" w:eastAsia="宋体" w:cs="宋体"/>
                <w:bCs/>
                <w:sz w:val="22"/>
                <w:szCs w:val="16"/>
              </w:rPr>
              <w:t>分</w:t>
            </w:r>
          </w:p>
          <w:p w14:paraId="1BB914B2">
            <w:pPr>
              <w:spacing w:line="276" w:lineRule="auto"/>
              <w:ind w:firstLine="220" w:firstLineChars="100"/>
              <w:rPr>
                <w:rFonts w:ascii="宋体" w:hAnsi="宋体" w:eastAsia="宋体" w:cs="宋体"/>
                <w:bCs/>
                <w:sz w:val="22"/>
                <w:szCs w:val="16"/>
              </w:rPr>
            </w:pPr>
            <w:r>
              <w:rPr>
                <w:rFonts w:hint="eastAsia" w:ascii="宋体" w:hAnsi="宋体" w:eastAsia="宋体" w:cs="宋体"/>
                <w:sz w:val="22"/>
                <w:szCs w:val="16"/>
              </w:rPr>
              <w:t>措施</w:t>
            </w:r>
            <w:r>
              <w:rPr>
                <w:rFonts w:hint="eastAsia" w:ascii="宋体" w:hAnsi="宋体" w:eastAsia="宋体" w:cs="宋体"/>
                <w:bCs/>
                <w:sz w:val="22"/>
                <w:szCs w:val="16"/>
              </w:rPr>
              <w:t>不完整、有所欠缺的得2分；</w:t>
            </w:r>
          </w:p>
          <w:p w14:paraId="4D729B8D">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未提供不得分。</w:t>
            </w:r>
          </w:p>
          <w:p w14:paraId="1BCB0899">
            <w:pPr>
              <w:spacing w:line="276" w:lineRule="auto"/>
              <w:rPr>
                <w:rFonts w:ascii="宋体" w:hAnsi="宋体" w:eastAsia="宋体" w:cs="宋体"/>
                <w:b/>
                <w:sz w:val="22"/>
                <w:szCs w:val="16"/>
              </w:rPr>
            </w:pPr>
            <w:r>
              <w:rPr>
                <w:rFonts w:hint="eastAsia" w:ascii="宋体" w:hAnsi="宋体" w:eastAsia="宋体" w:cs="宋体"/>
                <w:b/>
                <w:sz w:val="22"/>
                <w:szCs w:val="16"/>
              </w:rPr>
              <w:t>3、组织机构与管理办法（8分）</w:t>
            </w:r>
          </w:p>
          <w:p w14:paraId="5DC373D1">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科学合理、可操作性强、完全响应需求的得8分；</w:t>
            </w:r>
          </w:p>
          <w:p w14:paraId="06BE4504">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较科学合理、可操作性较强，基本响应需求的得6分；</w:t>
            </w:r>
          </w:p>
          <w:p w14:paraId="57C1EBD0">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可操作性一般，操作存在一定难度的得4分；</w:t>
            </w:r>
          </w:p>
          <w:p w14:paraId="76298D9C">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有所欠缺的得2分；</w:t>
            </w:r>
          </w:p>
          <w:p w14:paraId="6BFB1FA7">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未提供不得分。</w:t>
            </w:r>
          </w:p>
          <w:p w14:paraId="3770264B">
            <w:pPr>
              <w:spacing w:line="276" w:lineRule="auto"/>
              <w:rPr>
                <w:rFonts w:ascii="宋体" w:hAnsi="宋体" w:eastAsia="宋体" w:cs="宋体"/>
                <w:b/>
                <w:sz w:val="22"/>
                <w:szCs w:val="16"/>
              </w:rPr>
            </w:pPr>
            <w:r>
              <w:rPr>
                <w:rFonts w:hint="eastAsia" w:ascii="宋体" w:hAnsi="宋体" w:eastAsia="宋体" w:cs="宋体"/>
                <w:b/>
                <w:sz w:val="22"/>
                <w:szCs w:val="16"/>
              </w:rPr>
              <w:t>4、对造价人员的管理措施及管理制度（8分）</w:t>
            </w:r>
          </w:p>
          <w:p w14:paraId="38F1E6C5">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科学合理、可操作性强、完全响应需求的得8分；</w:t>
            </w:r>
          </w:p>
          <w:p w14:paraId="16AFB052">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较科学合理、可操作性较强，基本响应需求的得6分；</w:t>
            </w:r>
          </w:p>
          <w:p w14:paraId="50B6D4D1">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可操作性一般，操作存在一定难度的得4分；</w:t>
            </w:r>
          </w:p>
          <w:p w14:paraId="4A60B3A6">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不合理、有所欠缺的得2分；</w:t>
            </w:r>
          </w:p>
          <w:p w14:paraId="6A48DC52">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未提供不得分。</w:t>
            </w:r>
          </w:p>
          <w:p w14:paraId="48D34EBE">
            <w:pPr>
              <w:spacing w:line="276" w:lineRule="auto"/>
              <w:rPr>
                <w:rFonts w:ascii="宋体" w:hAnsi="宋体" w:eastAsia="宋体" w:cs="宋体"/>
                <w:b/>
                <w:sz w:val="22"/>
                <w:szCs w:val="16"/>
              </w:rPr>
            </w:pPr>
            <w:r>
              <w:rPr>
                <w:rFonts w:hint="eastAsia" w:ascii="宋体" w:hAnsi="宋体" w:eastAsia="宋体" w:cs="宋体"/>
                <w:b/>
                <w:sz w:val="22"/>
                <w:szCs w:val="16"/>
              </w:rPr>
              <w:t>5、本项目重点、难点分析及优化与建议（8分）</w:t>
            </w:r>
          </w:p>
          <w:p w14:paraId="1357D222">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分析建议科学合理、可操作性强、完全响应需求的得8分；</w:t>
            </w:r>
          </w:p>
          <w:p w14:paraId="3D3EEACF">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分析建议较科学合理、可操作性较强，基本响应需求的得6分；</w:t>
            </w:r>
          </w:p>
          <w:p w14:paraId="4972B02C">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分析建议可操作性一般，操作存在一定难度的得4分；</w:t>
            </w:r>
          </w:p>
          <w:p w14:paraId="1A8A2795">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分析不完整、有所欠缺的得2分；</w:t>
            </w:r>
          </w:p>
          <w:p w14:paraId="2784B2B9">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未提供不得分。</w:t>
            </w:r>
          </w:p>
          <w:p w14:paraId="53601717">
            <w:pPr>
              <w:spacing w:line="276" w:lineRule="auto"/>
              <w:rPr>
                <w:rFonts w:ascii="宋体" w:hAnsi="宋体" w:eastAsia="宋体" w:cs="宋体"/>
                <w:b/>
                <w:sz w:val="22"/>
                <w:szCs w:val="16"/>
              </w:rPr>
            </w:pPr>
            <w:r>
              <w:rPr>
                <w:rFonts w:hint="eastAsia" w:ascii="宋体" w:hAnsi="宋体" w:eastAsia="宋体" w:cs="宋体"/>
                <w:b/>
                <w:sz w:val="22"/>
                <w:szCs w:val="16"/>
              </w:rPr>
              <w:t>6、服务承诺（8分）</w:t>
            </w:r>
          </w:p>
          <w:p w14:paraId="12519EDF">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承诺科学合理、可操作性强、完全响应需求得8分；</w:t>
            </w:r>
          </w:p>
          <w:p w14:paraId="45416A32">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承诺较科学合理、可操作性较强、基本响应需求得6分；</w:t>
            </w:r>
          </w:p>
          <w:p w14:paraId="35590EAB">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承诺可操作性一般得4分；</w:t>
            </w:r>
          </w:p>
          <w:p w14:paraId="4B78DB86">
            <w:pPr>
              <w:spacing w:line="276" w:lineRule="auto"/>
              <w:ind w:firstLine="220" w:firstLineChars="100"/>
              <w:rPr>
                <w:rFonts w:ascii="宋体" w:hAnsi="宋体" w:eastAsia="宋体" w:cs="宋体"/>
                <w:bCs/>
                <w:sz w:val="22"/>
                <w:szCs w:val="16"/>
              </w:rPr>
            </w:pPr>
            <w:r>
              <w:rPr>
                <w:rFonts w:hint="eastAsia" w:ascii="宋体" w:hAnsi="宋体" w:eastAsia="宋体" w:cs="宋体"/>
                <w:bCs/>
                <w:sz w:val="22"/>
                <w:szCs w:val="16"/>
              </w:rPr>
              <w:t>不合理、有所欠缺的得2分；</w:t>
            </w:r>
          </w:p>
          <w:p w14:paraId="6D6938A2">
            <w:pPr>
              <w:spacing w:line="276" w:lineRule="auto"/>
              <w:ind w:firstLine="220" w:firstLineChars="100"/>
              <w:rPr>
                <w:rFonts w:ascii="宋体" w:hAnsi="宋体" w:eastAsia="宋体" w:cs="宋体"/>
                <w:sz w:val="22"/>
                <w:szCs w:val="18"/>
              </w:rPr>
            </w:pPr>
            <w:r>
              <w:rPr>
                <w:rFonts w:hint="eastAsia" w:ascii="宋体" w:hAnsi="宋体" w:eastAsia="宋体" w:cs="宋体"/>
                <w:bCs/>
                <w:sz w:val="22"/>
                <w:szCs w:val="16"/>
              </w:rPr>
              <w:t>未提供不得分。</w:t>
            </w:r>
          </w:p>
        </w:tc>
      </w:tr>
      <w:tr w14:paraId="738918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2" w:type="dxa"/>
            <w:vAlign w:val="center"/>
          </w:tcPr>
          <w:p w14:paraId="0880D169">
            <w:pPr>
              <w:spacing w:line="380" w:lineRule="exact"/>
              <w:jc w:val="center"/>
              <w:rPr>
                <w:rFonts w:ascii="宋体" w:hAnsi="宋体" w:eastAsia="宋体" w:cs="宋体"/>
                <w:bCs/>
                <w:sz w:val="22"/>
                <w:szCs w:val="16"/>
              </w:rPr>
            </w:pPr>
          </w:p>
          <w:p w14:paraId="7892DADC">
            <w:pPr>
              <w:spacing w:line="380" w:lineRule="exact"/>
              <w:jc w:val="center"/>
              <w:rPr>
                <w:rFonts w:ascii="宋体" w:hAnsi="宋体" w:eastAsia="宋体" w:cs="宋体"/>
                <w:bCs/>
                <w:sz w:val="22"/>
                <w:szCs w:val="16"/>
              </w:rPr>
            </w:pPr>
            <w:r>
              <w:rPr>
                <w:rFonts w:hint="eastAsia" w:ascii="宋体" w:hAnsi="宋体" w:eastAsia="宋体" w:cs="宋体"/>
                <w:bCs/>
                <w:sz w:val="22"/>
                <w:szCs w:val="16"/>
              </w:rPr>
              <w:t>项目组配置</w:t>
            </w:r>
          </w:p>
          <w:p w14:paraId="37D3EC2F">
            <w:pPr>
              <w:spacing w:line="380" w:lineRule="exact"/>
              <w:jc w:val="center"/>
              <w:rPr>
                <w:rFonts w:ascii="宋体" w:hAnsi="宋体" w:eastAsia="宋体" w:cs="宋体"/>
                <w:bCs/>
                <w:sz w:val="22"/>
                <w:szCs w:val="16"/>
              </w:rPr>
            </w:pPr>
            <w:r>
              <w:rPr>
                <w:rFonts w:hint="eastAsia" w:ascii="宋体" w:hAnsi="宋体" w:eastAsia="宋体" w:cs="宋体"/>
                <w:bCs/>
                <w:sz w:val="22"/>
                <w:szCs w:val="16"/>
              </w:rPr>
              <w:t>（1</w:t>
            </w:r>
            <w:r>
              <w:rPr>
                <w:rFonts w:hint="eastAsia" w:ascii="宋体" w:hAnsi="宋体" w:eastAsia="宋体" w:cs="宋体"/>
                <w:bCs/>
                <w:sz w:val="22"/>
                <w:szCs w:val="16"/>
                <w:lang w:val="en-US" w:eastAsia="zh-CN"/>
              </w:rPr>
              <w:t>5</w:t>
            </w:r>
            <w:r>
              <w:rPr>
                <w:rFonts w:hint="eastAsia" w:ascii="宋体" w:hAnsi="宋体" w:eastAsia="宋体" w:cs="宋体"/>
                <w:bCs/>
                <w:sz w:val="22"/>
                <w:szCs w:val="16"/>
              </w:rPr>
              <w:t>分）</w:t>
            </w:r>
          </w:p>
        </w:tc>
        <w:tc>
          <w:tcPr>
            <w:tcW w:w="7863" w:type="dxa"/>
          </w:tcPr>
          <w:p w14:paraId="3C36EF98">
            <w:pPr>
              <w:spacing w:line="400" w:lineRule="exact"/>
              <w:ind w:right="-3" w:rightChars="-1"/>
              <w:rPr>
                <w:rFonts w:hint="eastAsia" w:ascii="宋体" w:hAnsi="宋体" w:eastAsia="宋体" w:cs="宋体"/>
                <w:sz w:val="22"/>
                <w:szCs w:val="16"/>
                <w:lang w:eastAsia="zh-CN"/>
              </w:rPr>
            </w:pPr>
            <w:r>
              <w:rPr>
                <w:rFonts w:hint="eastAsia" w:ascii="宋体" w:hAnsi="宋体" w:eastAsia="宋体" w:cs="宋体"/>
                <w:sz w:val="22"/>
                <w:szCs w:val="16"/>
              </w:rPr>
              <w:t>1、项目负责人：具有工程类中级技术职称的得</w:t>
            </w:r>
            <w:r>
              <w:rPr>
                <w:rFonts w:hint="eastAsia" w:ascii="宋体" w:hAnsi="宋体" w:eastAsia="宋体" w:cs="宋体"/>
                <w:sz w:val="22"/>
                <w:szCs w:val="16"/>
                <w:lang w:val="en-US" w:eastAsia="zh-CN"/>
              </w:rPr>
              <w:t>2</w:t>
            </w:r>
            <w:r>
              <w:rPr>
                <w:rFonts w:hint="eastAsia" w:ascii="宋体" w:hAnsi="宋体" w:eastAsia="宋体" w:cs="宋体"/>
                <w:sz w:val="22"/>
                <w:szCs w:val="16"/>
              </w:rPr>
              <w:t>分，具有工程类高级及以上技术职称的得</w:t>
            </w:r>
            <w:r>
              <w:rPr>
                <w:rFonts w:hint="eastAsia" w:ascii="宋体" w:hAnsi="宋体" w:eastAsia="宋体" w:cs="宋体"/>
                <w:sz w:val="22"/>
                <w:szCs w:val="16"/>
                <w:lang w:val="en-US" w:eastAsia="zh-CN"/>
              </w:rPr>
              <w:t>3</w:t>
            </w:r>
            <w:r>
              <w:rPr>
                <w:rFonts w:hint="eastAsia" w:ascii="宋体" w:hAnsi="宋体" w:eastAsia="宋体" w:cs="宋体"/>
                <w:sz w:val="22"/>
                <w:szCs w:val="16"/>
              </w:rPr>
              <w:t>分；</w:t>
            </w:r>
            <w:r>
              <w:rPr>
                <w:rFonts w:hint="eastAsia" w:ascii="宋体" w:hAnsi="宋体" w:eastAsia="宋体" w:cs="宋体"/>
                <w:sz w:val="22"/>
                <w:szCs w:val="16"/>
                <w:lang w:eastAsia="zh-CN"/>
              </w:rPr>
              <w:t>（</w:t>
            </w:r>
            <w:r>
              <w:rPr>
                <w:rFonts w:hint="eastAsia" w:ascii="宋体" w:hAnsi="宋体" w:eastAsia="宋体" w:cs="宋体"/>
                <w:sz w:val="22"/>
                <w:szCs w:val="16"/>
                <w:lang w:val="en-US" w:eastAsia="zh-CN"/>
              </w:rPr>
              <w:t>本项满分3分</w:t>
            </w:r>
            <w:r>
              <w:rPr>
                <w:rFonts w:hint="eastAsia" w:ascii="宋体" w:hAnsi="宋体" w:eastAsia="宋体" w:cs="宋体"/>
                <w:sz w:val="22"/>
                <w:szCs w:val="16"/>
                <w:lang w:eastAsia="zh-CN"/>
              </w:rPr>
              <w:t>）</w:t>
            </w:r>
          </w:p>
          <w:p w14:paraId="3F07D94E">
            <w:pPr>
              <w:spacing w:line="400" w:lineRule="exact"/>
              <w:ind w:right="-3" w:rightChars="-1"/>
              <w:rPr>
                <w:rFonts w:hint="default" w:ascii="宋体" w:hAnsi="宋体" w:eastAsia="宋体" w:cs="宋体"/>
                <w:sz w:val="22"/>
                <w:szCs w:val="16"/>
                <w:lang w:val="en-US" w:eastAsia="zh-CN"/>
              </w:rPr>
            </w:pPr>
            <w:r>
              <w:rPr>
                <w:rFonts w:hint="eastAsia" w:ascii="宋体" w:hAnsi="宋体" w:eastAsia="宋体" w:cs="宋体"/>
                <w:sz w:val="22"/>
                <w:szCs w:val="16"/>
              </w:rPr>
              <w:t>2、项目组</w:t>
            </w:r>
            <w:r>
              <w:rPr>
                <w:rFonts w:hint="eastAsia" w:ascii="宋体" w:hAnsi="宋体" w:eastAsia="宋体" w:cs="宋体"/>
                <w:sz w:val="22"/>
                <w:szCs w:val="16"/>
                <w:lang w:val="en-US" w:eastAsia="zh-CN"/>
              </w:rPr>
              <w:t>成员配置</w:t>
            </w:r>
            <w:r>
              <w:rPr>
                <w:rFonts w:hint="eastAsia" w:ascii="宋体" w:hAnsi="宋体" w:eastAsia="宋体" w:cs="宋体"/>
                <w:sz w:val="22"/>
                <w:szCs w:val="16"/>
              </w:rPr>
              <w:t>（不含项目负责人）：</w:t>
            </w:r>
            <w:r>
              <w:rPr>
                <w:rFonts w:hint="eastAsia" w:ascii="宋体" w:hAnsi="宋体" w:cs="宋体"/>
                <w:sz w:val="22"/>
                <w:szCs w:val="16"/>
                <w:lang w:val="en-US" w:eastAsia="zh-CN"/>
              </w:rPr>
              <w:t>土木建筑</w:t>
            </w:r>
            <w:r>
              <w:rPr>
                <w:rFonts w:hint="eastAsia" w:ascii="宋体" w:hAnsi="宋体" w:eastAsia="宋体" w:cs="宋体"/>
                <w:sz w:val="22"/>
                <w:szCs w:val="16"/>
              </w:rPr>
              <w:t>一级注册造价师</w:t>
            </w:r>
            <w:r>
              <w:rPr>
                <w:rFonts w:hint="eastAsia" w:ascii="宋体" w:hAnsi="宋体" w:eastAsia="宋体" w:cs="宋体"/>
                <w:sz w:val="22"/>
                <w:szCs w:val="16"/>
                <w:lang w:val="en-US" w:eastAsia="zh-CN"/>
              </w:rPr>
              <w:t>1人，</w:t>
            </w:r>
            <w:r>
              <w:rPr>
                <w:rFonts w:hint="eastAsia" w:ascii="宋体" w:hAnsi="宋体" w:eastAsia="宋体" w:cs="宋体"/>
                <w:sz w:val="22"/>
                <w:szCs w:val="16"/>
              </w:rPr>
              <w:t>安装</w:t>
            </w:r>
            <w:r>
              <w:rPr>
                <w:rFonts w:hint="eastAsia" w:ascii="宋体" w:hAnsi="宋体" w:eastAsia="宋体" w:cs="宋体"/>
                <w:sz w:val="22"/>
                <w:szCs w:val="16"/>
                <w:lang w:val="en-US" w:eastAsia="zh-CN"/>
              </w:rPr>
              <w:t>工程</w:t>
            </w:r>
            <w:r>
              <w:rPr>
                <w:rFonts w:hint="eastAsia" w:ascii="宋体" w:hAnsi="宋体" w:eastAsia="宋体" w:cs="宋体"/>
                <w:sz w:val="22"/>
                <w:szCs w:val="16"/>
              </w:rPr>
              <w:t>一级注册造价师</w:t>
            </w:r>
            <w:r>
              <w:rPr>
                <w:rFonts w:hint="eastAsia" w:ascii="宋体" w:hAnsi="宋体" w:eastAsia="宋体" w:cs="宋体"/>
                <w:sz w:val="22"/>
                <w:szCs w:val="16"/>
                <w:lang w:val="en-US" w:eastAsia="zh-CN"/>
              </w:rPr>
              <w:t>1人，满足要求的得6分，不满足不得分</w:t>
            </w:r>
            <w:r>
              <w:rPr>
                <w:rFonts w:hint="eastAsia" w:ascii="宋体" w:hAnsi="宋体" w:eastAsia="宋体" w:cs="宋体"/>
                <w:sz w:val="22"/>
                <w:szCs w:val="16"/>
              </w:rPr>
              <w:t>。</w:t>
            </w:r>
            <w:r>
              <w:rPr>
                <w:rFonts w:hint="eastAsia" w:ascii="宋体" w:hAnsi="宋体" w:eastAsia="宋体" w:cs="宋体"/>
                <w:sz w:val="22"/>
                <w:szCs w:val="16"/>
                <w:lang w:val="en-US" w:eastAsia="zh-CN"/>
              </w:rPr>
              <w:t>上述人员中</w:t>
            </w:r>
            <w:r>
              <w:rPr>
                <w:rFonts w:hint="eastAsia" w:ascii="宋体" w:hAnsi="宋体" w:eastAsia="宋体" w:cs="宋体"/>
                <w:sz w:val="22"/>
                <w:szCs w:val="16"/>
              </w:rPr>
              <w:t>具有工程类中级技术职称的</w:t>
            </w:r>
            <w:r>
              <w:rPr>
                <w:rFonts w:hint="eastAsia" w:ascii="宋体" w:hAnsi="宋体" w:cs="宋体"/>
                <w:sz w:val="22"/>
                <w:szCs w:val="16"/>
                <w:lang w:val="en-US" w:eastAsia="zh-CN"/>
              </w:rPr>
              <w:t>得2分/人，</w:t>
            </w:r>
            <w:r>
              <w:rPr>
                <w:rFonts w:hint="eastAsia" w:ascii="宋体" w:hAnsi="宋体" w:eastAsia="宋体" w:cs="宋体"/>
                <w:sz w:val="22"/>
                <w:szCs w:val="16"/>
              </w:rPr>
              <w:t>具有工程类高级及以上技术职称的</w:t>
            </w:r>
            <w:r>
              <w:rPr>
                <w:rFonts w:hint="eastAsia" w:ascii="宋体" w:hAnsi="宋体" w:cs="宋体"/>
                <w:sz w:val="22"/>
                <w:szCs w:val="16"/>
                <w:lang w:val="en-US" w:eastAsia="zh-CN"/>
              </w:rPr>
              <w:t>得3分/人。</w:t>
            </w:r>
          </w:p>
          <w:p w14:paraId="513590BB">
            <w:pPr>
              <w:spacing w:line="400" w:lineRule="exact"/>
              <w:ind w:right="-3" w:rightChars="-1"/>
              <w:rPr>
                <w:rFonts w:hint="eastAsia" w:ascii="宋体" w:hAnsi="宋体" w:eastAsia="宋体" w:cs="宋体"/>
                <w:sz w:val="22"/>
                <w:szCs w:val="16"/>
                <w:lang w:eastAsia="zh-CN"/>
              </w:rPr>
            </w:pPr>
            <w:r>
              <w:rPr>
                <w:rFonts w:hint="eastAsia" w:ascii="宋体" w:hAnsi="宋体" w:eastAsia="宋体" w:cs="宋体"/>
                <w:sz w:val="22"/>
                <w:szCs w:val="16"/>
                <w:lang w:eastAsia="zh-CN"/>
              </w:rPr>
              <w:t>（</w:t>
            </w:r>
            <w:r>
              <w:rPr>
                <w:rFonts w:hint="eastAsia" w:ascii="宋体" w:hAnsi="宋体" w:eastAsia="宋体" w:cs="宋体"/>
                <w:sz w:val="22"/>
                <w:szCs w:val="16"/>
                <w:lang w:val="en-US" w:eastAsia="zh-CN"/>
              </w:rPr>
              <w:t>本项满分</w:t>
            </w:r>
            <w:r>
              <w:rPr>
                <w:rFonts w:hint="eastAsia" w:ascii="宋体" w:hAnsi="宋体" w:cs="宋体"/>
                <w:sz w:val="22"/>
                <w:szCs w:val="16"/>
                <w:lang w:val="en-US" w:eastAsia="zh-CN"/>
              </w:rPr>
              <w:t>12</w:t>
            </w:r>
            <w:r>
              <w:rPr>
                <w:rFonts w:hint="eastAsia" w:ascii="宋体" w:hAnsi="宋体" w:eastAsia="宋体" w:cs="宋体"/>
                <w:sz w:val="22"/>
                <w:szCs w:val="16"/>
                <w:lang w:val="en-US" w:eastAsia="zh-CN"/>
              </w:rPr>
              <w:t>分</w:t>
            </w:r>
            <w:r>
              <w:rPr>
                <w:rFonts w:hint="eastAsia" w:ascii="宋体" w:hAnsi="宋体" w:eastAsia="宋体" w:cs="宋体"/>
                <w:sz w:val="22"/>
                <w:szCs w:val="16"/>
                <w:lang w:eastAsia="zh-CN"/>
              </w:rPr>
              <w:t>）</w:t>
            </w:r>
          </w:p>
          <w:p w14:paraId="1FBEF685">
            <w:pPr>
              <w:spacing w:line="400" w:lineRule="exact"/>
              <w:ind w:right="-3" w:rightChars="-1"/>
              <w:rPr>
                <w:rFonts w:ascii="宋体" w:hAnsi="宋体" w:eastAsia="宋体" w:cs="宋体"/>
                <w:b/>
                <w:sz w:val="22"/>
                <w:szCs w:val="16"/>
              </w:rPr>
            </w:pPr>
            <w:r>
              <w:rPr>
                <w:rFonts w:hint="eastAsia" w:ascii="宋体" w:hAnsi="宋体" w:eastAsia="宋体" w:cs="宋体"/>
                <w:b/>
                <w:bCs/>
                <w:sz w:val="22"/>
                <w:szCs w:val="16"/>
              </w:rPr>
              <w:t>（以上人员需提供执业资格证书、注册证书、职称证书复印件加盖供应商公章）</w:t>
            </w:r>
          </w:p>
        </w:tc>
      </w:tr>
      <w:tr w14:paraId="49009B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jc w:val="center"/>
        </w:trPr>
        <w:tc>
          <w:tcPr>
            <w:tcW w:w="1512" w:type="dxa"/>
            <w:vAlign w:val="center"/>
          </w:tcPr>
          <w:p w14:paraId="27C81E1B">
            <w:pPr>
              <w:spacing w:line="380" w:lineRule="exact"/>
              <w:jc w:val="center"/>
              <w:rPr>
                <w:rFonts w:ascii="宋体" w:hAnsi="宋体" w:eastAsia="宋体" w:cs="宋体"/>
                <w:bCs/>
                <w:sz w:val="22"/>
                <w:szCs w:val="16"/>
              </w:rPr>
            </w:pPr>
            <w:r>
              <w:rPr>
                <w:rFonts w:hint="eastAsia" w:ascii="宋体" w:hAnsi="宋体" w:eastAsia="宋体" w:cs="宋体"/>
                <w:bCs/>
                <w:sz w:val="22"/>
                <w:szCs w:val="16"/>
              </w:rPr>
              <w:t>综合实力</w:t>
            </w:r>
          </w:p>
          <w:p w14:paraId="78174B5D">
            <w:pPr>
              <w:spacing w:line="380" w:lineRule="exact"/>
              <w:jc w:val="center"/>
              <w:rPr>
                <w:rFonts w:ascii="宋体" w:hAnsi="宋体" w:eastAsia="宋体" w:cs="宋体"/>
                <w:bCs/>
                <w:sz w:val="22"/>
                <w:szCs w:val="16"/>
              </w:rPr>
            </w:pPr>
            <w:r>
              <w:rPr>
                <w:rFonts w:hint="eastAsia" w:ascii="宋体" w:hAnsi="宋体" w:eastAsia="宋体" w:cs="宋体"/>
                <w:bCs/>
                <w:sz w:val="22"/>
                <w:szCs w:val="16"/>
              </w:rPr>
              <w:t>（2</w:t>
            </w:r>
            <w:r>
              <w:rPr>
                <w:rFonts w:hint="eastAsia" w:ascii="宋体" w:hAnsi="宋体" w:eastAsia="宋体" w:cs="宋体"/>
                <w:bCs/>
                <w:sz w:val="22"/>
                <w:szCs w:val="16"/>
                <w:lang w:val="en-US" w:eastAsia="zh-CN"/>
              </w:rPr>
              <w:t>5</w:t>
            </w:r>
            <w:r>
              <w:rPr>
                <w:rFonts w:hint="eastAsia" w:ascii="宋体" w:hAnsi="宋体" w:eastAsia="宋体" w:cs="宋体"/>
                <w:bCs/>
                <w:sz w:val="22"/>
                <w:szCs w:val="16"/>
              </w:rPr>
              <w:t>分）</w:t>
            </w:r>
          </w:p>
        </w:tc>
        <w:tc>
          <w:tcPr>
            <w:tcW w:w="7863" w:type="dxa"/>
          </w:tcPr>
          <w:p w14:paraId="49A081F5">
            <w:pPr>
              <w:numPr>
                <w:ilvl w:val="0"/>
                <w:numId w:val="0"/>
              </w:numPr>
              <w:spacing w:line="400" w:lineRule="exact"/>
              <w:ind w:leftChars="0" w:right="-3" w:rightChars="-1"/>
              <w:rPr>
                <w:rFonts w:ascii="宋体" w:hAnsi="宋体" w:eastAsia="宋体" w:cs="宋体"/>
                <w:sz w:val="22"/>
                <w:szCs w:val="16"/>
              </w:rPr>
            </w:pPr>
            <w:r>
              <w:rPr>
                <w:rFonts w:hint="eastAsia" w:ascii="宋体" w:hAnsi="宋体" w:eastAsia="宋体" w:cs="宋体"/>
                <w:sz w:val="22"/>
                <w:szCs w:val="16"/>
                <w:lang w:val="en-US" w:eastAsia="zh-CN"/>
              </w:rPr>
              <w:t>1、</w:t>
            </w:r>
            <w:r>
              <w:rPr>
                <w:rFonts w:hint="eastAsia" w:ascii="宋体" w:hAnsi="宋体" w:eastAsia="宋体" w:cs="宋体"/>
                <w:sz w:val="22"/>
                <w:szCs w:val="16"/>
              </w:rPr>
              <w:t>投标供应商获得中国建设工程造价管理协会颁发的工程造价咨询企业信用（有效期内），AAA得5分，AA得3分，AA以下得1分；</w:t>
            </w:r>
            <w:r>
              <w:rPr>
                <w:rFonts w:hint="eastAsia" w:ascii="宋体" w:hAnsi="宋体" w:eastAsia="宋体" w:cs="宋体"/>
                <w:b/>
                <w:sz w:val="22"/>
                <w:szCs w:val="16"/>
              </w:rPr>
              <w:t>（提供证书复印件加盖投标供应商公章）</w:t>
            </w:r>
          </w:p>
          <w:p w14:paraId="2393E46E">
            <w:pPr>
              <w:numPr>
                <w:ilvl w:val="0"/>
                <w:numId w:val="0"/>
              </w:numPr>
              <w:spacing w:line="400" w:lineRule="exact"/>
              <w:ind w:leftChars="0" w:right="-3" w:rightChars="-1"/>
              <w:rPr>
                <w:rFonts w:hint="eastAsia" w:ascii="宋体" w:hAnsi="宋体" w:eastAsia="宋体" w:cs="宋体"/>
                <w:b/>
                <w:sz w:val="22"/>
                <w:szCs w:val="16"/>
              </w:rPr>
            </w:pPr>
            <w:r>
              <w:rPr>
                <w:rFonts w:hint="eastAsia" w:ascii="宋体" w:hAnsi="宋体" w:eastAsia="宋体" w:cs="宋体"/>
                <w:sz w:val="22"/>
                <w:szCs w:val="16"/>
                <w:lang w:val="en-US" w:eastAsia="zh-CN"/>
              </w:rPr>
              <w:t>2、</w:t>
            </w:r>
            <w:r>
              <w:rPr>
                <w:rFonts w:hint="eastAsia" w:ascii="宋体" w:hAnsi="宋体" w:eastAsia="宋体" w:cs="宋体"/>
                <w:sz w:val="22"/>
                <w:szCs w:val="16"/>
              </w:rPr>
              <w:t>投标供应商获得省级工程造价管理协会颁发的造价企业信用等级评定证书（有效期内），AAAAA级得5分，AAAA级得3分，AAA级得1分，AAA级以下不得分；</w:t>
            </w:r>
            <w:r>
              <w:rPr>
                <w:rFonts w:hint="eastAsia" w:ascii="宋体" w:hAnsi="宋体" w:eastAsia="宋体" w:cs="宋体"/>
                <w:b/>
                <w:sz w:val="22"/>
                <w:szCs w:val="16"/>
              </w:rPr>
              <w:t>（提供证书复印件加盖投标供应商公章）</w:t>
            </w:r>
          </w:p>
          <w:p w14:paraId="06BFF3EE">
            <w:pPr>
              <w:pStyle w:val="2"/>
              <w:rPr>
                <w:rFonts w:hint="default" w:eastAsia="宋体"/>
                <w:lang w:val="en-US" w:eastAsia="zh-CN"/>
              </w:rPr>
            </w:pPr>
            <w:r>
              <w:rPr>
                <w:rFonts w:hint="eastAsia" w:ascii="宋体" w:hAnsi="宋体" w:eastAsia="宋体" w:cs="宋体"/>
                <w:b/>
                <w:sz w:val="22"/>
                <w:szCs w:val="16"/>
                <w:lang w:val="en-US" w:eastAsia="zh-CN"/>
              </w:rPr>
              <w:t>注：上述1、2项仅计最高分，不重复计分，满分5分。</w:t>
            </w:r>
          </w:p>
          <w:p w14:paraId="1B6E8DF0">
            <w:pPr>
              <w:numPr>
                <w:ilvl w:val="0"/>
                <w:numId w:val="0"/>
              </w:numPr>
              <w:spacing w:line="400" w:lineRule="exact"/>
              <w:ind w:leftChars="0" w:right="-3" w:rightChars="-1"/>
              <w:rPr>
                <w:rFonts w:ascii="宋体" w:hAnsi="宋体" w:eastAsia="宋体" w:cs="宋体"/>
                <w:b/>
                <w:sz w:val="22"/>
                <w:szCs w:val="16"/>
              </w:rPr>
            </w:pPr>
            <w:r>
              <w:rPr>
                <w:rFonts w:hint="eastAsia" w:ascii="宋体" w:hAnsi="宋体" w:eastAsia="宋体" w:cs="宋体"/>
                <w:sz w:val="22"/>
                <w:szCs w:val="16"/>
                <w:lang w:val="en-US" w:eastAsia="zh-CN"/>
              </w:rPr>
              <w:t>3、</w:t>
            </w:r>
            <w:r>
              <w:rPr>
                <w:rFonts w:hint="eastAsia" w:ascii="宋体" w:hAnsi="宋体" w:eastAsia="宋体" w:cs="宋体"/>
                <w:sz w:val="22"/>
                <w:szCs w:val="16"/>
              </w:rPr>
              <w:t>投标供应商具有有效期内的质量管理体系认证、环境管理体系认证、职业健康安全管理管理体系认证的，每有一个得</w:t>
            </w:r>
            <w:r>
              <w:rPr>
                <w:rFonts w:hint="eastAsia" w:ascii="宋体" w:hAnsi="宋体" w:cs="宋体"/>
                <w:sz w:val="22"/>
                <w:szCs w:val="16"/>
                <w:lang w:val="en-US" w:eastAsia="zh-CN"/>
              </w:rPr>
              <w:t>1</w:t>
            </w:r>
            <w:r>
              <w:rPr>
                <w:rFonts w:hint="eastAsia" w:ascii="宋体" w:hAnsi="宋体" w:eastAsia="宋体" w:cs="宋体"/>
                <w:sz w:val="22"/>
                <w:szCs w:val="16"/>
              </w:rPr>
              <w:t>分，满分</w:t>
            </w:r>
            <w:r>
              <w:rPr>
                <w:rFonts w:hint="eastAsia" w:ascii="宋体" w:hAnsi="宋体" w:cs="宋体"/>
                <w:sz w:val="22"/>
                <w:szCs w:val="16"/>
                <w:lang w:val="en-US" w:eastAsia="zh-CN"/>
              </w:rPr>
              <w:t>3</w:t>
            </w:r>
            <w:r>
              <w:rPr>
                <w:rFonts w:hint="eastAsia" w:ascii="宋体" w:hAnsi="宋体" w:eastAsia="宋体" w:cs="宋体"/>
                <w:sz w:val="22"/>
                <w:szCs w:val="16"/>
              </w:rPr>
              <w:t>分。</w:t>
            </w:r>
            <w:r>
              <w:rPr>
                <w:rFonts w:hint="eastAsia" w:ascii="宋体" w:hAnsi="宋体" w:eastAsia="宋体" w:cs="宋体"/>
                <w:b/>
                <w:sz w:val="22"/>
                <w:szCs w:val="16"/>
              </w:rPr>
              <w:t>（提供证书复印件加盖投标供应商公章）</w:t>
            </w:r>
          </w:p>
          <w:p w14:paraId="746D2552">
            <w:pPr>
              <w:numPr>
                <w:ilvl w:val="0"/>
                <w:numId w:val="0"/>
              </w:numPr>
              <w:spacing w:line="400" w:lineRule="exact"/>
              <w:ind w:leftChars="0" w:right="-3" w:rightChars="-1"/>
              <w:rPr>
                <w:rFonts w:hint="eastAsia" w:ascii="宋体" w:hAnsi="宋体" w:eastAsia="宋体" w:cs="宋体"/>
                <w:b/>
                <w:sz w:val="22"/>
                <w:szCs w:val="16"/>
              </w:rPr>
            </w:pPr>
            <w:r>
              <w:rPr>
                <w:rFonts w:hint="eastAsia" w:ascii="宋体" w:hAnsi="宋体" w:eastAsia="宋体" w:cs="宋体"/>
                <w:sz w:val="21"/>
                <w:szCs w:val="21"/>
                <w:lang w:val="en-US" w:eastAsia="zh-CN"/>
              </w:rPr>
              <w:t>4、</w:t>
            </w:r>
            <w:r>
              <w:rPr>
                <w:rFonts w:hint="eastAsia" w:ascii="宋体" w:hAnsi="宋体" w:eastAsia="宋体" w:cs="宋体"/>
                <w:sz w:val="21"/>
                <w:szCs w:val="21"/>
              </w:rPr>
              <w:t>2021年1月1日以来供应商获得区级及以上住建局或审计局表彰或通报表扬的，得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r>
              <w:rPr>
                <w:rFonts w:hint="eastAsia" w:ascii="宋体" w:hAnsi="宋体" w:eastAsia="宋体" w:cs="宋体"/>
                <w:b/>
                <w:sz w:val="22"/>
                <w:szCs w:val="16"/>
              </w:rPr>
              <w:t>（提供证明资料复印件加盖投标供应商公章）</w:t>
            </w:r>
          </w:p>
          <w:p w14:paraId="2BEA3DF8">
            <w:pPr>
              <w:spacing w:line="380" w:lineRule="exact"/>
              <w:ind w:right="-3" w:rightChars="-1"/>
              <w:rPr>
                <w:rFonts w:ascii="宋体" w:hAnsi="宋体" w:eastAsia="宋体" w:cs="宋体"/>
                <w:sz w:val="22"/>
                <w:szCs w:val="16"/>
              </w:rPr>
            </w:pPr>
            <w:r>
              <w:rPr>
                <w:rFonts w:hint="eastAsia" w:ascii="宋体" w:hAnsi="宋体" w:eastAsia="宋体" w:cs="宋体"/>
                <w:bCs/>
                <w:sz w:val="22"/>
                <w:szCs w:val="16"/>
              </w:rPr>
              <w:t>5、投标供应商自2021年1月1日以来（以合同签订时间为准）承担过</w:t>
            </w:r>
            <w:r>
              <w:rPr>
                <w:rFonts w:hint="eastAsia" w:ascii="宋体" w:hAnsi="宋体" w:eastAsia="宋体" w:cs="宋体"/>
                <w:bCs/>
                <w:sz w:val="22"/>
                <w:szCs w:val="16"/>
                <w:lang w:val="en-US" w:eastAsia="zh-CN"/>
              </w:rPr>
              <w:t>类似</w:t>
            </w:r>
            <w:r>
              <w:rPr>
                <w:rFonts w:hint="eastAsia" w:ascii="宋体" w:hAnsi="宋体" w:eastAsia="宋体" w:cs="宋体"/>
                <w:bCs/>
                <w:sz w:val="22"/>
                <w:szCs w:val="16"/>
              </w:rPr>
              <w:t>造价咨询业绩的（</w:t>
            </w:r>
            <w:r>
              <w:rPr>
                <w:rFonts w:hint="eastAsia" w:ascii="宋体" w:hAnsi="宋体" w:eastAsia="宋体" w:cs="宋体"/>
                <w:bCs/>
                <w:sz w:val="22"/>
                <w:szCs w:val="16"/>
                <w:lang w:val="en-US" w:eastAsia="zh-CN"/>
              </w:rPr>
              <w:t>工程量清单及招标控制价编制或审核</w:t>
            </w:r>
            <w:r>
              <w:rPr>
                <w:rFonts w:hint="eastAsia" w:ascii="宋体" w:hAnsi="宋体" w:eastAsia="宋体" w:cs="宋体"/>
                <w:bCs/>
                <w:sz w:val="22"/>
                <w:szCs w:val="16"/>
              </w:rPr>
              <w:t>），有1个得3分，</w:t>
            </w:r>
            <w:r>
              <w:rPr>
                <w:rFonts w:hint="eastAsia" w:ascii="宋体" w:hAnsi="宋体" w:eastAsia="宋体" w:cs="宋体"/>
                <w:sz w:val="22"/>
                <w:szCs w:val="16"/>
              </w:rPr>
              <w:t>本项满分</w:t>
            </w:r>
            <w:r>
              <w:rPr>
                <w:rFonts w:hint="eastAsia" w:ascii="宋体" w:hAnsi="宋体" w:cs="宋体"/>
                <w:bCs/>
                <w:sz w:val="22"/>
                <w:szCs w:val="16"/>
                <w:lang w:val="en-US" w:eastAsia="zh-CN"/>
              </w:rPr>
              <w:t>12</w:t>
            </w:r>
            <w:r>
              <w:rPr>
                <w:rFonts w:hint="eastAsia" w:ascii="宋体" w:hAnsi="宋体" w:eastAsia="宋体" w:cs="宋体"/>
                <w:bCs/>
                <w:sz w:val="22"/>
                <w:szCs w:val="16"/>
              </w:rPr>
              <w:t>分。</w:t>
            </w:r>
            <w:r>
              <w:rPr>
                <w:rFonts w:hint="eastAsia" w:ascii="宋体" w:hAnsi="宋体" w:eastAsia="宋体" w:cs="宋体"/>
                <w:b/>
                <w:bCs/>
                <w:sz w:val="22"/>
                <w:szCs w:val="16"/>
              </w:rPr>
              <w:t>（提供合同</w:t>
            </w:r>
            <w:r>
              <w:rPr>
                <w:rFonts w:hint="eastAsia" w:ascii="宋体" w:hAnsi="宋体" w:eastAsia="宋体" w:cs="宋体"/>
                <w:b/>
                <w:sz w:val="22"/>
                <w:szCs w:val="16"/>
              </w:rPr>
              <w:t>复印件加盖投标供应商公章）</w:t>
            </w:r>
          </w:p>
        </w:tc>
      </w:tr>
      <w:tr w14:paraId="446253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75" w:type="dxa"/>
            <w:gridSpan w:val="2"/>
            <w:vAlign w:val="center"/>
          </w:tcPr>
          <w:p w14:paraId="4CA53524">
            <w:pPr>
              <w:tabs>
                <w:tab w:val="left" w:pos="9240"/>
              </w:tabs>
              <w:spacing w:line="240" w:lineRule="auto"/>
              <w:ind w:right="1495" w:rightChars="534"/>
              <w:jc w:val="center"/>
              <w:rPr>
                <w:rFonts w:ascii="宋体" w:hAnsi="宋体" w:eastAsia="宋体" w:cs="宋体"/>
                <w:b/>
                <w:sz w:val="22"/>
                <w:szCs w:val="16"/>
              </w:rPr>
            </w:pPr>
            <w:r>
              <w:rPr>
                <w:rFonts w:hint="eastAsia" w:ascii="宋体" w:hAnsi="宋体" w:eastAsia="宋体" w:cs="宋体"/>
                <w:b/>
                <w:sz w:val="22"/>
                <w:szCs w:val="16"/>
                <w:lang w:val="en-US" w:eastAsia="zh-CN"/>
              </w:rPr>
              <w:t xml:space="preserve">                      </w:t>
            </w:r>
            <w:r>
              <w:rPr>
                <w:rFonts w:hint="eastAsia" w:ascii="宋体" w:hAnsi="宋体" w:eastAsia="宋体" w:cs="宋体"/>
                <w:b/>
                <w:sz w:val="22"/>
                <w:szCs w:val="16"/>
              </w:rPr>
              <w:t>总分（100分）</w:t>
            </w:r>
          </w:p>
        </w:tc>
      </w:tr>
    </w:tbl>
    <w:p w14:paraId="029ACAC3">
      <w:pPr>
        <w:pStyle w:val="5"/>
        <w:spacing w:before="0" w:after="0" w:line="360" w:lineRule="auto"/>
        <w:rPr>
          <w:rFonts w:hint="eastAsia" w:ascii="宋体" w:hAnsi="宋体" w:eastAsia="宋体" w:cs="宋体"/>
          <w:b/>
          <w:sz w:val="21"/>
          <w:szCs w:val="21"/>
        </w:rPr>
      </w:pPr>
    </w:p>
    <w:p w14:paraId="129A3779">
      <w:pPr>
        <w:pStyle w:val="5"/>
        <w:spacing w:before="0" w:after="0" w:line="360" w:lineRule="auto"/>
        <w:rPr>
          <w:rFonts w:hint="eastAsia" w:ascii="宋体" w:hAnsi="宋体" w:eastAsia="宋体" w:cs="宋体"/>
          <w:b/>
          <w:sz w:val="21"/>
          <w:szCs w:val="21"/>
        </w:rPr>
      </w:pPr>
      <w:r>
        <w:rPr>
          <w:rFonts w:hint="eastAsia" w:ascii="宋体" w:hAnsi="宋体" w:eastAsia="宋体" w:cs="宋体"/>
          <w:b/>
          <w:sz w:val="21"/>
          <w:szCs w:val="21"/>
        </w:rPr>
        <w:t>三、无效响应</w:t>
      </w:r>
      <w:bookmarkEnd w:id="58"/>
      <w:bookmarkEnd w:id="59"/>
      <w:bookmarkEnd w:id="60"/>
    </w:p>
    <w:p w14:paraId="28BF1F8D">
      <w:pPr>
        <w:spacing w:line="360" w:lineRule="auto"/>
        <w:ind w:firstLine="420" w:firstLineChars="200"/>
        <w:rPr>
          <w:rFonts w:hint="eastAsia" w:ascii="宋体" w:hAnsi="宋体" w:cs="宋体"/>
          <w:sz w:val="21"/>
          <w:szCs w:val="21"/>
        </w:rPr>
      </w:pPr>
      <w:r>
        <w:rPr>
          <w:rFonts w:hint="eastAsia" w:ascii="宋体" w:hAnsi="宋体" w:cs="宋体"/>
          <w:sz w:val="21"/>
          <w:szCs w:val="21"/>
        </w:rPr>
        <w:t>供应商发生以下条款情况之一者，视为无效响应，其响应文件将被拒绝：</w:t>
      </w:r>
    </w:p>
    <w:p w14:paraId="68C04AB1">
      <w:pPr>
        <w:spacing w:line="360" w:lineRule="auto"/>
        <w:ind w:firstLine="420" w:firstLineChars="200"/>
        <w:rPr>
          <w:rFonts w:hint="eastAsia" w:ascii="宋体" w:hAnsi="宋体" w:cs="宋体"/>
          <w:sz w:val="21"/>
          <w:szCs w:val="21"/>
        </w:rPr>
      </w:pPr>
      <w:r>
        <w:rPr>
          <w:rFonts w:hint="eastAsia" w:ascii="宋体" w:hAnsi="宋体" w:cs="宋体"/>
          <w:sz w:val="21"/>
          <w:szCs w:val="21"/>
        </w:rPr>
        <w:t>（一）供应商不符合规定的基本资格条件；</w:t>
      </w:r>
    </w:p>
    <w:p w14:paraId="64F7E278">
      <w:pPr>
        <w:spacing w:line="360" w:lineRule="auto"/>
        <w:ind w:firstLine="420" w:firstLineChars="200"/>
        <w:rPr>
          <w:rFonts w:hint="eastAsia" w:ascii="宋体" w:hAnsi="宋体" w:cs="宋体"/>
          <w:sz w:val="21"/>
          <w:szCs w:val="21"/>
        </w:rPr>
      </w:pPr>
      <w:r>
        <w:rPr>
          <w:rFonts w:hint="eastAsia" w:ascii="宋体" w:hAnsi="宋体" w:cs="宋体"/>
          <w:sz w:val="21"/>
          <w:szCs w:val="21"/>
        </w:rPr>
        <w:t>（二）供应商的法定代表人或其授权代表未参加谈判；</w:t>
      </w:r>
    </w:p>
    <w:p w14:paraId="47EF75BC">
      <w:pPr>
        <w:spacing w:line="360" w:lineRule="auto"/>
        <w:ind w:firstLine="420" w:firstLineChars="200"/>
        <w:rPr>
          <w:rFonts w:hint="eastAsia" w:ascii="宋体" w:hAnsi="宋体" w:cs="宋体"/>
          <w:sz w:val="21"/>
          <w:szCs w:val="21"/>
        </w:rPr>
      </w:pPr>
      <w:r>
        <w:rPr>
          <w:rFonts w:hint="eastAsia" w:ascii="宋体" w:hAnsi="宋体" w:cs="宋体"/>
          <w:sz w:val="21"/>
          <w:szCs w:val="21"/>
        </w:rPr>
        <w:t>（三）供应商所提交的响应文件不按第七篇“响应文件编制要求”规定签字、盖章；</w:t>
      </w:r>
    </w:p>
    <w:p w14:paraId="63705A05">
      <w:pPr>
        <w:spacing w:line="360" w:lineRule="auto"/>
        <w:ind w:firstLine="420" w:firstLineChars="200"/>
        <w:rPr>
          <w:rFonts w:hint="eastAsia" w:ascii="宋体" w:hAnsi="宋体" w:cs="宋体"/>
          <w:sz w:val="21"/>
          <w:szCs w:val="21"/>
        </w:rPr>
      </w:pPr>
      <w:r>
        <w:rPr>
          <w:rFonts w:hint="eastAsia" w:ascii="宋体" w:hAnsi="宋体" w:cs="宋体"/>
          <w:sz w:val="21"/>
          <w:szCs w:val="21"/>
        </w:rPr>
        <w:t>（四）供应商的最后报价超过采购限价的；</w:t>
      </w:r>
    </w:p>
    <w:p w14:paraId="75DB6DF4">
      <w:pPr>
        <w:spacing w:line="360" w:lineRule="auto"/>
        <w:ind w:firstLine="420" w:firstLineChars="200"/>
        <w:rPr>
          <w:rFonts w:hint="eastAsia" w:ascii="宋体" w:hAnsi="宋体" w:cs="宋体"/>
          <w:sz w:val="21"/>
          <w:szCs w:val="21"/>
        </w:rPr>
      </w:pPr>
      <w:r>
        <w:rPr>
          <w:rFonts w:hint="eastAsia" w:ascii="宋体" w:hAnsi="宋体" w:cs="宋体"/>
          <w:sz w:val="21"/>
          <w:szCs w:val="21"/>
        </w:rPr>
        <w:t>（五）法定代表人为同一个人的两个及两个以上法人，母公司、全资子公司及其控股公司，在同一分包采购中同时参与谈判；</w:t>
      </w:r>
    </w:p>
    <w:p w14:paraId="73C851F4">
      <w:pPr>
        <w:spacing w:line="360" w:lineRule="auto"/>
        <w:ind w:firstLine="420" w:firstLineChars="200"/>
        <w:rPr>
          <w:rFonts w:hint="eastAsia" w:ascii="宋体" w:hAnsi="宋体" w:cs="宋体"/>
          <w:sz w:val="21"/>
          <w:szCs w:val="21"/>
        </w:rPr>
      </w:pPr>
      <w:r>
        <w:rPr>
          <w:rFonts w:hint="eastAsia" w:ascii="宋体" w:hAnsi="宋体" w:cs="宋体"/>
          <w:sz w:val="21"/>
          <w:szCs w:val="21"/>
        </w:rPr>
        <w:t>（六）单位负责人为同一人或者存在直接控股、管理关系的不同供应商，参加同一合同项下的政府采购活动的；</w:t>
      </w:r>
    </w:p>
    <w:p w14:paraId="3F69B42E">
      <w:pPr>
        <w:spacing w:line="360" w:lineRule="auto"/>
        <w:ind w:firstLine="420" w:firstLineChars="200"/>
        <w:rPr>
          <w:rFonts w:hint="eastAsia" w:ascii="宋体" w:hAnsi="宋体" w:cs="宋体"/>
          <w:sz w:val="21"/>
          <w:szCs w:val="21"/>
        </w:rPr>
      </w:pPr>
      <w:r>
        <w:rPr>
          <w:rFonts w:hint="eastAsia" w:ascii="宋体" w:hAnsi="宋体" w:cs="宋体"/>
          <w:sz w:val="21"/>
          <w:szCs w:val="21"/>
        </w:rPr>
        <w:t>（七）为采购项目提供整体设计、规范编制或者项目管理、监理、检测等服务的供应商，再参加该采购项目的其他采购活动；</w:t>
      </w:r>
    </w:p>
    <w:p w14:paraId="21B0B7F1">
      <w:pPr>
        <w:spacing w:line="360" w:lineRule="auto"/>
        <w:ind w:firstLine="420" w:firstLineChars="200"/>
        <w:rPr>
          <w:rFonts w:hint="eastAsia" w:ascii="宋体" w:hAnsi="宋体" w:cs="宋体"/>
          <w:sz w:val="21"/>
          <w:szCs w:val="21"/>
        </w:rPr>
      </w:pPr>
      <w:r>
        <w:rPr>
          <w:rFonts w:hint="eastAsia" w:ascii="宋体" w:hAnsi="宋体" w:cs="宋体"/>
          <w:sz w:val="21"/>
          <w:szCs w:val="21"/>
        </w:rPr>
        <w:t>（八）供应商的服务期、质量保证期及谈判有效期不满足谈判采购文件要求的；</w:t>
      </w:r>
    </w:p>
    <w:p w14:paraId="6C2B98A0">
      <w:pPr>
        <w:spacing w:line="360" w:lineRule="auto"/>
        <w:ind w:firstLine="420" w:firstLineChars="200"/>
        <w:rPr>
          <w:rFonts w:hint="eastAsia" w:ascii="宋体" w:hAnsi="宋体" w:cs="宋体"/>
          <w:sz w:val="21"/>
          <w:szCs w:val="21"/>
        </w:rPr>
      </w:pPr>
      <w:r>
        <w:rPr>
          <w:rFonts w:hint="eastAsia" w:ascii="宋体" w:hAnsi="宋体" w:cs="宋体"/>
          <w:sz w:val="21"/>
          <w:szCs w:val="21"/>
        </w:rPr>
        <w:t>（九）供应商响应文件内容有与国家现行法律法规相违背的内容，或附有采购人无法接受的条件。</w:t>
      </w:r>
    </w:p>
    <w:p w14:paraId="4AE69128">
      <w:pPr>
        <w:pStyle w:val="5"/>
        <w:spacing w:before="0" w:after="0" w:line="312" w:lineRule="auto"/>
        <w:rPr>
          <w:rFonts w:ascii="宋体" w:hAnsi="宋体" w:cs="宋体"/>
          <w:sz w:val="24"/>
          <w:szCs w:val="24"/>
        </w:rPr>
      </w:pPr>
      <w:bookmarkStart w:id="61" w:name="_Toc8792"/>
      <w:bookmarkStart w:id="62" w:name="_Toc30355"/>
      <w:bookmarkStart w:id="63" w:name="_Toc25841"/>
      <w:r>
        <w:rPr>
          <w:rFonts w:hint="eastAsia" w:ascii="宋体" w:hAnsi="宋体" w:cs="宋体"/>
          <w:sz w:val="24"/>
          <w:szCs w:val="24"/>
        </w:rPr>
        <w:t>四、</w:t>
      </w:r>
      <w:bookmarkEnd w:id="56"/>
      <w:bookmarkEnd w:id="57"/>
      <w:r>
        <w:rPr>
          <w:rFonts w:hint="eastAsia" w:ascii="宋体" w:hAnsi="宋体" w:cs="宋体"/>
          <w:sz w:val="24"/>
          <w:szCs w:val="24"/>
        </w:rPr>
        <w:t>采购终止</w:t>
      </w:r>
      <w:bookmarkEnd w:id="61"/>
      <w:bookmarkEnd w:id="62"/>
      <w:bookmarkEnd w:id="63"/>
    </w:p>
    <w:p w14:paraId="3CD696E3">
      <w:pPr>
        <w:spacing w:line="360" w:lineRule="auto"/>
        <w:ind w:firstLine="420" w:firstLineChars="200"/>
        <w:rPr>
          <w:rFonts w:hint="eastAsia" w:ascii="宋体" w:hAnsi="宋体" w:cs="宋体"/>
          <w:sz w:val="21"/>
          <w:szCs w:val="21"/>
        </w:rPr>
      </w:pPr>
      <w:r>
        <w:rPr>
          <w:rFonts w:hint="eastAsia" w:ascii="宋体" w:hAnsi="宋体" w:cs="宋体"/>
          <w:sz w:val="21"/>
          <w:szCs w:val="21"/>
        </w:rPr>
        <w:t>出现下列情形之一的，采购人应当终止谈判采购采购活动，发布项目终止公告并说明原因，重新开展采购活动：</w:t>
      </w:r>
    </w:p>
    <w:p w14:paraId="2C25753E">
      <w:pPr>
        <w:spacing w:line="360" w:lineRule="auto"/>
        <w:ind w:firstLine="420" w:firstLineChars="200"/>
        <w:rPr>
          <w:rFonts w:hint="eastAsia" w:ascii="宋体" w:hAnsi="宋体" w:cs="宋体"/>
          <w:sz w:val="21"/>
          <w:szCs w:val="21"/>
        </w:rPr>
      </w:pPr>
      <w:r>
        <w:rPr>
          <w:rFonts w:hint="eastAsia" w:ascii="宋体" w:hAnsi="宋体" w:cs="宋体"/>
          <w:sz w:val="21"/>
          <w:szCs w:val="21"/>
        </w:rPr>
        <w:t>（一）因情况变化，不再符合规定的谈判采购采购方式适用情形的；</w:t>
      </w:r>
    </w:p>
    <w:p w14:paraId="6E08BEE8">
      <w:pPr>
        <w:spacing w:line="360" w:lineRule="auto"/>
        <w:ind w:firstLine="420" w:firstLineChars="200"/>
        <w:rPr>
          <w:rFonts w:hint="eastAsia" w:ascii="宋体" w:hAnsi="宋体" w:cs="宋体"/>
          <w:sz w:val="21"/>
          <w:szCs w:val="21"/>
        </w:rPr>
      </w:pPr>
      <w:r>
        <w:rPr>
          <w:rFonts w:hint="eastAsia" w:ascii="宋体" w:hAnsi="宋体" w:cs="宋体"/>
          <w:sz w:val="21"/>
          <w:szCs w:val="21"/>
        </w:rPr>
        <w:t>（二）出现影响采购公正的违法、违规行为的；</w:t>
      </w:r>
    </w:p>
    <w:p w14:paraId="6297B74F">
      <w:pPr>
        <w:spacing w:line="360" w:lineRule="auto"/>
        <w:ind w:firstLine="420" w:firstLineChars="200"/>
        <w:rPr>
          <w:rFonts w:hint="eastAsia" w:ascii="宋体" w:hAnsi="宋体" w:cs="宋体"/>
          <w:sz w:val="21"/>
          <w:szCs w:val="21"/>
        </w:rPr>
      </w:pPr>
      <w:r>
        <w:rPr>
          <w:rFonts w:hint="eastAsia" w:ascii="宋体" w:hAnsi="宋体" w:cs="宋体"/>
          <w:sz w:val="21"/>
          <w:szCs w:val="21"/>
        </w:rPr>
        <w:t>（三）在采购过程中符合要求的供应商或者报价未超过采购预算的供应商不足</w:t>
      </w:r>
      <w:r>
        <w:rPr>
          <w:rFonts w:hint="eastAsia" w:ascii="宋体" w:hAnsi="宋体" w:cs="宋体"/>
          <w:sz w:val="21"/>
          <w:szCs w:val="21"/>
          <w:lang w:val="en-US" w:eastAsia="zh-CN"/>
        </w:rPr>
        <w:t>2</w:t>
      </w:r>
      <w:r>
        <w:rPr>
          <w:rFonts w:hint="eastAsia" w:ascii="宋体" w:hAnsi="宋体" w:cs="宋体"/>
          <w:sz w:val="21"/>
          <w:szCs w:val="21"/>
        </w:rPr>
        <w:t xml:space="preserve">家的。 </w:t>
      </w:r>
    </w:p>
    <w:p w14:paraId="02199BAE">
      <w:pPr>
        <w:spacing w:line="360" w:lineRule="auto"/>
        <w:ind w:firstLine="420" w:firstLineChars="200"/>
        <w:rPr>
          <w:rFonts w:hint="eastAsia" w:ascii="宋体" w:hAnsi="宋体" w:cs="宋体"/>
          <w:sz w:val="21"/>
          <w:szCs w:val="21"/>
        </w:rPr>
        <w:sectPr>
          <w:footerReference r:id="rId9" w:type="default"/>
          <w:footerReference r:id="rId10" w:type="even"/>
          <w:pgSz w:w="11907" w:h="16840"/>
          <w:pgMar w:top="1134" w:right="1304" w:bottom="1134" w:left="1304" w:header="964" w:footer="992" w:gutter="0"/>
          <w:pgBorders>
            <w:top w:val="none" w:sz="0" w:space="0"/>
            <w:left w:val="none" w:sz="0" w:space="0"/>
            <w:bottom w:val="none" w:sz="0" w:space="0"/>
            <w:right w:val="none" w:sz="0" w:space="0"/>
          </w:pgBorders>
          <w:cols w:space="720" w:num="1"/>
          <w:docGrid w:linePitch="312" w:charSpace="0"/>
        </w:sectPr>
      </w:pPr>
    </w:p>
    <w:p w14:paraId="5774B165">
      <w:pPr>
        <w:pStyle w:val="4"/>
        <w:spacing w:before="0" w:after="0" w:line="312" w:lineRule="auto"/>
        <w:jc w:val="center"/>
        <w:rPr>
          <w:rFonts w:hint="eastAsia" w:ascii="宋体" w:hAnsi="宋体" w:eastAsia="宋体"/>
          <w:sz w:val="36"/>
          <w:szCs w:val="30"/>
        </w:rPr>
      </w:pPr>
      <w:bookmarkStart w:id="64" w:name="_Toc25652"/>
      <w:bookmarkStart w:id="65" w:name="_Toc6872"/>
      <w:bookmarkStart w:id="66" w:name="_Toc102227313"/>
      <w:bookmarkStart w:id="67" w:name="_Toc21400"/>
      <w:r>
        <w:rPr>
          <w:rFonts w:hint="eastAsia" w:ascii="宋体" w:hAnsi="宋体" w:eastAsia="宋体"/>
          <w:sz w:val="36"/>
          <w:szCs w:val="30"/>
        </w:rPr>
        <w:t>第五篇  供应商须知</w:t>
      </w:r>
      <w:bookmarkEnd w:id="64"/>
      <w:bookmarkEnd w:id="65"/>
      <w:bookmarkEnd w:id="66"/>
      <w:bookmarkEnd w:id="67"/>
    </w:p>
    <w:p w14:paraId="314F53A9">
      <w:pPr>
        <w:pStyle w:val="5"/>
        <w:spacing w:before="0" w:after="0" w:line="312" w:lineRule="auto"/>
        <w:rPr>
          <w:rFonts w:hint="eastAsia" w:ascii="宋体" w:hAnsi="宋体" w:eastAsia="宋体" w:cs="宋体"/>
          <w:b/>
          <w:sz w:val="24"/>
          <w:szCs w:val="24"/>
        </w:rPr>
      </w:pPr>
      <w:bookmarkStart w:id="68" w:name="_Toc342913389"/>
      <w:bookmarkStart w:id="69" w:name="_Toc21903"/>
      <w:bookmarkStart w:id="70" w:name="_Toc465"/>
      <w:bookmarkStart w:id="71" w:name="_Toc18058"/>
      <w:r>
        <w:rPr>
          <w:rFonts w:hint="eastAsia" w:ascii="宋体" w:hAnsi="宋体" w:eastAsia="宋体" w:cs="宋体"/>
          <w:b/>
          <w:sz w:val="24"/>
          <w:szCs w:val="24"/>
        </w:rPr>
        <w:t>一、谈判费用</w:t>
      </w:r>
      <w:bookmarkEnd w:id="68"/>
      <w:bookmarkEnd w:id="69"/>
      <w:bookmarkEnd w:id="70"/>
      <w:bookmarkEnd w:id="71"/>
    </w:p>
    <w:p w14:paraId="27C9C609">
      <w:pPr>
        <w:spacing w:line="360" w:lineRule="auto"/>
        <w:ind w:firstLine="420" w:firstLineChars="200"/>
        <w:rPr>
          <w:rFonts w:hint="eastAsia" w:ascii="宋体" w:hAnsi="宋体" w:cs="宋体"/>
          <w:sz w:val="21"/>
          <w:szCs w:val="21"/>
        </w:rPr>
      </w:pPr>
      <w:r>
        <w:rPr>
          <w:rFonts w:hint="eastAsia" w:ascii="宋体" w:hAnsi="宋体" w:cs="宋体"/>
          <w:sz w:val="21"/>
          <w:szCs w:val="21"/>
        </w:rPr>
        <w:t>参与谈判的供应商应承担其编制响应文件与递交响应文件所涉及的一切费用，不论谈判结果如何，采购人在任何情况下无义务也无责任承担这些费用。</w:t>
      </w:r>
    </w:p>
    <w:p w14:paraId="65CEFF2E">
      <w:pPr>
        <w:pStyle w:val="5"/>
        <w:spacing w:before="0" w:after="0" w:line="312" w:lineRule="auto"/>
        <w:rPr>
          <w:rFonts w:hint="eastAsia" w:ascii="宋体" w:hAnsi="宋体" w:eastAsia="宋体" w:cs="宋体"/>
          <w:b/>
          <w:sz w:val="24"/>
          <w:szCs w:val="24"/>
        </w:rPr>
      </w:pPr>
      <w:bookmarkStart w:id="72" w:name="_Toc29852"/>
      <w:bookmarkStart w:id="73" w:name="_Toc342913391"/>
      <w:bookmarkStart w:id="74" w:name="_Toc12341"/>
      <w:bookmarkStart w:id="75" w:name="_Toc889"/>
      <w:r>
        <w:rPr>
          <w:rFonts w:hint="eastAsia" w:ascii="宋体" w:hAnsi="宋体" w:eastAsia="宋体" w:cs="宋体"/>
          <w:b/>
          <w:sz w:val="24"/>
          <w:szCs w:val="24"/>
        </w:rPr>
        <w:t>二、谈判采购文件</w:t>
      </w:r>
      <w:bookmarkEnd w:id="72"/>
      <w:bookmarkEnd w:id="73"/>
      <w:bookmarkEnd w:id="74"/>
      <w:bookmarkEnd w:id="75"/>
    </w:p>
    <w:p w14:paraId="25EBA870">
      <w:pPr>
        <w:spacing w:line="360" w:lineRule="auto"/>
        <w:ind w:firstLine="420" w:firstLineChars="200"/>
        <w:rPr>
          <w:rFonts w:hint="eastAsia" w:ascii="宋体" w:hAnsi="宋体" w:cs="宋体"/>
          <w:sz w:val="21"/>
          <w:szCs w:val="21"/>
        </w:rPr>
      </w:pPr>
      <w:r>
        <w:rPr>
          <w:rFonts w:hint="eastAsia" w:ascii="宋体" w:hAnsi="宋体" w:cs="宋体"/>
          <w:sz w:val="21"/>
          <w:szCs w:val="21"/>
        </w:rPr>
        <w:t>（一）谈判采购文件由采购邀请书、采购服务需求、采购商务需求、谈判程序及方法-评审标准-无效响应及采购终止、供应商须知、合同草案条款、响应文件编制要求七部分组成。</w:t>
      </w:r>
    </w:p>
    <w:p w14:paraId="6304ADB6">
      <w:pPr>
        <w:spacing w:line="360" w:lineRule="auto"/>
        <w:ind w:firstLine="420" w:firstLineChars="200"/>
        <w:rPr>
          <w:rFonts w:hint="eastAsia" w:ascii="宋体" w:hAnsi="宋体" w:cs="宋体"/>
          <w:sz w:val="21"/>
          <w:szCs w:val="21"/>
        </w:rPr>
      </w:pPr>
      <w:r>
        <w:rPr>
          <w:rFonts w:hint="eastAsia" w:ascii="宋体" w:hAnsi="宋体" w:cs="宋体"/>
          <w:sz w:val="21"/>
          <w:szCs w:val="21"/>
        </w:rPr>
        <w:t>（二）采购人所作的一切有效的通知、修改及补充，都是谈判采购文件不可分割的部分。</w:t>
      </w:r>
    </w:p>
    <w:p w14:paraId="4E1C086D">
      <w:pPr>
        <w:spacing w:line="360" w:lineRule="auto"/>
        <w:ind w:firstLine="420" w:firstLineChars="200"/>
        <w:rPr>
          <w:rFonts w:hint="eastAsia" w:ascii="宋体" w:hAnsi="宋体" w:cs="宋体"/>
          <w:sz w:val="21"/>
          <w:szCs w:val="21"/>
        </w:rPr>
      </w:pPr>
      <w:r>
        <w:rPr>
          <w:rFonts w:hint="eastAsia" w:ascii="宋体" w:hAnsi="宋体" w:cs="宋体"/>
          <w:sz w:val="21"/>
          <w:szCs w:val="21"/>
        </w:rPr>
        <w:t>（三）</w:t>
      </w:r>
      <w:bookmarkStart w:id="76" w:name="_Toc318166429"/>
      <w:bookmarkStart w:id="77" w:name="_Toc318159780"/>
      <w:bookmarkStart w:id="78" w:name="_Toc318159160"/>
      <w:bookmarkStart w:id="79" w:name="_Toc318159349"/>
      <w:r>
        <w:rPr>
          <w:rFonts w:hint="eastAsia" w:ascii="宋体" w:hAnsi="宋体" w:cs="宋体"/>
          <w:sz w:val="21"/>
          <w:szCs w:val="21"/>
        </w:rPr>
        <w:t>本谈判采购文件中，谈判小组根据与供应商进行谈判可能实质性变动的内容为谈判采购文件第二、三篇全部内容。</w:t>
      </w:r>
    </w:p>
    <w:p w14:paraId="2E60D336">
      <w:pPr>
        <w:spacing w:line="360" w:lineRule="auto"/>
        <w:ind w:firstLine="420" w:firstLineChars="200"/>
        <w:rPr>
          <w:rFonts w:hint="eastAsia" w:ascii="宋体" w:hAnsi="宋体" w:cs="宋体"/>
          <w:sz w:val="21"/>
          <w:szCs w:val="21"/>
        </w:rPr>
      </w:pPr>
      <w:r>
        <w:rPr>
          <w:rFonts w:hint="eastAsia" w:ascii="宋体" w:hAnsi="宋体" w:cs="宋体"/>
          <w:sz w:val="21"/>
          <w:szCs w:val="21"/>
        </w:rPr>
        <w:t>（四）评审的依据为谈判采购文件和响应文件（含有效的书面承诺）。谈判小组判断响应文件对谈判采购文件的响应，仅基于响应文件本身而不靠外部证据。</w:t>
      </w:r>
    </w:p>
    <w:bookmarkEnd w:id="76"/>
    <w:bookmarkEnd w:id="77"/>
    <w:bookmarkEnd w:id="78"/>
    <w:bookmarkEnd w:id="79"/>
    <w:p w14:paraId="4A5F427F">
      <w:pPr>
        <w:pStyle w:val="5"/>
        <w:spacing w:before="0" w:after="0" w:line="312" w:lineRule="auto"/>
        <w:rPr>
          <w:rFonts w:hint="eastAsia" w:ascii="宋体" w:hAnsi="宋体" w:eastAsia="宋体" w:cs="宋体"/>
          <w:b/>
          <w:sz w:val="24"/>
          <w:szCs w:val="24"/>
        </w:rPr>
      </w:pPr>
      <w:bookmarkStart w:id="80" w:name="_Toc22932"/>
      <w:bookmarkStart w:id="81" w:name="_Toc1269"/>
      <w:bookmarkStart w:id="82" w:name="_Toc19161"/>
      <w:bookmarkStart w:id="83" w:name="_Toc102227318"/>
      <w:bookmarkStart w:id="84" w:name="_Toc179714297"/>
      <w:bookmarkStart w:id="85" w:name="_Toc342913392"/>
      <w:r>
        <w:rPr>
          <w:rFonts w:hint="eastAsia" w:ascii="宋体" w:hAnsi="宋体" w:eastAsia="宋体" w:cs="宋体"/>
          <w:b/>
          <w:sz w:val="24"/>
          <w:szCs w:val="24"/>
        </w:rPr>
        <w:t>三、谈判要求</w:t>
      </w:r>
      <w:bookmarkEnd w:id="80"/>
      <w:bookmarkEnd w:id="81"/>
      <w:bookmarkEnd w:id="82"/>
      <w:bookmarkEnd w:id="83"/>
      <w:bookmarkEnd w:id="84"/>
      <w:bookmarkEnd w:id="85"/>
    </w:p>
    <w:p w14:paraId="62330E9D">
      <w:pPr>
        <w:spacing w:line="360" w:lineRule="auto"/>
        <w:ind w:firstLine="420" w:firstLineChars="200"/>
        <w:rPr>
          <w:rFonts w:hint="eastAsia" w:ascii="宋体" w:hAnsi="宋体" w:cs="宋体"/>
          <w:sz w:val="21"/>
          <w:szCs w:val="21"/>
        </w:rPr>
      </w:pPr>
      <w:r>
        <w:rPr>
          <w:rFonts w:hint="eastAsia" w:ascii="宋体" w:hAnsi="宋体" w:cs="宋体"/>
          <w:sz w:val="21"/>
          <w:szCs w:val="21"/>
        </w:rPr>
        <w:t>（一）响应文件</w:t>
      </w:r>
    </w:p>
    <w:p w14:paraId="47EAEA4A">
      <w:pPr>
        <w:spacing w:line="360" w:lineRule="auto"/>
        <w:ind w:firstLine="420" w:firstLineChars="200"/>
        <w:rPr>
          <w:rFonts w:hint="eastAsia" w:ascii="宋体" w:hAnsi="宋体" w:cs="宋体"/>
          <w:sz w:val="21"/>
          <w:szCs w:val="21"/>
        </w:rPr>
      </w:pPr>
      <w:r>
        <w:rPr>
          <w:rFonts w:hint="eastAsia" w:ascii="宋体" w:hAnsi="宋体" w:cs="宋体"/>
          <w:sz w:val="21"/>
          <w:szCs w:val="21"/>
        </w:rPr>
        <w:t>1、供应商应当按照谈判采购文件的要求编制响应文件，并对谈判采购文件提出的要求和条件作出实质性响应，响应文件应编制完整的页码、目录。按照采购文件要求制作的响应文件电子版上传至扬州市政府采购·服务商城。</w:t>
      </w:r>
    </w:p>
    <w:p w14:paraId="6545B55F">
      <w:pPr>
        <w:spacing w:line="360" w:lineRule="auto"/>
        <w:ind w:firstLine="420" w:firstLineChars="200"/>
        <w:rPr>
          <w:rFonts w:hint="eastAsia" w:ascii="宋体" w:hAnsi="宋体" w:cs="宋体"/>
          <w:sz w:val="21"/>
          <w:szCs w:val="21"/>
        </w:rPr>
      </w:pPr>
      <w:r>
        <w:rPr>
          <w:rFonts w:hint="eastAsia" w:ascii="宋体" w:hAnsi="宋体" w:cs="宋体"/>
          <w:sz w:val="21"/>
          <w:szCs w:val="21"/>
        </w:rPr>
        <w:t>2、响应文件组成</w:t>
      </w:r>
    </w:p>
    <w:p w14:paraId="69F26E88">
      <w:pPr>
        <w:spacing w:line="360" w:lineRule="auto"/>
        <w:ind w:firstLine="420" w:firstLineChars="200"/>
        <w:rPr>
          <w:rFonts w:hint="eastAsia" w:ascii="宋体" w:hAnsi="宋体" w:cs="宋体"/>
          <w:sz w:val="21"/>
          <w:szCs w:val="21"/>
        </w:rPr>
      </w:pPr>
      <w:r>
        <w:rPr>
          <w:rFonts w:hint="eastAsia" w:ascii="宋体" w:hAnsi="宋体" w:cs="宋体"/>
          <w:sz w:val="21"/>
          <w:szCs w:val="21"/>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14:paraId="4BA1E9AD">
      <w:pPr>
        <w:spacing w:line="360" w:lineRule="auto"/>
        <w:ind w:firstLine="420" w:firstLineChars="200"/>
        <w:rPr>
          <w:rFonts w:hint="eastAsia" w:ascii="宋体" w:hAnsi="宋体" w:cs="宋体"/>
          <w:sz w:val="21"/>
          <w:szCs w:val="21"/>
        </w:rPr>
      </w:pPr>
      <w:r>
        <w:rPr>
          <w:rFonts w:hint="eastAsia" w:ascii="宋体" w:hAnsi="宋体" w:cs="宋体"/>
          <w:sz w:val="21"/>
          <w:szCs w:val="21"/>
        </w:rPr>
        <w:t>（二）联合体（本项目</w:t>
      </w:r>
      <w:r>
        <w:rPr>
          <w:rFonts w:hint="eastAsia" w:ascii="宋体" w:hAnsi="宋体" w:cs="宋体"/>
          <w:sz w:val="21"/>
          <w:szCs w:val="21"/>
          <w:highlight w:val="none"/>
          <w:u w:val="single"/>
        </w:rPr>
        <w:t>不接受</w:t>
      </w:r>
      <w:r>
        <w:rPr>
          <w:rFonts w:hint="eastAsia" w:ascii="宋体" w:hAnsi="宋体" w:cs="宋体"/>
          <w:sz w:val="21"/>
          <w:szCs w:val="21"/>
        </w:rPr>
        <w:t>联合体参与谈判）</w:t>
      </w:r>
    </w:p>
    <w:p w14:paraId="53516AD9">
      <w:pPr>
        <w:spacing w:line="360" w:lineRule="auto"/>
        <w:ind w:firstLine="420" w:firstLineChars="200"/>
        <w:rPr>
          <w:rFonts w:hint="eastAsia" w:ascii="宋体" w:hAnsi="宋体" w:cs="宋体"/>
          <w:sz w:val="21"/>
          <w:szCs w:val="21"/>
        </w:rPr>
      </w:pPr>
      <w:r>
        <w:rPr>
          <w:rFonts w:hint="eastAsia" w:ascii="宋体" w:hAnsi="宋体" w:cs="宋体"/>
          <w:sz w:val="21"/>
          <w:szCs w:val="21"/>
        </w:rPr>
        <w:t>（三）谈判有效期：响应文件及有关承诺文件有效期为提交响应文件截止时间起90天。</w:t>
      </w:r>
    </w:p>
    <w:p w14:paraId="3FE938C5">
      <w:pPr>
        <w:spacing w:line="360" w:lineRule="auto"/>
        <w:ind w:firstLine="420" w:firstLineChars="200"/>
        <w:rPr>
          <w:rFonts w:hint="eastAsia" w:ascii="宋体" w:hAnsi="宋体" w:cs="宋体"/>
          <w:sz w:val="21"/>
          <w:szCs w:val="21"/>
        </w:rPr>
      </w:pPr>
      <w:r>
        <w:rPr>
          <w:rFonts w:hint="eastAsia" w:ascii="宋体" w:hAnsi="宋体" w:cs="宋体"/>
          <w:sz w:val="21"/>
          <w:szCs w:val="21"/>
        </w:rPr>
        <w:t>（四）修正错误</w:t>
      </w:r>
    </w:p>
    <w:p w14:paraId="3605BA8D">
      <w:pPr>
        <w:spacing w:line="360" w:lineRule="auto"/>
        <w:ind w:firstLine="420" w:firstLineChars="200"/>
        <w:rPr>
          <w:rFonts w:hint="eastAsia" w:ascii="宋体" w:hAnsi="宋体" w:cs="宋体"/>
          <w:sz w:val="21"/>
          <w:szCs w:val="21"/>
        </w:rPr>
      </w:pPr>
      <w:r>
        <w:rPr>
          <w:rFonts w:hint="eastAsia" w:ascii="宋体" w:hAnsi="宋体" w:cs="宋体"/>
          <w:sz w:val="21"/>
          <w:szCs w:val="21"/>
        </w:rPr>
        <w:t>1、若供应商所递交的响应文件或最后报价中的价格出现大写金额和小写金额不一致的错误，以大写金额修正为准。</w:t>
      </w:r>
    </w:p>
    <w:p w14:paraId="1B7F68D0">
      <w:pPr>
        <w:spacing w:line="360" w:lineRule="auto"/>
        <w:ind w:firstLine="420" w:firstLineChars="200"/>
        <w:rPr>
          <w:rFonts w:hint="eastAsia" w:ascii="宋体" w:hAnsi="宋体" w:cs="宋体"/>
          <w:sz w:val="21"/>
          <w:szCs w:val="21"/>
        </w:rPr>
      </w:pPr>
      <w:r>
        <w:rPr>
          <w:rFonts w:hint="eastAsia" w:ascii="宋体" w:hAnsi="宋体" w:cs="宋体"/>
          <w:sz w:val="21"/>
          <w:szCs w:val="21"/>
        </w:rPr>
        <w:t>2、若供应商所上传的响应文件中报价函价格与扬州市政府采购·服务商城·所填报的价格不一致，以扬州市政府采购·服务商城·为准。</w:t>
      </w:r>
    </w:p>
    <w:p w14:paraId="6FD5AFAA">
      <w:pPr>
        <w:spacing w:line="360" w:lineRule="auto"/>
        <w:ind w:firstLine="420" w:firstLineChars="200"/>
        <w:rPr>
          <w:rFonts w:hint="eastAsia" w:ascii="宋体" w:hAnsi="宋体" w:cs="宋体"/>
          <w:sz w:val="21"/>
          <w:szCs w:val="21"/>
        </w:rPr>
      </w:pPr>
      <w:r>
        <w:rPr>
          <w:rFonts w:hint="eastAsia" w:ascii="宋体" w:hAnsi="宋体" w:cs="宋体"/>
          <w:sz w:val="21"/>
          <w:szCs w:val="21"/>
        </w:rPr>
        <w:t>3、谈判小组按上述修正错误的原则及方法修正供应商的报价，供应商同意并签字确认后，修正后的报价对供应商具有约束作用。如果供应商不接受修正后的价格，将失去成为成交供应商的资格。</w:t>
      </w:r>
    </w:p>
    <w:p w14:paraId="78445445">
      <w:pPr>
        <w:spacing w:line="360" w:lineRule="auto"/>
        <w:ind w:firstLine="420" w:firstLineChars="200"/>
        <w:rPr>
          <w:rFonts w:hint="eastAsia" w:ascii="宋体" w:hAnsi="宋体" w:cs="宋体"/>
          <w:sz w:val="21"/>
          <w:szCs w:val="21"/>
        </w:rPr>
      </w:pPr>
      <w:r>
        <w:rPr>
          <w:rFonts w:hint="eastAsia" w:ascii="宋体" w:hAnsi="宋体" w:cs="宋体"/>
          <w:sz w:val="21"/>
          <w:szCs w:val="21"/>
        </w:rPr>
        <w:t>（五）提交响应文件的份数和签署</w:t>
      </w:r>
    </w:p>
    <w:p w14:paraId="4711D971">
      <w:pPr>
        <w:spacing w:line="360" w:lineRule="auto"/>
        <w:ind w:firstLine="420" w:firstLineChars="200"/>
        <w:rPr>
          <w:rFonts w:hint="eastAsia" w:ascii="宋体" w:hAnsi="宋体" w:cs="宋体"/>
          <w:sz w:val="21"/>
          <w:szCs w:val="21"/>
        </w:rPr>
      </w:pPr>
      <w:r>
        <w:rPr>
          <w:rFonts w:hint="eastAsia" w:ascii="宋体" w:hAnsi="宋体" w:cs="宋体"/>
          <w:sz w:val="21"/>
          <w:szCs w:val="21"/>
        </w:rPr>
        <w:t>1.线下谈判需提供响应文件一式三份，其中</w:t>
      </w:r>
      <w:r>
        <w:rPr>
          <w:rFonts w:hint="eastAsia" w:ascii="宋体" w:hAnsi="宋体" w:cs="宋体"/>
          <w:b/>
          <w:bCs/>
          <w:sz w:val="21"/>
          <w:szCs w:val="21"/>
          <w:highlight w:val="none"/>
        </w:rPr>
        <w:t>正本一份，副本二份</w:t>
      </w:r>
      <w:r>
        <w:rPr>
          <w:rFonts w:hint="eastAsia" w:ascii="宋体" w:hAnsi="宋体" w:cs="宋体"/>
          <w:sz w:val="21"/>
          <w:szCs w:val="21"/>
        </w:rPr>
        <w:t>，线上报名时需上传盖章后的电子文档一份（电子文档内容应与纸质文件正本一致，如不一致以线上电子文档为准。副本可为正本的复印件，应与正本一致，如副本与正本出现不一致情况以正本为准）。</w:t>
      </w:r>
    </w:p>
    <w:p w14:paraId="7BC579A6">
      <w:pPr>
        <w:spacing w:line="360" w:lineRule="auto"/>
        <w:ind w:firstLine="420" w:firstLineChars="200"/>
        <w:rPr>
          <w:rFonts w:hint="eastAsia" w:ascii="宋体" w:hAnsi="宋体" w:cs="宋体"/>
          <w:sz w:val="21"/>
          <w:szCs w:val="21"/>
        </w:rPr>
      </w:pPr>
      <w:r>
        <w:rPr>
          <w:rFonts w:hint="eastAsia" w:ascii="宋体" w:hAnsi="宋体" w:cs="宋体"/>
          <w:sz w:val="21"/>
          <w:szCs w:val="21"/>
        </w:rPr>
        <w:t>2.谈判过程中采购人将以平台的线上资料为准，作为评判依据。</w:t>
      </w:r>
    </w:p>
    <w:p w14:paraId="12CE0D54">
      <w:pPr>
        <w:spacing w:line="360" w:lineRule="auto"/>
        <w:ind w:firstLine="420" w:firstLineChars="200"/>
        <w:rPr>
          <w:rFonts w:hint="eastAsia" w:ascii="宋体" w:hAnsi="宋体" w:cs="宋体"/>
          <w:sz w:val="21"/>
          <w:szCs w:val="21"/>
        </w:rPr>
      </w:pPr>
      <w:r>
        <w:rPr>
          <w:rFonts w:hint="eastAsia" w:ascii="宋体" w:hAnsi="宋体" w:cs="宋体"/>
          <w:sz w:val="21"/>
          <w:szCs w:val="21"/>
        </w:rPr>
        <w:t>3. 供应商制作的响应文件电子文档、正本中，须按照谈判采购文件第七篇响应文件格式中规定签字、盖章的地方必须按其规定签字、盖章。</w:t>
      </w:r>
    </w:p>
    <w:p w14:paraId="2B3BB61A">
      <w:pPr>
        <w:spacing w:line="360" w:lineRule="auto"/>
        <w:ind w:firstLine="420" w:firstLineChars="200"/>
        <w:rPr>
          <w:rFonts w:hint="eastAsia" w:ascii="宋体" w:hAnsi="宋体" w:cs="宋体"/>
          <w:sz w:val="21"/>
          <w:szCs w:val="21"/>
        </w:rPr>
      </w:pPr>
      <w:r>
        <w:rPr>
          <w:rFonts w:hint="eastAsia" w:ascii="宋体" w:hAnsi="宋体" w:cs="宋体"/>
          <w:sz w:val="21"/>
          <w:szCs w:val="21"/>
        </w:rPr>
        <w:t>4.电报、电话、传真形式的响应文件概不接受。</w:t>
      </w:r>
    </w:p>
    <w:p w14:paraId="0C71EBD7">
      <w:pPr>
        <w:spacing w:line="360" w:lineRule="auto"/>
        <w:ind w:firstLine="420" w:firstLineChars="200"/>
        <w:rPr>
          <w:rFonts w:hint="eastAsia" w:ascii="宋体" w:hAnsi="宋体" w:cs="宋体"/>
          <w:sz w:val="21"/>
          <w:szCs w:val="21"/>
        </w:rPr>
      </w:pPr>
      <w:r>
        <w:rPr>
          <w:rFonts w:hint="eastAsia" w:ascii="宋体" w:hAnsi="宋体" w:cs="宋体"/>
          <w:sz w:val="21"/>
          <w:szCs w:val="21"/>
        </w:rPr>
        <w:t>（六）响应文件的递交</w:t>
      </w:r>
    </w:p>
    <w:p w14:paraId="0A4C5E27">
      <w:pPr>
        <w:spacing w:line="360" w:lineRule="auto"/>
        <w:ind w:firstLine="420" w:firstLineChars="200"/>
        <w:rPr>
          <w:rFonts w:hint="eastAsia" w:ascii="宋体" w:hAnsi="宋体" w:cs="宋体"/>
          <w:sz w:val="21"/>
          <w:szCs w:val="21"/>
        </w:rPr>
      </w:pPr>
      <w:r>
        <w:rPr>
          <w:rFonts w:hint="eastAsia" w:ascii="宋体" w:hAnsi="宋体" w:cs="宋体"/>
          <w:sz w:val="21"/>
          <w:szCs w:val="21"/>
        </w:rPr>
        <w:t>1. 响应文件的密封</w:t>
      </w:r>
    </w:p>
    <w:p w14:paraId="3EAFA71D">
      <w:pPr>
        <w:spacing w:line="360" w:lineRule="auto"/>
        <w:ind w:firstLine="420" w:firstLineChars="200"/>
        <w:rPr>
          <w:rFonts w:hint="eastAsia" w:ascii="宋体" w:hAnsi="宋体" w:cs="宋体"/>
          <w:sz w:val="21"/>
          <w:szCs w:val="21"/>
        </w:rPr>
      </w:pPr>
      <w:r>
        <w:rPr>
          <w:rFonts w:hint="eastAsia" w:ascii="宋体" w:hAnsi="宋体" w:cs="宋体"/>
          <w:sz w:val="21"/>
          <w:szCs w:val="21"/>
        </w:rPr>
        <w:t>1.1响应文件的正本、副本均应密封送达递交谈判地点，应在封套上注明项目名称、供应商名称。若正本、副本分别进行密封的，还应在封套上注明“正本”、“副本”字样。</w:t>
      </w:r>
    </w:p>
    <w:p w14:paraId="67CC4CE5">
      <w:pPr>
        <w:spacing w:line="360" w:lineRule="auto"/>
        <w:ind w:firstLine="420" w:firstLineChars="200"/>
        <w:rPr>
          <w:rFonts w:hint="eastAsia" w:ascii="宋体" w:hAnsi="宋体" w:cs="宋体"/>
          <w:sz w:val="21"/>
          <w:szCs w:val="21"/>
        </w:rPr>
      </w:pPr>
      <w:r>
        <w:rPr>
          <w:rFonts w:hint="eastAsia" w:ascii="宋体" w:hAnsi="宋体" w:cs="宋体"/>
          <w:sz w:val="21"/>
          <w:szCs w:val="21"/>
        </w:rPr>
        <w:t>1.2封套的封口处应加盖供应商公章或由法定代表人授权代表签字。</w:t>
      </w:r>
    </w:p>
    <w:p w14:paraId="0D7B8196">
      <w:pPr>
        <w:spacing w:line="360" w:lineRule="auto"/>
        <w:ind w:firstLine="420" w:firstLineChars="200"/>
        <w:rPr>
          <w:rFonts w:hint="eastAsia" w:ascii="宋体" w:hAnsi="宋体" w:cs="宋体"/>
          <w:sz w:val="21"/>
          <w:szCs w:val="21"/>
        </w:rPr>
      </w:pPr>
      <w:r>
        <w:rPr>
          <w:rFonts w:hint="eastAsia" w:ascii="宋体" w:hAnsi="宋体" w:cs="宋体"/>
          <w:sz w:val="21"/>
          <w:szCs w:val="21"/>
        </w:rPr>
        <w:t>（七）供应商参与人员</w:t>
      </w:r>
    </w:p>
    <w:p w14:paraId="7414231D">
      <w:pPr>
        <w:spacing w:line="360" w:lineRule="auto"/>
        <w:ind w:firstLine="420" w:firstLineChars="200"/>
        <w:rPr>
          <w:rFonts w:hint="eastAsia" w:ascii="宋体" w:hAnsi="宋体" w:cs="宋体"/>
          <w:sz w:val="21"/>
          <w:szCs w:val="21"/>
        </w:rPr>
      </w:pPr>
      <w:r>
        <w:rPr>
          <w:rFonts w:hint="eastAsia" w:ascii="宋体" w:hAnsi="宋体" w:cs="宋体"/>
          <w:sz w:val="21"/>
          <w:szCs w:val="21"/>
        </w:rPr>
        <w:t>各个供应商应当派1-2名代表参与谈判，至少1人应为法定代表人或具有法定代表人授权委托书的授权代表。</w:t>
      </w:r>
    </w:p>
    <w:p w14:paraId="605862EF">
      <w:pPr>
        <w:pStyle w:val="5"/>
        <w:spacing w:before="0" w:after="0" w:line="312" w:lineRule="auto"/>
        <w:rPr>
          <w:rFonts w:hint="eastAsia" w:ascii="宋体" w:hAnsi="宋体" w:eastAsia="宋体" w:cs="宋体"/>
          <w:b/>
          <w:sz w:val="24"/>
          <w:szCs w:val="24"/>
        </w:rPr>
      </w:pPr>
      <w:bookmarkStart w:id="86" w:name="_Toc10966"/>
      <w:bookmarkStart w:id="87" w:name="_Toc18360"/>
      <w:bookmarkStart w:id="88" w:name="_Toc25719"/>
      <w:r>
        <w:rPr>
          <w:rFonts w:hint="eastAsia" w:ascii="宋体" w:hAnsi="宋体" w:eastAsia="宋体" w:cs="宋体"/>
          <w:b/>
          <w:sz w:val="24"/>
          <w:szCs w:val="24"/>
        </w:rPr>
        <w:t>四、成交供应商的确认和变更</w:t>
      </w:r>
      <w:bookmarkEnd w:id="86"/>
      <w:bookmarkEnd w:id="87"/>
      <w:bookmarkEnd w:id="88"/>
    </w:p>
    <w:p w14:paraId="4B40BE28">
      <w:pPr>
        <w:spacing w:line="360" w:lineRule="auto"/>
        <w:ind w:firstLine="420" w:firstLineChars="200"/>
        <w:rPr>
          <w:rFonts w:hint="eastAsia" w:ascii="宋体" w:hAnsi="宋体" w:cs="宋体"/>
          <w:sz w:val="21"/>
          <w:szCs w:val="21"/>
        </w:rPr>
      </w:pPr>
      <w:r>
        <w:rPr>
          <w:rFonts w:hint="eastAsia" w:ascii="宋体" w:hAnsi="宋体" w:cs="宋体"/>
          <w:sz w:val="21"/>
          <w:szCs w:val="21"/>
        </w:rPr>
        <w:t>（一）成交供应商的确认</w:t>
      </w:r>
    </w:p>
    <w:p w14:paraId="378A75EB">
      <w:pPr>
        <w:spacing w:line="360" w:lineRule="auto"/>
        <w:ind w:firstLine="420" w:firstLineChars="200"/>
        <w:rPr>
          <w:rFonts w:hint="eastAsia" w:ascii="宋体" w:hAnsi="宋体" w:cs="宋体"/>
          <w:sz w:val="21"/>
          <w:szCs w:val="21"/>
        </w:rPr>
      </w:pPr>
      <w:r>
        <w:rPr>
          <w:rFonts w:hint="eastAsia" w:ascii="宋体" w:hAnsi="宋体" w:cs="宋体"/>
          <w:sz w:val="21"/>
          <w:szCs w:val="21"/>
        </w:rPr>
        <w:t>采购人从评审报告提出的成交候选供应商中，按照得分排序由高到低的原则确定成交供应商。</w:t>
      </w:r>
    </w:p>
    <w:p w14:paraId="458E8147">
      <w:pPr>
        <w:spacing w:line="360" w:lineRule="auto"/>
        <w:ind w:firstLine="420" w:firstLineChars="200"/>
        <w:rPr>
          <w:rFonts w:hint="eastAsia" w:ascii="宋体" w:hAnsi="宋体" w:cs="宋体"/>
          <w:sz w:val="21"/>
          <w:szCs w:val="21"/>
        </w:rPr>
      </w:pPr>
      <w:r>
        <w:rPr>
          <w:rFonts w:hint="eastAsia" w:ascii="宋体" w:hAnsi="宋体" w:cs="宋体"/>
          <w:sz w:val="21"/>
          <w:szCs w:val="21"/>
        </w:rPr>
        <w:t>（二）成交供应商的变更</w:t>
      </w:r>
    </w:p>
    <w:p w14:paraId="4F4867D4">
      <w:pPr>
        <w:spacing w:line="360" w:lineRule="auto"/>
        <w:ind w:firstLine="420" w:firstLineChars="200"/>
        <w:rPr>
          <w:rFonts w:hint="eastAsia" w:ascii="宋体" w:hAnsi="宋体" w:cs="宋体"/>
          <w:sz w:val="21"/>
          <w:szCs w:val="21"/>
        </w:rPr>
      </w:pPr>
      <w:r>
        <w:rPr>
          <w:rFonts w:hint="eastAsia" w:ascii="宋体" w:hAnsi="宋体" w:cs="宋体"/>
          <w:sz w:val="21"/>
          <w:szCs w:val="21"/>
        </w:rPr>
        <w:t>1、成交供应商因不可抗力或者自身原因不能履行合同的，应重新组织采购。</w:t>
      </w:r>
    </w:p>
    <w:p w14:paraId="2B3A13EF">
      <w:pPr>
        <w:spacing w:line="360" w:lineRule="auto"/>
        <w:ind w:firstLine="420" w:firstLineChars="200"/>
        <w:rPr>
          <w:rFonts w:hint="eastAsia" w:ascii="宋体" w:hAnsi="宋体" w:cs="宋体"/>
          <w:sz w:val="21"/>
          <w:szCs w:val="21"/>
        </w:rPr>
      </w:pPr>
      <w:r>
        <w:rPr>
          <w:rFonts w:hint="eastAsia" w:ascii="宋体" w:hAnsi="宋体" w:cs="宋体"/>
          <w:sz w:val="21"/>
          <w:szCs w:val="21"/>
        </w:rPr>
        <w:t>2、成交供应商无充分理由放弃成交的，采购人将会把相关情况报财政部门，由财政局进行处理，平台也会按照平台规则对供应商进行相应处理。</w:t>
      </w:r>
    </w:p>
    <w:p w14:paraId="4807D06C">
      <w:pPr>
        <w:pStyle w:val="5"/>
        <w:spacing w:before="0" w:after="0" w:line="312" w:lineRule="auto"/>
        <w:rPr>
          <w:rFonts w:hint="eastAsia" w:ascii="宋体" w:hAnsi="宋体" w:eastAsia="宋体" w:cs="宋体"/>
          <w:b/>
          <w:sz w:val="24"/>
          <w:szCs w:val="24"/>
        </w:rPr>
      </w:pPr>
      <w:bookmarkStart w:id="89" w:name="_Toc22012"/>
      <w:bookmarkStart w:id="90" w:name="_Toc12171"/>
      <w:bookmarkStart w:id="91" w:name="_Toc342913395"/>
      <w:bookmarkStart w:id="92" w:name="_Toc16678"/>
      <w:bookmarkStart w:id="93" w:name="_Toc102227321"/>
      <w:r>
        <w:rPr>
          <w:rFonts w:hint="eastAsia" w:ascii="宋体" w:hAnsi="宋体" w:eastAsia="宋体" w:cs="宋体"/>
          <w:b/>
          <w:sz w:val="24"/>
          <w:szCs w:val="24"/>
        </w:rPr>
        <w:t>五、成交通知</w:t>
      </w:r>
      <w:bookmarkEnd w:id="89"/>
      <w:bookmarkEnd w:id="90"/>
      <w:bookmarkEnd w:id="91"/>
      <w:bookmarkEnd w:id="92"/>
      <w:bookmarkEnd w:id="93"/>
    </w:p>
    <w:p w14:paraId="694212B9">
      <w:pPr>
        <w:spacing w:line="360" w:lineRule="auto"/>
        <w:ind w:firstLine="420" w:firstLineChars="200"/>
        <w:rPr>
          <w:rFonts w:hint="eastAsia" w:ascii="宋体" w:hAnsi="宋体" w:cs="宋体"/>
          <w:sz w:val="21"/>
          <w:szCs w:val="21"/>
        </w:rPr>
      </w:pPr>
      <w:r>
        <w:rPr>
          <w:rFonts w:hint="eastAsia" w:ascii="宋体" w:hAnsi="宋体" w:cs="宋体"/>
          <w:sz w:val="21"/>
          <w:szCs w:val="21"/>
        </w:rPr>
        <w:t>成交供应商确定后，将在扬州市政府采购·服务商城·平台上发布成交结果公示。</w:t>
      </w:r>
    </w:p>
    <w:p w14:paraId="67DD7DA8">
      <w:pPr>
        <w:pStyle w:val="5"/>
        <w:spacing w:before="0" w:after="0" w:line="312" w:lineRule="auto"/>
        <w:rPr>
          <w:rFonts w:hint="eastAsia" w:ascii="宋体" w:hAnsi="宋体" w:eastAsia="宋体" w:cs="宋体"/>
          <w:b/>
          <w:sz w:val="24"/>
          <w:szCs w:val="24"/>
        </w:rPr>
      </w:pPr>
      <w:bookmarkStart w:id="94" w:name="_Toc1331"/>
      <w:bookmarkStart w:id="95" w:name="_Toc4498"/>
      <w:bookmarkStart w:id="96" w:name="_Toc5454"/>
      <w:r>
        <w:rPr>
          <w:rFonts w:hint="eastAsia" w:ascii="宋体" w:hAnsi="宋体" w:eastAsia="宋体" w:cs="宋体"/>
          <w:b/>
          <w:sz w:val="24"/>
          <w:szCs w:val="24"/>
        </w:rPr>
        <w:t>六、关于咨询</w:t>
      </w:r>
      <w:bookmarkEnd w:id="94"/>
      <w:bookmarkEnd w:id="95"/>
      <w:bookmarkEnd w:id="96"/>
    </w:p>
    <w:p w14:paraId="6CD40E60">
      <w:pPr>
        <w:spacing w:line="360" w:lineRule="auto"/>
        <w:ind w:firstLine="420" w:firstLineChars="200"/>
        <w:rPr>
          <w:rFonts w:hint="eastAsia" w:ascii="宋体" w:hAnsi="宋体" w:cs="宋体"/>
          <w:sz w:val="21"/>
          <w:szCs w:val="21"/>
        </w:rPr>
      </w:pPr>
      <w:r>
        <w:rPr>
          <w:rFonts w:hint="eastAsia" w:ascii="宋体" w:hAnsi="宋体" w:cs="宋体"/>
          <w:sz w:val="21"/>
          <w:szCs w:val="21"/>
        </w:rPr>
        <w:t>供应商如对谈判采购文件有异议，请电话咨询采购人。如对采购流程有异议，请电话咨询扬州市政府采购·服务商城·平台运营。</w:t>
      </w:r>
    </w:p>
    <w:p w14:paraId="1A757646">
      <w:pPr>
        <w:pStyle w:val="5"/>
        <w:spacing w:before="0" w:after="0" w:line="312" w:lineRule="auto"/>
        <w:rPr>
          <w:rFonts w:hint="eastAsia" w:ascii="宋体" w:hAnsi="宋体" w:eastAsia="宋体" w:cs="宋体"/>
          <w:b/>
          <w:sz w:val="24"/>
          <w:szCs w:val="24"/>
        </w:rPr>
      </w:pPr>
      <w:bookmarkStart w:id="97" w:name="_Toc102227322"/>
      <w:bookmarkStart w:id="98" w:name="_Toc9382"/>
      <w:bookmarkStart w:id="99" w:name="_Toc9092"/>
      <w:bookmarkStart w:id="100" w:name="_Toc31847"/>
      <w:bookmarkStart w:id="101" w:name="_Toc342913396"/>
      <w:bookmarkStart w:id="102" w:name="_Toc12789059"/>
      <w:bookmarkStart w:id="103" w:name="_Toc11641055"/>
      <w:r>
        <w:rPr>
          <w:rFonts w:hint="eastAsia" w:ascii="宋体" w:hAnsi="宋体" w:eastAsia="宋体" w:cs="宋体"/>
          <w:b/>
          <w:sz w:val="24"/>
          <w:szCs w:val="24"/>
        </w:rPr>
        <w:t>七、签订</w:t>
      </w:r>
      <w:bookmarkEnd w:id="97"/>
      <w:r>
        <w:rPr>
          <w:rFonts w:hint="eastAsia" w:ascii="宋体" w:hAnsi="宋体" w:eastAsia="宋体" w:cs="宋体"/>
          <w:b/>
          <w:sz w:val="24"/>
          <w:szCs w:val="24"/>
        </w:rPr>
        <w:t>合同</w:t>
      </w:r>
      <w:bookmarkEnd w:id="98"/>
      <w:bookmarkEnd w:id="99"/>
      <w:bookmarkEnd w:id="100"/>
      <w:bookmarkEnd w:id="101"/>
    </w:p>
    <w:p w14:paraId="4EA8CCD4">
      <w:pPr>
        <w:spacing w:line="360" w:lineRule="auto"/>
        <w:ind w:firstLine="420" w:firstLineChars="200"/>
        <w:rPr>
          <w:rFonts w:hint="eastAsia" w:ascii="宋体" w:hAnsi="宋体" w:cs="宋体"/>
          <w:sz w:val="21"/>
          <w:szCs w:val="21"/>
        </w:rPr>
      </w:pPr>
      <w:r>
        <w:rPr>
          <w:rFonts w:hint="eastAsia" w:ascii="宋体" w:hAnsi="宋体" w:cs="宋体"/>
          <w:sz w:val="21"/>
          <w:szCs w:val="21"/>
        </w:rPr>
        <w:t>（一）采购人可以自平台成交公示发布后，按照谈判采购文件和成交供应商响应文件的约定，与成交供应商签订书面合同。所签订的合同不得对谈判采购文件和供应商的响应文件作实质性修改。</w:t>
      </w:r>
    </w:p>
    <w:p w14:paraId="2BDFDF1A">
      <w:pPr>
        <w:spacing w:line="360" w:lineRule="auto"/>
        <w:ind w:firstLine="420" w:firstLineChars="200"/>
        <w:rPr>
          <w:rFonts w:hint="eastAsia" w:ascii="宋体" w:hAnsi="宋体" w:cs="宋体"/>
          <w:sz w:val="21"/>
          <w:szCs w:val="21"/>
        </w:rPr>
      </w:pPr>
      <w:r>
        <w:rPr>
          <w:rFonts w:hint="eastAsia" w:ascii="宋体" w:hAnsi="宋体" w:cs="宋体"/>
          <w:sz w:val="21"/>
          <w:szCs w:val="21"/>
        </w:rPr>
        <w:t>（二）谈判采购文件、供应商的响应文件及澄清文件等，均为签订采购合同的依据。</w:t>
      </w:r>
    </w:p>
    <w:p w14:paraId="3C7485AE">
      <w:pPr>
        <w:spacing w:line="360" w:lineRule="auto"/>
        <w:ind w:firstLine="420" w:firstLineChars="200"/>
        <w:rPr>
          <w:rFonts w:hint="eastAsia" w:ascii="宋体" w:hAnsi="宋体" w:cs="宋体"/>
          <w:sz w:val="21"/>
          <w:szCs w:val="21"/>
        </w:rPr>
      </w:pPr>
      <w:r>
        <w:rPr>
          <w:rFonts w:hint="eastAsia" w:ascii="宋体" w:hAnsi="宋体" w:cs="宋体"/>
          <w:sz w:val="21"/>
          <w:szCs w:val="21"/>
        </w:rPr>
        <w:t>（三）合同生效条款由供需双方约定，法律、行政法规规定应当办理批准、登记等手续后生效的合同，依照其规定。</w:t>
      </w:r>
    </w:p>
    <w:p w14:paraId="30F97A4B">
      <w:pPr>
        <w:pStyle w:val="5"/>
        <w:spacing w:before="0" w:after="0" w:line="312" w:lineRule="auto"/>
        <w:rPr>
          <w:rFonts w:hint="eastAsia" w:ascii="宋体" w:hAnsi="宋体" w:eastAsia="宋体" w:cs="宋体"/>
          <w:b/>
          <w:sz w:val="24"/>
          <w:szCs w:val="24"/>
        </w:rPr>
      </w:pPr>
      <w:r>
        <w:rPr>
          <w:rFonts w:hint="eastAsia" w:ascii="宋体" w:hAnsi="宋体" w:eastAsia="宋体" w:cs="宋体"/>
          <w:b/>
          <w:sz w:val="24"/>
          <w:szCs w:val="24"/>
        </w:rPr>
        <w:t>八、代理服务费</w:t>
      </w:r>
    </w:p>
    <w:p w14:paraId="1088E92E">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（一）本次谈判文件售价</w:t>
      </w:r>
      <w:r>
        <w:rPr>
          <w:rFonts w:hint="eastAsia" w:ascii="宋体" w:hAnsi="宋体" w:eastAsia="宋体" w:cs="宋体"/>
          <w:sz w:val="21"/>
          <w:szCs w:val="21"/>
          <w:lang w:val="en-US" w:eastAsia="zh-CN"/>
        </w:rPr>
        <w:t>2</w:t>
      </w:r>
      <w:r>
        <w:rPr>
          <w:rFonts w:hint="eastAsia" w:ascii="宋体" w:hAnsi="宋体" w:eastAsia="宋体" w:cs="宋体"/>
          <w:sz w:val="21"/>
          <w:szCs w:val="21"/>
        </w:rPr>
        <w:t>00元，递交响应文件时缴纳，售后不退。</w:t>
      </w:r>
    </w:p>
    <w:p w14:paraId="79CCAE26">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二</w:t>
      </w:r>
      <w:r>
        <w:rPr>
          <w:rFonts w:hint="eastAsia" w:ascii="宋体" w:hAnsi="宋体" w:eastAsia="宋体" w:cs="宋体"/>
          <w:sz w:val="21"/>
          <w:szCs w:val="21"/>
        </w:rPr>
        <w:t>）专家评审费按《扬州市财政局关于进一步规范扬州市政府采购专家评审费标准的通知》（扬财购〔2020〕40号）</w:t>
      </w:r>
      <w:r>
        <w:rPr>
          <w:rFonts w:hint="eastAsia" w:ascii="宋体" w:hAnsi="宋体" w:eastAsia="宋体" w:cs="宋体"/>
          <w:sz w:val="21"/>
          <w:szCs w:val="21"/>
          <w:lang w:val="en-US" w:eastAsia="zh-CN"/>
        </w:rPr>
        <w:t>标准</w:t>
      </w:r>
      <w:r>
        <w:rPr>
          <w:rFonts w:hint="eastAsia" w:ascii="宋体" w:hAnsi="宋体" w:eastAsia="宋体" w:cs="宋体"/>
          <w:sz w:val="21"/>
          <w:szCs w:val="21"/>
        </w:rPr>
        <w:t>执行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由成交人支付</w:t>
      </w:r>
      <w:r>
        <w:rPr>
          <w:rFonts w:hint="eastAsia" w:ascii="宋体" w:hAnsi="宋体" w:eastAsia="宋体" w:cs="宋体"/>
          <w:sz w:val="21"/>
          <w:szCs w:val="21"/>
        </w:rPr>
        <w:t>。</w:t>
      </w:r>
    </w:p>
    <w:p w14:paraId="30DFEA74">
      <w:pPr>
        <w:pStyle w:val="4"/>
        <w:spacing w:before="0" w:after="0" w:line="312" w:lineRule="auto"/>
        <w:jc w:val="center"/>
        <w:rPr>
          <w:rFonts w:hint="eastAsia" w:ascii="宋体" w:hAnsi="宋体" w:eastAsia="宋体"/>
          <w:sz w:val="36"/>
          <w:szCs w:val="30"/>
        </w:rPr>
      </w:pPr>
      <w:r>
        <w:rPr>
          <w:rFonts w:hint="eastAsia" w:ascii="宋体" w:hAnsi="宋体" w:eastAsia="宋体" w:cs="宋体"/>
          <w:sz w:val="36"/>
          <w:szCs w:val="30"/>
        </w:rPr>
        <w:br w:type="page"/>
      </w:r>
      <w:bookmarkStart w:id="104" w:name="_Toc22179"/>
      <w:bookmarkStart w:id="105" w:name="_Toc30177"/>
      <w:bookmarkStart w:id="106" w:name="_Toc25359"/>
      <w:r>
        <w:rPr>
          <w:rFonts w:hint="eastAsia" w:ascii="宋体" w:hAnsi="宋体" w:eastAsia="宋体"/>
          <w:sz w:val="36"/>
          <w:szCs w:val="30"/>
        </w:rPr>
        <w:t xml:space="preserve">第六篇  </w:t>
      </w:r>
      <w:bookmarkEnd w:id="102"/>
      <w:bookmarkEnd w:id="103"/>
      <w:r>
        <w:rPr>
          <w:rFonts w:hint="eastAsia" w:ascii="宋体" w:hAnsi="宋体" w:eastAsia="宋体"/>
          <w:sz w:val="36"/>
          <w:szCs w:val="30"/>
        </w:rPr>
        <w:t>合同草案条款</w:t>
      </w:r>
      <w:bookmarkEnd w:id="104"/>
      <w:bookmarkEnd w:id="105"/>
      <w:bookmarkEnd w:id="106"/>
    </w:p>
    <w:p w14:paraId="0264CC41">
      <w:pPr>
        <w:adjustRightInd w:val="0"/>
        <w:snapToGrid w:val="0"/>
        <w:spacing w:line="360" w:lineRule="auto"/>
        <w:ind w:firstLine="600" w:firstLineChars="200"/>
        <w:rPr>
          <w:rFonts w:hint="eastAsia" w:ascii="宋体" w:hAnsi="宋体"/>
          <w:bCs/>
          <w:color w:val="000000"/>
          <w:sz w:val="30"/>
          <w:szCs w:val="30"/>
        </w:rPr>
      </w:pPr>
      <w:bookmarkStart w:id="107" w:name="_Hlt41879464"/>
      <w:bookmarkEnd w:id="107"/>
      <w:bookmarkStart w:id="108" w:name="_Toc12789072"/>
      <w:bookmarkStart w:id="109" w:name="_Toc29402"/>
      <w:bookmarkStart w:id="110" w:name="_Toc25430"/>
      <w:bookmarkStart w:id="111" w:name="_Toc3907"/>
    </w:p>
    <w:p w14:paraId="5DBAE850">
      <w:pPr>
        <w:adjustRightInd w:val="0"/>
        <w:snapToGrid w:val="0"/>
        <w:spacing w:line="360" w:lineRule="auto"/>
        <w:ind w:firstLine="600" w:firstLineChars="200"/>
        <w:rPr>
          <w:rFonts w:hint="eastAsia" w:ascii="宋体" w:hAnsi="宋体"/>
          <w:bCs/>
          <w:color w:val="000000"/>
          <w:sz w:val="30"/>
          <w:szCs w:val="30"/>
        </w:rPr>
      </w:pPr>
    </w:p>
    <w:p w14:paraId="496BC6D4">
      <w:pPr>
        <w:jc w:val="center"/>
        <w:rPr>
          <w:rFonts w:hint="eastAsia" w:ascii="黑体" w:eastAsia="黑体"/>
          <w:b/>
          <w:sz w:val="36"/>
          <w:szCs w:val="36"/>
        </w:rPr>
      </w:pPr>
    </w:p>
    <w:p w14:paraId="4BF012D7">
      <w:pPr>
        <w:jc w:val="center"/>
        <w:rPr>
          <w:rFonts w:hint="eastAsia" w:ascii="黑体" w:eastAsia="黑体"/>
          <w:b/>
          <w:sz w:val="36"/>
          <w:szCs w:val="36"/>
        </w:rPr>
      </w:pPr>
      <w:r>
        <w:rPr>
          <w:rFonts w:hint="eastAsia" w:ascii="黑体" w:eastAsia="黑体"/>
          <w:b/>
          <w:sz w:val="36"/>
          <w:szCs w:val="36"/>
        </w:rPr>
        <w:t>江苏省建设工程造价咨询合同</w:t>
      </w:r>
    </w:p>
    <w:p w14:paraId="39329B63">
      <w:pPr>
        <w:jc w:val="center"/>
        <w:rPr>
          <w:rFonts w:hint="eastAsia"/>
          <w:b/>
          <w:sz w:val="36"/>
          <w:szCs w:val="36"/>
        </w:rPr>
      </w:pPr>
      <w:r>
        <w:rPr>
          <w:rFonts w:hint="eastAsia"/>
          <w:b/>
          <w:sz w:val="36"/>
          <w:szCs w:val="36"/>
        </w:rPr>
        <w:t xml:space="preserve"> </w:t>
      </w:r>
    </w:p>
    <w:p w14:paraId="66DBAF02">
      <w:pPr>
        <w:jc w:val="center"/>
        <w:rPr>
          <w:b/>
          <w:sz w:val="44"/>
          <w:szCs w:val="44"/>
        </w:rPr>
      </w:pPr>
    </w:p>
    <w:p w14:paraId="579EA770">
      <w:r>
        <w:t xml:space="preserve"> </w:t>
      </w:r>
    </w:p>
    <w:p w14:paraId="2A6933C8">
      <w:pPr>
        <w:spacing w:line="720" w:lineRule="exact"/>
        <w:rPr>
          <w:rFonts w:hint="eastAsia"/>
        </w:rPr>
      </w:pPr>
    </w:p>
    <w:p w14:paraId="0D8FE4A3">
      <w:pPr>
        <w:spacing w:line="720" w:lineRule="exact"/>
        <w:ind w:left="2100" w:leftChars="150" w:hanging="1680" w:hangingChars="600"/>
        <w:rPr>
          <w:rFonts w:hint="eastAsia"/>
          <w:sz w:val="28"/>
          <w:szCs w:val="28"/>
        </w:rPr>
      </w:pPr>
    </w:p>
    <w:p w14:paraId="11FDD006">
      <w:pPr>
        <w:spacing w:line="720" w:lineRule="exact"/>
        <w:ind w:left="2100" w:leftChars="350" w:hanging="1120" w:hangingChars="400"/>
        <w:rPr>
          <w:rFonts w:hint="eastAsia"/>
          <w:sz w:val="28"/>
          <w:szCs w:val="28"/>
        </w:rPr>
      </w:pPr>
    </w:p>
    <w:p w14:paraId="2A688DA6">
      <w:pPr>
        <w:spacing w:line="720" w:lineRule="exact"/>
        <w:ind w:left="2100" w:leftChars="350" w:hanging="1120" w:hangingChars="400"/>
        <w:rPr>
          <w:rFonts w:hint="eastAsia"/>
          <w:sz w:val="28"/>
          <w:szCs w:val="28"/>
        </w:rPr>
      </w:pPr>
    </w:p>
    <w:p w14:paraId="17924A52">
      <w:pPr>
        <w:spacing w:line="720" w:lineRule="exact"/>
        <w:ind w:left="2100" w:leftChars="350" w:hanging="1120" w:hangingChars="400"/>
        <w:rPr>
          <w:rFonts w:hint="eastAsia"/>
          <w:sz w:val="28"/>
          <w:szCs w:val="28"/>
        </w:rPr>
      </w:pPr>
    </w:p>
    <w:p w14:paraId="3FA56499">
      <w:pPr>
        <w:spacing w:line="720" w:lineRule="exact"/>
        <w:ind w:left="2100" w:leftChars="350" w:hanging="1120" w:hangingChars="400"/>
        <w:rPr>
          <w:rFonts w:hint="eastAsia"/>
          <w:sz w:val="28"/>
          <w:szCs w:val="28"/>
        </w:rPr>
      </w:pPr>
    </w:p>
    <w:p w14:paraId="16AE096B">
      <w:pPr>
        <w:spacing w:line="720" w:lineRule="exact"/>
        <w:ind w:left="2100" w:leftChars="350" w:hanging="1120" w:hangingChars="400"/>
        <w:rPr>
          <w:rFonts w:hint="eastAsia"/>
        </w:rPr>
      </w:pPr>
      <w:r>
        <w:rPr>
          <w:rFonts w:hint="eastAsia"/>
          <w:sz w:val="28"/>
          <w:szCs w:val="28"/>
        </w:rPr>
        <w:t>项 目 名 称：</w:t>
      </w:r>
      <w:r>
        <w:rPr>
          <w:rFonts w:hint="eastAsia"/>
          <w:sz w:val="28"/>
          <w:szCs w:val="28"/>
          <w:u w:val="single"/>
          <w:lang w:eastAsia="zh-CN"/>
        </w:rPr>
        <w:t>市管照明设施灯杆改造工程</w:t>
      </w:r>
      <w:r>
        <w:rPr>
          <w:rFonts w:hint="eastAsia"/>
          <w:sz w:val="28"/>
          <w:szCs w:val="28"/>
          <w:u w:val="single"/>
        </w:rPr>
        <w:t xml:space="preserve">  </w:t>
      </w:r>
    </w:p>
    <w:p w14:paraId="542C3CEA">
      <w:pPr>
        <w:spacing w:line="720" w:lineRule="exact"/>
        <w:ind w:firstLine="980" w:firstLineChars="350"/>
        <w:rPr>
          <w:sz w:val="28"/>
          <w:szCs w:val="28"/>
        </w:rPr>
      </w:pPr>
      <w:r>
        <w:rPr>
          <w:rFonts w:hint="eastAsia"/>
          <w:sz w:val="28"/>
          <w:szCs w:val="28"/>
        </w:rPr>
        <w:t>建 设 地 点：</w:t>
      </w:r>
      <w:r>
        <w:rPr>
          <w:rFonts w:hint="eastAsia" w:ascii="宋体" w:hAnsi="宋体" w:cs="宋体"/>
          <w:sz w:val="28"/>
          <w:szCs w:val="28"/>
          <w:u w:val="single"/>
        </w:rPr>
        <w:t xml:space="preserve"> </w:t>
      </w:r>
      <w:r>
        <w:rPr>
          <w:rFonts w:hint="eastAsia"/>
          <w:sz w:val="28"/>
          <w:szCs w:val="28"/>
          <w:u w:val="single"/>
        </w:rPr>
        <w:t xml:space="preserve">                                            </w:t>
      </w:r>
    </w:p>
    <w:p w14:paraId="2892DB07">
      <w:pPr>
        <w:spacing w:line="720" w:lineRule="exact"/>
        <w:ind w:firstLine="980" w:firstLineChars="350"/>
        <w:rPr>
          <w:rFonts w:hint="eastAsia"/>
          <w:sz w:val="28"/>
          <w:szCs w:val="28"/>
        </w:rPr>
      </w:pPr>
      <w:r>
        <w:rPr>
          <w:rFonts w:hint="eastAsia"/>
          <w:sz w:val="28"/>
          <w:szCs w:val="28"/>
        </w:rPr>
        <w:t>合 同 编 号：</w:t>
      </w:r>
      <w:r>
        <w:rPr>
          <w:rFonts w:hint="eastAsia"/>
          <w:sz w:val="28"/>
          <w:szCs w:val="28"/>
          <w:u w:val="single"/>
        </w:rPr>
        <w:t xml:space="preserve">                                             </w:t>
      </w:r>
    </w:p>
    <w:p w14:paraId="59E55DF9">
      <w:pPr>
        <w:spacing w:line="720" w:lineRule="exact"/>
        <w:ind w:firstLine="980" w:firstLineChars="350"/>
        <w:rPr>
          <w:rFonts w:hint="eastAsia"/>
          <w:sz w:val="28"/>
          <w:szCs w:val="28"/>
        </w:rPr>
      </w:pPr>
      <w:r>
        <w:rPr>
          <w:rFonts w:hint="eastAsia"/>
          <w:sz w:val="28"/>
          <w:szCs w:val="28"/>
        </w:rPr>
        <w:t>咨 询 类 型：</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14:paraId="0E89EE59">
      <w:pPr>
        <w:rPr>
          <w:rFonts w:hint="eastAsia"/>
          <w:sz w:val="28"/>
          <w:szCs w:val="28"/>
        </w:rPr>
      </w:pPr>
    </w:p>
    <w:p w14:paraId="1D99BA90">
      <w:pPr>
        <w:rPr>
          <w:rFonts w:hint="eastAsia"/>
        </w:rPr>
      </w:pPr>
    </w:p>
    <w:p w14:paraId="1CF0BB77">
      <w:pPr>
        <w:rPr>
          <w:rFonts w:hint="eastAsia"/>
        </w:rPr>
      </w:pPr>
    </w:p>
    <w:p w14:paraId="43FC7933">
      <w:pPr>
        <w:rPr>
          <w:rFonts w:hint="eastAsia"/>
        </w:rPr>
      </w:pPr>
    </w:p>
    <w:p w14:paraId="64B62F9E">
      <w:pPr>
        <w:rPr>
          <w:rFonts w:hint="eastAsia"/>
        </w:rPr>
      </w:pPr>
    </w:p>
    <w:p w14:paraId="779CF1E6">
      <w:pPr>
        <w:rPr>
          <w:rFonts w:hint="eastAsia"/>
        </w:rPr>
      </w:pPr>
    </w:p>
    <w:tbl>
      <w:tblPr>
        <w:tblStyle w:val="58"/>
        <w:tblW w:w="0" w:type="auto"/>
        <w:jc w:val="center"/>
        <w:tblLayout w:type="fixed"/>
        <w:tblCellMar>
          <w:top w:w="0" w:type="dxa"/>
          <w:left w:w="108" w:type="dxa"/>
          <w:bottom w:w="0" w:type="dxa"/>
          <w:right w:w="108" w:type="dxa"/>
        </w:tblCellMar>
      </w:tblPr>
      <w:tblGrid>
        <w:gridCol w:w="3348"/>
        <w:gridCol w:w="1080"/>
      </w:tblGrid>
      <w:tr w14:paraId="17483E45">
        <w:tblPrEx>
          <w:tblCellMar>
            <w:top w:w="0" w:type="dxa"/>
            <w:left w:w="108" w:type="dxa"/>
            <w:bottom w:w="0" w:type="dxa"/>
            <w:right w:w="108" w:type="dxa"/>
          </w:tblCellMar>
        </w:tblPrEx>
        <w:trPr>
          <w:trHeight w:val="451" w:hRule="atLeast"/>
          <w:jc w:val="center"/>
        </w:trPr>
        <w:tc>
          <w:tcPr>
            <w:tcW w:w="3348" w:type="dxa"/>
            <w:noWrap w:val="0"/>
            <w:vAlign w:val="center"/>
          </w:tcPr>
          <w:p w14:paraId="05E251A2">
            <w:pPr>
              <w:jc w:val="center"/>
              <w:rPr>
                <w:rFonts w:hint="eastAsia"/>
              </w:rPr>
            </w:pPr>
            <w:r>
              <w:rPr>
                <w:rFonts w:hint="eastAsia"/>
                <w:sz w:val="28"/>
                <w:szCs w:val="28"/>
              </w:rPr>
              <w:t>江苏省住房和城乡建设厅</w:t>
            </w:r>
          </w:p>
        </w:tc>
        <w:tc>
          <w:tcPr>
            <w:tcW w:w="1080" w:type="dxa"/>
            <w:vMerge w:val="restart"/>
            <w:noWrap w:val="0"/>
            <w:vAlign w:val="center"/>
          </w:tcPr>
          <w:p w14:paraId="0F074005">
            <w:pPr>
              <w:jc w:val="center"/>
              <w:rPr>
                <w:rFonts w:hint="eastAsia"/>
                <w:sz w:val="32"/>
                <w:szCs w:val="32"/>
              </w:rPr>
            </w:pPr>
            <w:r>
              <w:rPr>
                <w:rFonts w:hint="eastAsia"/>
                <w:sz w:val="32"/>
                <w:szCs w:val="32"/>
              </w:rPr>
              <w:t>制定</w:t>
            </w:r>
          </w:p>
        </w:tc>
      </w:tr>
      <w:tr w14:paraId="2A74803B">
        <w:tblPrEx>
          <w:tblCellMar>
            <w:top w:w="0" w:type="dxa"/>
            <w:left w:w="108" w:type="dxa"/>
            <w:bottom w:w="0" w:type="dxa"/>
            <w:right w:w="108" w:type="dxa"/>
          </w:tblCellMar>
        </w:tblPrEx>
        <w:trPr>
          <w:jc w:val="center"/>
        </w:trPr>
        <w:tc>
          <w:tcPr>
            <w:tcW w:w="3348" w:type="dxa"/>
            <w:noWrap w:val="0"/>
            <w:vAlign w:val="center"/>
          </w:tcPr>
          <w:p w14:paraId="795A8F97">
            <w:pPr>
              <w:jc w:val="center"/>
              <w:rPr>
                <w:rFonts w:hint="eastAsia"/>
              </w:rPr>
            </w:pPr>
            <w:r>
              <w:rPr>
                <w:rFonts w:hint="eastAsia"/>
                <w:spacing w:val="12"/>
                <w:sz w:val="28"/>
                <w:szCs w:val="28"/>
              </w:rPr>
              <w:t>江苏省工商行政管理</w:t>
            </w:r>
            <w:r>
              <w:rPr>
                <w:rFonts w:hint="eastAsia"/>
                <w:sz w:val="28"/>
                <w:szCs w:val="28"/>
              </w:rPr>
              <w:t>局</w:t>
            </w:r>
          </w:p>
        </w:tc>
        <w:tc>
          <w:tcPr>
            <w:tcW w:w="1080" w:type="dxa"/>
            <w:vMerge w:val="continue"/>
            <w:noWrap w:val="0"/>
            <w:vAlign w:val="center"/>
          </w:tcPr>
          <w:p w14:paraId="0B1CD935">
            <w:pPr>
              <w:jc w:val="center"/>
              <w:rPr>
                <w:rFonts w:hint="eastAsia"/>
              </w:rPr>
            </w:pPr>
          </w:p>
        </w:tc>
      </w:tr>
    </w:tbl>
    <w:p w14:paraId="2ABCE6A7">
      <w:pPr>
        <w:pStyle w:val="5"/>
        <w:keepNext w:val="0"/>
        <w:keepLines w:val="0"/>
        <w:spacing w:line="360" w:lineRule="auto"/>
        <w:jc w:val="center"/>
        <w:rPr>
          <w:rFonts w:hint="eastAsia" w:ascii="黑体"/>
          <w:sz w:val="28"/>
          <w:szCs w:val="28"/>
        </w:rPr>
      </w:pPr>
      <w:r>
        <w:rPr>
          <w:rFonts w:hint="eastAsia" w:ascii="黑体"/>
          <w:sz w:val="30"/>
          <w:szCs w:val="30"/>
        </w:rPr>
        <w:br w:type="page"/>
      </w:r>
      <w:r>
        <w:rPr>
          <w:rFonts w:hint="eastAsia" w:ascii="黑体"/>
          <w:b/>
          <w:bCs/>
          <w:sz w:val="28"/>
          <w:szCs w:val="28"/>
        </w:rPr>
        <w:t>第一部分　建设工程造价咨询协议书</w:t>
      </w:r>
    </w:p>
    <w:p w14:paraId="17029D84">
      <w:pPr>
        <w:spacing w:line="360" w:lineRule="auto"/>
        <w:rPr>
          <w:rFonts w:hint="eastAsia" w:ascii="宋体" w:hAnsi="宋体"/>
          <w:bCs/>
          <w:sz w:val="21"/>
          <w:szCs w:val="21"/>
          <w:u w:val="single"/>
        </w:rPr>
      </w:pPr>
      <w:r>
        <w:rPr>
          <w:rFonts w:hint="eastAsia"/>
          <w:sz w:val="21"/>
          <w:szCs w:val="21"/>
        </w:rPr>
        <w:t>委托人：</w:t>
      </w:r>
      <w:r>
        <w:rPr>
          <w:rFonts w:hint="eastAsia"/>
          <w:sz w:val="21"/>
          <w:szCs w:val="21"/>
          <w:u w:val="single"/>
        </w:rPr>
        <w:t xml:space="preserve"> 扬州市</w:t>
      </w:r>
      <w:r>
        <w:rPr>
          <w:rFonts w:hint="eastAsia"/>
          <w:sz w:val="21"/>
          <w:szCs w:val="21"/>
          <w:u w:val="single"/>
          <w:lang w:val="en-US" w:eastAsia="zh-CN"/>
        </w:rPr>
        <w:t>市政设施管理中心</w:t>
      </w:r>
      <w:r>
        <w:rPr>
          <w:rFonts w:hint="eastAsia"/>
          <w:sz w:val="21"/>
          <w:szCs w:val="21"/>
          <w:u w:val="single"/>
        </w:rPr>
        <w:t xml:space="preserve">                 </w:t>
      </w:r>
    </w:p>
    <w:p w14:paraId="22A120EA">
      <w:pPr>
        <w:spacing w:line="360" w:lineRule="auto"/>
        <w:ind w:left="1200" w:hanging="1050" w:hangingChars="500"/>
        <w:rPr>
          <w:rFonts w:hint="eastAsia"/>
          <w:sz w:val="21"/>
          <w:szCs w:val="21"/>
          <w:u w:val="single"/>
        </w:rPr>
      </w:pPr>
      <w:r>
        <w:rPr>
          <w:rFonts w:hint="eastAsia"/>
          <w:sz w:val="21"/>
          <w:szCs w:val="21"/>
        </w:rPr>
        <w:t>咨询人：</w:t>
      </w:r>
      <w:r>
        <w:rPr>
          <w:rFonts w:hint="eastAsia"/>
          <w:sz w:val="21"/>
          <w:szCs w:val="21"/>
          <w:u w:val="single"/>
        </w:rPr>
        <w:t xml:space="preserve"> 　　　　　      　　　                                   </w:t>
      </w:r>
    </w:p>
    <w:p w14:paraId="3269B98A">
      <w:pPr>
        <w:spacing w:line="360" w:lineRule="auto"/>
        <w:ind w:firstLine="359" w:firstLineChars="171"/>
        <w:rPr>
          <w:rFonts w:hint="eastAsia"/>
          <w:sz w:val="21"/>
          <w:szCs w:val="21"/>
        </w:rPr>
      </w:pPr>
      <w:r>
        <w:rPr>
          <w:rFonts w:hint="eastAsia"/>
          <w:sz w:val="21"/>
          <w:szCs w:val="21"/>
        </w:rPr>
        <w:t xml:space="preserve"> 依据《中华人民共和国民法典》及工程造价相关管理规定，经过双方协商一致，签订本工程造价咨询合同。</w:t>
      </w:r>
    </w:p>
    <w:p w14:paraId="3BC379FA">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一、委托人委托咨询人为以下项目提供建设工程造价咨询服务：</w:t>
      </w:r>
    </w:p>
    <w:p w14:paraId="5681297A">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1．项目名称：</w:t>
      </w:r>
      <w:r>
        <w:rPr>
          <w:rFonts w:hint="eastAsia" w:ascii="宋体" w:hAnsi="宋体" w:cs="宋体"/>
          <w:sz w:val="21"/>
          <w:szCs w:val="21"/>
          <w:u w:val="single"/>
          <w:lang w:eastAsia="zh-CN"/>
        </w:rPr>
        <w:t>市管照明设施灯杆改造工程</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14:paraId="354BBF21">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2．建设地点：</w:t>
      </w:r>
      <w:r>
        <w:rPr>
          <w:rFonts w:hint="eastAsia" w:ascii="宋体" w:hAnsi="宋体" w:eastAsia="宋体" w:cs="宋体"/>
          <w:sz w:val="21"/>
          <w:szCs w:val="21"/>
          <w:u w:val="single"/>
        </w:rPr>
        <w:t>扬州</w:t>
      </w:r>
      <w:r>
        <w:rPr>
          <w:rFonts w:hint="eastAsia" w:ascii="宋体" w:hAnsi="宋体" w:eastAsia="宋体" w:cs="宋体"/>
          <w:sz w:val="21"/>
          <w:szCs w:val="21"/>
          <w:u w:val="single"/>
          <w:lang w:val="en-US" w:eastAsia="zh-CN"/>
        </w:rPr>
        <w:t>市</w:t>
      </w:r>
      <w:r>
        <w:rPr>
          <w:rFonts w:hint="eastAsia" w:ascii="宋体" w:hAnsi="宋体" w:eastAsia="宋体" w:cs="宋体"/>
          <w:sz w:val="21"/>
          <w:szCs w:val="21"/>
          <w:u w:val="single"/>
        </w:rPr>
        <w:t xml:space="preserve">                                                            </w:t>
      </w:r>
    </w:p>
    <w:p w14:paraId="5E816E41">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sz w:val="21"/>
          <w:szCs w:val="21"/>
        </w:rPr>
        <w:t>3．资金来源：</w:t>
      </w:r>
      <w:r>
        <w:rPr>
          <w:rFonts w:hint="eastAsia" w:ascii="宋体" w:hAnsi="宋体" w:eastAsia="宋体" w:cs="宋体"/>
          <w:sz w:val="21"/>
          <w:szCs w:val="21"/>
          <w:u w:val="single"/>
        </w:rPr>
        <w:t>财政</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14:paraId="154A9A70">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．项目规模：</w:t>
      </w:r>
      <w:r>
        <w:rPr>
          <w:rFonts w:hint="eastAsia" w:ascii="宋体" w:hAnsi="宋体" w:eastAsia="宋体" w:cs="宋体"/>
          <w:sz w:val="21"/>
          <w:szCs w:val="21"/>
          <w:u w:val="single"/>
          <w:lang w:val="en-US" w:eastAsia="zh-CN"/>
        </w:rPr>
        <w:t>工程造价约855万元</w:t>
      </w:r>
      <w:r>
        <w:rPr>
          <w:rFonts w:hint="eastAsia" w:ascii="宋体" w:hAnsi="宋体" w:eastAsia="宋体" w:cs="宋体"/>
          <w:sz w:val="21"/>
          <w:szCs w:val="21"/>
          <w:u w:val="single"/>
          <w:lang w:val="zh-CN"/>
        </w:rPr>
        <w:t>。</w:t>
      </w:r>
    </w:p>
    <w:p w14:paraId="23A213B5">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．咨询业务范围及内容：</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rPr>
        <w:t>。</w:t>
      </w:r>
    </w:p>
    <w:p w14:paraId="2C0D4AF1">
      <w:pPr>
        <w:autoSpaceDE w:val="0"/>
        <w:autoSpaceDN w:val="0"/>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二、本协议书的措词和用语与所属建设工程造价咨询合同通用条款赋予的定义相同。</w:t>
      </w:r>
    </w:p>
    <w:p w14:paraId="50258882">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三、本合同的组成部分及解释顺序为：</w:t>
      </w:r>
    </w:p>
    <w:p w14:paraId="75988D2B">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建设工程造价咨询协议书；</w:t>
      </w:r>
    </w:p>
    <w:p w14:paraId="7508D273">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 建设工程造价咨询合同专用条款；</w:t>
      </w:r>
    </w:p>
    <w:p w14:paraId="727C5079">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建设工程造价咨询合同通用条款；</w:t>
      </w:r>
    </w:p>
    <w:p w14:paraId="2D6715E6">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建设工程造价咨询合同履行中共同签署的补充文件；</w:t>
      </w:r>
    </w:p>
    <w:p w14:paraId="58012C3E">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通过招标方式获得咨询业务的，还包括下列资料：</w:t>
      </w:r>
    </w:p>
    <w:p w14:paraId="0ADC65C5">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（1）招标文件；</w:t>
      </w:r>
    </w:p>
    <w:p w14:paraId="62572BBD">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（2）投标书及其附件；</w:t>
      </w:r>
    </w:p>
    <w:p w14:paraId="5AF56A0D">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（3）中标通知书。</w:t>
      </w:r>
    </w:p>
    <w:p w14:paraId="4B748C04">
      <w:pPr>
        <w:spacing w:line="360" w:lineRule="auto"/>
        <w:ind w:firstLine="420"/>
        <w:rPr>
          <w:rFonts w:hint="eastAsia" w:ascii="宋体" w:hAnsi="宋体" w:eastAsia="宋体" w:cs="宋体"/>
          <w:sz w:val="21"/>
          <w:szCs w:val="21"/>
        </w:rPr>
      </w:pPr>
      <w:r>
        <w:rPr>
          <w:rFonts w:hint="eastAsia" w:ascii="宋体" w:hAnsi="宋体" w:eastAsia="宋体" w:cs="宋体"/>
          <w:b w:val="0"/>
          <w:bCs/>
          <w:sz w:val="21"/>
          <w:szCs w:val="21"/>
        </w:rPr>
        <w:t>四、</w:t>
      </w:r>
      <w:r>
        <w:rPr>
          <w:rFonts w:hint="eastAsia" w:ascii="宋体" w:hAnsi="宋体" w:eastAsia="宋体" w:cs="宋体"/>
          <w:sz w:val="21"/>
          <w:szCs w:val="21"/>
        </w:rPr>
        <w:t>咨询人同意按照本合同的约定，承担本合同专用条款中约定范围内的建设工程造价咨询业务。</w:t>
      </w:r>
    </w:p>
    <w:p w14:paraId="489E5A5C">
      <w:pPr>
        <w:spacing w:line="360" w:lineRule="auto"/>
        <w:ind w:firstLine="420"/>
        <w:rPr>
          <w:rFonts w:hint="eastAsia" w:ascii="宋体" w:hAnsi="宋体" w:eastAsia="宋体" w:cs="宋体"/>
          <w:sz w:val="21"/>
          <w:szCs w:val="21"/>
        </w:rPr>
      </w:pPr>
      <w:r>
        <w:rPr>
          <w:rFonts w:hint="eastAsia" w:ascii="宋体" w:hAnsi="宋体" w:eastAsia="宋体" w:cs="宋体"/>
          <w:sz w:val="21"/>
          <w:szCs w:val="21"/>
        </w:rPr>
        <w:t xml:space="preserve">五、委托人同意按照专用条款中约定的期限、方式、币种和额度向咨询人支付酬金。   </w:t>
      </w:r>
    </w:p>
    <w:p w14:paraId="086E4469">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六、本合同的建设工程造价咨询业务自</w:t>
      </w:r>
      <w:r>
        <w:rPr>
          <w:rFonts w:hint="eastAsia" w:ascii="宋体" w:hAnsi="宋体" w:eastAsia="宋体" w:cs="宋体"/>
          <w:sz w:val="21"/>
          <w:szCs w:val="21"/>
          <w:u w:val="single"/>
        </w:rPr>
        <w:t xml:space="preserve"> 202</w:t>
      </w:r>
      <w:r>
        <w:rPr>
          <w:rFonts w:hint="eastAsia" w:ascii="宋体" w:hAnsi="宋体" w:eastAsia="宋体" w:cs="宋体"/>
          <w:sz w:val="21"/>
          <w:szCs w:val="21"/>
          <w:u w:val="single"/>
          <w:lang w:val="en-US" w:eastAsia="zh-CN"/>
        </w:rPr>
        <w:t>4</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日开始实施，至</w:t>
      </w:r>
      <w:r>
        <w:rPr>
          <w:rFonts w:hint="eastAsia" w:ascii="宋体" w:hAnsi="宋体" w:eastAsia="宋体" w:cs="宋体"/>
          <w:sz w:val="21"/>
          <w:szCs w:val="21"/>
          <w:u w:val="single"/>
        </w:rPr>
        <w:t xml:space="preserve"> 202</w:t>
      </w:r>
      <w:r>
        <w:rPr>
          <w:rFonts w:hint="eastAsia" w:ascii="宋体" w:hAnsi="宋体" w:eastAsia="宋体" w:cs="宋体"/>
          <w:sz w:val="21"/>
          <w:szCs w:val="21"/>
          <w:u w:val="single"/>
          <w:lang w:val="en-US" w:eastAsia="zh-CN"/>
        </w:rPr>
        <w:t>4</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日终结。</w:t>
      </w:r>
    </w:p>
    <w:p w14:paraId="36551F72">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七、本合同共陆份，委托人执肆份、咨询人执贰份。</w:t>
      </w:r>
    </w:p>
    <w:p w14:paraId="49E42661">
      <w:pPr>
        <w:spacing w:line="360" w:lineRule="auto"/>
        <w:rPr>
          <w:rFonts w:hint="eastAsia" w:ascii="宋体" w:hAnsi="宋体" w:eastAsia="宋体" w:cs="宋体"/>
          <w:sz w:val="21"/>
          <w:szCs w:val="21"/>
        </w:rPr>
      </w:pPr>
    </w:p>
    <w:p w14:paraId="019FF1CD">
      <w:pPr>
        <w:spacing w:line="360" w:lineRule="auto"/>
        <w:rPr>
          <w:rFonts w:hint="eastAsia" w:ascii="宋体" w:hAnsi="宋体" w:eastAsia="宋体" w:cs="宋体"/>
          <w:sz w:val="21"/>
          <w:szCs w:val="21"/>
        </w:rPr>
      </w:pPr>
      <w:r>
        <w:rPr>
          <w:rFonts w:hint="eastAsia" w:ascii="宋体" w:hAnsi="宋体" w:eastAsia="宋体" w:cs="宋体"/>
          <w:sz w:val="21"/>
          <w:szCs w:val="21"/>
        </w:rPr>
        <w:t>　　</w:t>
      </w:r>
    </w:p>
    <w:p w14:paraId="0CC5AA19">
      <w:pPr>
        <w:spacing w:line="360" w:lineRule="auto"/>
        <w:rPr>
          <w:rFonts w:hint="eastAsia" w:ascii="宋体" w:hAnsi="宋体" w:eastAsia="宋体" w:cs="宋体"/>
          <w:sz w:val="21"/>
          <w:szCs w:val="21"/>
        </w:rPr>
      </w:pPr>
    </w:p>
    <w:p w14:paraId="428EC83C">
      <w:pPr>
        <w:spacing w:line="360" w:lineRule="auto"/>
        <w:rPr>
          <w:rFonts w:hint="eastAsia" w:ascii="宋体" w:hAnsi="宋体" w:eastAsia="宋体" w:cs="宋体"/>
          <w:sz w:val="21"/>
          <w:szCs w:val="21"/>
        </w:rPr>
      </w:pPr>
    </w:p>
    <w:p w14:paraId="279AD0CE">
      <w:pPr>
        <w:spacing w:line="360" w:lineRule="auto"/>
        <w:rPr>
          <w:rFonts w:hint="eastAsia" w:ascii="宋体" w:hAnsi="宋体" w:eastAsia="宋体" w:cs="宋体"/>
          <w:sz w:val="21"/>
          <w:szCs w:val="21"/>
        </w:rPr>
      </w:pPr>
    </w:p>
    <w:p w14:paraId="2D17E801">
      <w:pPr>
        <w:spacing w:line="360" w:lineRule="auto"/>
        <w:rPr>
          <w:rFonts w:hint="eastAsia" w:ascii="宋体" w:hAnsi="宋体" w:eastAsia="宋体" w:cs="宋体"/>
          <w:sz w:val="21"/>
          <w:szCs w:val="21"/>
        </w:rPr>
      </w:pPr>
    </w:p>
    <w:p w14:paraId="4C43F77A">
      <w:pPr>
        <w:spacing w:line="360" w:lineRule="auto"/>
        <w:ind w:firstLine="630" w:firstLineChars="300"/>
        <w:rPr>
          <w:rFonts w:hint="eastAsia" w:ascii="宋体" w:hAnsi="宋体" w:eastAsia="宋体" w:cs="宋体"/>
          <w:sz w:val="21"/>
          <w:szCs w:val="21"/>
        </w:rPr>
      </w:pPr>
    </w:p>
    <w:p w14:paraId="1B6D34BD">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委　托　人：（盖章）　　　　　　　　 咨　询　人：（盖章）</w:t>
      </w:r>
    </w:p>
    <w:p w14:paraId="43D607D5">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p>
    <w:p w14:paraId="1EADC648">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法定代表人或                         法定代表人或</w:t>
      </w:r>
    </w:p>
    <w:p w14:paraId="71DFE74D">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委托代理人：（签字）　　　　　       委托代理人：（签字）</w:t>
      </w:r>
    </w:p>
    <w:p w14:paraId="08F74ABE">
      <w:pPr>
        <w:spacing w:line="360" w:lineRule="auto"/>
        <w:ind w:firstLine="420" w:firstLineChars="200"/>
        <w:rPr>
          <w:rFonts w:hint="eastAsia" w:ascii="宋体" w:hAnsi="宋体" w:eastAsia="宋体" w:cs="宋体"/>
          <w:sz w:val="21"/>
          <w:szCs w:val="21"/>
        </w:rPr>
      </w:pPr>
    </w:p>
    <w:p w14:paraId="2FD92A8D">
      <w:pPr>
        <w:spacing w:line="360" w:lineRule="auto"/>
        <w:ind w:firstLine="630" w:firstLineChars="300"/>
        <w:rPr>
          <w:rFonts w:hint="eastAsia"/>
          <w:sz w:val="21"/>
          <w:szCs w:val="21"/>
        </w:rPr>
      </w:pPr>
      <w:r>
        <w:rPr>
          <w:rFonts w:hint="eastAsia"/>
          <w:sz w:val="21"/>
          <w:szCs w:val="21"/>
        </w:rPr>
        <w:t xml:space="preserve">住　所：　　　　　　　　　　　　　   住  所： </w:t>
      </w:r>
    </w:p>
    <w:p w14:paraId="733A5005">
      <w:pPr>
        <w:spacing w:line="360" w:lineRule="auto"/>
        <w:rPr>
          <w:rFonts w:hint="eastAsia"/>
          <w:sz w:val="21"/>
          <w:szCs w:val="21"/>
        </w:rPr>
      </w:pPr>
      <w:r>
        <w:rPr>
          <w:rFonts w:hint="eastAsia"/>
          <w:sz w:val="21"/>
          <w:szCs w:val="21"/>
        </w:rPr>
        <w:t>　　</w:t>
      </w:r>
      <w:r>
        <w:rPr>
          <w:rFonts w:hint="eastAsia"/>
          <w:sz w:val="21"/>
          <w:szCs w:val="21"/>
          <w:lang w:val="en-US" w:eastAsia="zh-CN"/>
        </w:rPr>
        <w:t xml:space="preserve">  </w:t>
      </w:r>
      <w:r>
        <w:rPr>
          <w:rFonts w:hint="eastAsia"/>
          <w:sz w:val="21"/>
          <w:szCs w:val="21"/>
        </w:rPr>
        <w:t>开户银行：　　　　　　　　　　       开户银行：</w:t>
      </w:r>
    </w:p>
    <w:p w14:paraId="00FD6C16">
      <w:pPr>
        <w:spacing w:line="360" w:lineRule="auto"/>
        <w:ind w:firstLine="630" w:firstLineChars="300"/>
        <w:rPr>
          <w:rFonts w:hint="eastAsia"/>
          <w:sz w:val="21"/>
          <w:szCs w:val="21"/>
        </w:rPr>
      </w:pPr>
      <w:r>
        <w:rPr>
          <w:rFonts w:hint="eastAsia"/>
          <w:sz w:val="21"/>
          <w:szCs w:val="21"/>
        </w:rPr>
        <w:t>帐　　号：　　　　　　　　　　　　   帐 号：</w:t>
      </w:r>
    </w:p>
    <w:p w14:paraId="760564F2">
      <w:pPr>
        <w:spacing w:line="360" w:lineRule="auto"/>
        <w:ind w:firstLine="630" w:firstLineChars="300"/>
        <w:rPr>
          <w:rFonts w:hint="eastAsia"/>
          <w:sz w:val="21"/>
          <w:szCs w:val="21"/>
        </w:rPr>
      </w:pPr>
      <w:r>
        <w:rPr>
          <w:rFonts w:hint="eastAsia"/>
          <w:sz w:val="21"/>
          <w:szCs w:val="21"/>
        </w:rPr>
        <w:t>电　　话：　　　　　　　　　　　　   电 话：</w:t>
      </w:r>
    </w:p>
    <w:p w14:paraId="14ECC961">
      <w:pPr>
        <w:spacing w:line="360" w:lineRule="auto"/>
        <w:ind w:firstLine="630" w:firstLineChars="300"/>
        <w:rPr>
          <w:rFonts w:hint="eastAsia"/>
          <w:sz w:val="21"/>
          <w:szCs w:val="21"/>
        </w:rPr>
      </w:pPr>
      <w:r>
        <w:rPr>
          <w:rFonts w:hint="eastAsia"/>
          <w:sz w:val="21"/>
          <w:szCs w:val="21"/>
        </w:rPr>
        <w:t>传　　真：　　　　　　　　　　　　　 传 真：</w:t>
      </w:r>
    </w:p>
    <w:p w14:paraId="541E313D">
      <w:pPr>
        <w:spacing w:line="360" w:lineRule="auto"/>
        <w:ind w:firstLine="630" w:firstLineChars="300"/>
        <w:rPr>
          <w:rFonts w:hint="eastAsia"/>
          <w:sz w:val="21"/>
          <w:szCs w:val="21"/>
        </w:rPr>
      </w:pPr>
      <w:r>
        <w:rPr>
          <w:rFonts w:hint="eastAsia"/>
          <w:sz w:val="21"/>
          <w:szCs w:val="21"/>
        </w:rPr>
        <w:t>电子邮箱：　　　　　　　　　　　　　 电子邮箱：</w:t>
      </w:r>
    </w:p>
    <w:p w14:paraId="5C64F765">
      <w:pPr>
        <w:spacing w:line="360" w:lineRule="auto"/>
        <w:ind w:firstLine="630" w:firstLineChars="300"/>
        <w:rPr>
          <w:rFonts w:hint="eastAsia"/>
          <w:sz w:val="21"/>
          <w:szCs w:val="21"/>
        </w:rPr>
      </w:pPr>
      <w:r>
        <w:rPr>
          <w:rFonts w:hint="eastAsia"/>
          <w:sz w:val="21"/>
          <w:szCs w:val="21"/>
        </w:rPr>
        <w:t>邮政编码：　　　　　　　　　　　　　 邮政编码：</w:t>
      </w:r>
    </w:p>
    <w:p w14:paraId="636EB3C4">
      <w:pPr>
        <w:spacing w:line="360" w:lineRule="auto"/>
        <w:rPr>
          <w:rFonts w:hint="eastAsia"/>
          <w:sz w:val="21"/>
          <w:szCs w:val="21"/>
        </w:rPr>
      </w:pPr>
    </w:p>
    <w:p w14:paraId="0A1FBFF1">
      <w:pPr>
        <w:spacing w:line="360" w:lineRule="auto"/>
        <w:ind w:firstLine="735" w:firstLineChars="350"/>
        <w:rPr>
          <w:rFonts w:hint="eastAsia"/>
          <w:sz w:val="21"/>
          <w:szCs w:val="21"/>
        </w:rPr>
      </w:pPr>
      <w:r>
        <w:rPr>
          <w:rFonts w:hint="eastAsia"/>
          <w:sz w:val="21"/>
          <w:szCs w:val="21"/>
        </w:rPr>
        <w:t>年    月    日　　　　　　　　　       年    月    日</w:t>
      </w:r>
    </w:p>
    <w:p w14:paraId="6C16CB30">
      <w:pPr>
        <w:spacing w:line="360" w:lineRule="auto"/>
        <w:rPr>
          <w:rFonts w:hint="eastAsia" w:ascii="宋体" w:hAnsi="宋体"/>
          <w:b/>
        </w:rPr>
      </w:pPr>
    </w:p>
    <w:p w14:paraId="00B233B1">
      <w:pPr>
        <w:spacing w:line="360" w:lineRule="auto"/>
        <w:jc w:val="center"/>
        <w:rPr>
          <w:rFonts w:hint="eastAsia" w:ascii="宋体" w:hAnsi="宋体"/>
          <w:b/>
        </w:rPr>
      </w:pPr>
    </w:p>
    <w:p w14:paraId="12D79F78">
      <w:pPr>
        <w:spacing w:line="360" w:lineRule="auto"/>
        <w:jc w:val="center"/>
        <w:rPr>
          <w:rFonts w:hint="eastAsia" w:ascii="宋体" w:hAnsi="宋体"/>
          <w:b/>
        </w:rPr>
      </w:pPr>
    </w:p>
    <w:p w14:paraId="2787616C">
      <w:pPr>
        <w:spacing w:line="360" w:lineRule="auto"/>
        <w:jc w:val="center"/>
        <w:rPr>
          <w:rFonts w:hint="eastAsia" w:ascii="宋体" w:hAnsi="宋体"/>
          <w:b/>
        </w:rPr>
      </w:pPr>
    </w:p>
    <w:p w14:paraId="10CC7A6D">
      <w:pPr>
        <w:spacing w:line="360" w:lineRule="auto"/>
        <w:jc w:val="center"/>
        <w:rPr>
          <w:rFonts w:hint="eastAsia" w:ascii="宋体" w:hAnsi="宋体"/>
          <w:b/>
        </w:rPr>
      </w:pPr>
    </w:p>
    <w:p w14:paraId="5B296042">
      <w:pPr>
        <w:spacing w:line="360" w:lineRule="auto"/>
        <w:jc w:val="center"/>
        <w:rPr>
          <w:rFonts w:hint="eastAsia" w:ascii="宋体" w:hAnsi="宋体"/>
          <w:b/>
        </w:rPr>
      </w:pPr>
    </w:p>
    <w:p w14:paraId="376725DE">
      <w:pPr>
        <w:spacing w:line="360" w:lineRule="auto"/>
        <w:jc w:val="center"/>
        <w:rPr>
          <w:rFonts w:hint="eastAsia" w:ascii="宋体" w:hAnsi="宋体"/>
          <w:b/>
        </w:rPr>
      </w:pPr>
    </w:p>
    <w:p w14:paraId="31BAF143">
      <w:pPr>
        <w:spacing w:line="360" w:lineRule="auto"/>
        <w:jc w:val="center"/>
        <w:rPr>
          <w:rFonts w:hint="eastAsia" w:ascii="宋体" w:hAnsi="宋体"/>
          <w:b/>
        </w:rPr>
      </w:pPr>
    </w:p>
    <w:p w14:paraId="5CC80516">
      <w:pPr>
        <w:pStyle w:val="23"/>
        <w:rPr>
          <w:rFonts w:hint="eastAsia"/>
        </w:rPr>
      </w:pPr>
    </w:p>
    <w:p w14:paraId="3926000C">
      <w:pPr>
        <w:pStyle w:val="5"/>
        <w:keepNext w:val="0"/>
        <w:keepLines w:val="0"/>
        <w:spacing w:line="360" w:lineRule="auto"/>
        <w:jc w:val="center"/>
        <w:rPr>
          <w:rFonts w:hint="eastAsia" w:ascii="黑体" w:hAnsi="Times New Roman" w:eastAsia="宋体" w:cs="Times New Roman"/>
          <w:b/>
          <w:bCs/>
          <w:sz w:val="28"/>
          <w:szCs w:val="28"/>
        </w:rPr>
      </w:pPr>
    </w:p>
    <w:p w14:paraId="0C1E75D3">
      <w:pPr>
        <w:pStyle w:val="5"/>
        <w:keepNext w:val="0"/>
        <w:keepLines w:val="0"/>
        <w:spacing w:line="360" w:lineRule="auto"/>
        <w:jc w:val="center"/>
        <w:rPr>
          <w:rFonts w:hint="eastAsia" w:ascii="黑体" w:hAnsi="Times New Roman" w:eastAsia="宋体" w:cs="Times New Roman"/>
          <w:b/>
          <w:bCs/>
          <w:sz w:val="28"/>
          <w:szCs w:val="28"/>
        </w:rPr>
      </w:pPr>
    </w:p>
    <w:p w14:paraId="277C1739">
      <w:pPr>
        <w:pStyle w:val="5"/>
        <w:keepNext w:val="0"/>
        <w:keepLines w:val="0"/>
        <w:spacing w:line="360" w:lineRule="auto"/>
        <w:jc w:val="center"/>
        <w:rPr>
          <w:rFonts w:hint="eastAsia" w:ascii="黑体" w:hAnsi="Times New Roman" w:eastAsia="宋体" w:cs="Times New Roman"/>
          <w:b/>
          <w:bCs/>
          <w:sz w:val="28"/>
          <w:szCs w:val="28"/>
        </w:rPr>
      </w:pPr>
    </w:p>
    <w:p w14:paraId="45248B30">
      <w:pPr>
        <w:pStyle w:val="5"/>
        <w:keepNext w:val="0"/>
        <w:keepLines w:val="0"/>
        <w:spacing w:line="360" w:lineRule="auto"/>
        <w:jc w:val="center"/>
        <w:rPr>
          <w:rFonts w:hint="eastAsia" w:ascii="黑体" w:hAnsi="Times New Roman" w:eastAsia="宋体" w:cs="Times New Roman"/>
          <w:b/>
          <w:bCs/>
          <w:sz w:val="28"/>
          <w:szCs w:val="28"/>
        </w:rPr>
      </w:pPr>
    </w:p>
    <w:p w14:paraId="447A602C">
      <w:pPr>
        <w:rPr>
          <w:rFonts w:hint="eastAsia" w:ascii="黑体" w:hAnsi="Times New Roman" w:eastAsia="宋体" w:cs="Times New Roman"/>
          <w:b/>
          <w:bCs/>
          <w:sz w:val="28"/>
          <w:szCs w:val="28"/>
        </w:rPr>
      </w:pPr>
      <w:r>
        <w:rPr>
          <w:rFonts w:hint="eastAsia" w:ascii="黑体" w:hAnsi="Times New Roman" w:eastAsia="宋体" w:cs="Times New Roman"/>
          <w:b/>
          <w:bCs/>
          <w:sz w:val="28"/>
          <w:szCs w:val="28"/>
        </w:rPr>
        <w:br w:type="page"/>
      </w:r>
    </w:p>
    <w:p w14:paraId="2C49C6AF">
      <w:pPr>
        <w:pStyle w:val="5"/>
        <w:keepNext w:val="0"/>
        <w:keepLines w:val="0"/>
        <w:spacing w:line="360" w:lineRule="auto"/>
        <w:jc w:val="center"/>
        <w:rPr>
          <w:rFonts w:hint="eastAsia" w:ascii="黑体" w:hAnsi="Times New Roman" w:eastAsia="宋体" w:cs="Times New Roman"/>
          <w:b/>
          <w:bCs/>
          <w:sz w:val="28"/>
          <w:szCs w:val="28"/>
        </w:rPr>
      </w:pPr>
      <w:r>
        <w:rPr>
          <w:rFonts w:hint="eastAsia" w:ascii="黑体" w:hAnsi="Times New Roman" w:eastAsia="宋体" w:cs="Times New Roman"/>
          <w:b/>
          <w:bCs/>
          <w:sz w:val="28"/>
          <w:szCs w:val="28"/>
        </w:rPr>
        <w:t>第二部分　建设工程造价咨询合同通用条款</w:t>
      </w:r>
    </w:p>
    <w:p w14:paraId="485FB4BD">
      <w:pPr>
        <w:spacing w:line="360" w:lineRule="auto"/>
        <w:jc w:val="center"/>
        <w:rPr>
          <w:rFonts w:hint="eastAsia" w:ascii="宋体" w:hAnsi="宋体" w:eastAsia="宋体" w:cs="宋体"/>
          <w:b/>
          <w:sz w:val="21"/>
          <w:szCs w:val="21"/>
        </w:rPr>
      </w:pPr>
      <w:r>
        <w:rPr>
          <w:rFonts w:hint="eastAsia" w:ascii="宋体" w:hAnsi="宋体" w:eastAsia="宋体" w:cs="宋体"/>
          <w:vanish/>
          <w:sz w:val="21"/>
          <w:szCs w:val="21"/>
        </w:rPr>
        <w:cr/>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sz w:val="21"/>
          <w:szCs w:val="21"/>
        </w:rPr>
        <w:t>词语定义、适用语言和法律、法规</w:t>
      </w:r>
    </w:p>
    <w:p w14:paraId="35F93C3B">
      <w:pPr>
        <w:spacing w:line="360" w:lineRule="auto"/>
        <w:jc w:val="center"/>
        <w:rPr>
          <w:rFonts w:hint="eastAsia" w:ascii="宋体" w:hAnsi="宋体" w:eastAsia="宋体" w:cs="宋体"/>
          <w:b/>
          <w:sz w:val="21"/>
          <w:szCs w:val="21"/>
        </w:rPr>
      </w:pPr>
    </w:p>
    <w:p w14:paraId="4831B04D">
      <w:pPr>
        <w:spacing w:line="360" w:lineRule="auto"/>
        <w:rPr>
          <w:rFonts w:hint="eastAsia" w:ascii="宋体" w:hAnsi="宋体" w:eastAsia="宋体" w:cs="宋体"/>
          <w:sz w:val="21"/>
          <w:szCs w:val="21"/>
        </w:rPr>
      </w:pPr>
      <w:r>
        <w:rPr>
          <w:rFonts w:hint="eastAsia" w:ascii="宋体" w:hAnsi="宋体" w:eastAsia="宋体" w:cs="宋体"/>
          <w:b/>
          <w:sz w:val="21"/>
          <w:szCs w:val="21"/>
        </w:rPr>
        <w:t>　　第一条</w:t>
      </w:r>
      <w:r>
        <w:rPr>
          <w:rFonts w:hint="eastAsia" w:ascii="宋体" w:hAnsi="宋体" w:eastAsia="宋体" w:cs="宋体"/>
          <w:sz w:val="21"/>
          <w:szCs w:val="21"/>
        </w:rPr>
        <w:t>　下列名词和用语，除上下文另有规定外具有如下含义。</w:t>
      </w:r>
    </w:p>
    <w:p w14:paraId="156108BC">
      <w:pPr>
        <w:spacing w:line="360" w:lineRule="auto"/>
        <w:rPr>
          <w:rFonts w:hint="eastAsia" w:ascii="宋体" w:hAnsi="宋体" w:eastAsia="宋体" w:cs="宋体"/>
          <w:sz w:val="21"/>
          <w:szCs w:val="21"/>
        </w:rPr>
      </w:pPr>
      <w:r>
        <w:rPr>
          <w:rFonts w:hint="eastAsia" w:ascii="宋体" w:hAnsi="宋体" w:eastAsia="宋体" w:cs="宋体"/>
          <w:sz w:val="21"/>
          <w:szCs w:val="21"/>
        </w:rPr>
        <w:t>　　1、“委托人”是指在建设工程造价咨询协议书上指明并与咨询人在该协议书上签字、盖章的当事人。</w:t>
      </w:r>
    </w:p>
    <w:p w14:paraId="46E6D66F">
      <w:pPr>
        <w:spacing w:line="360" w:lineRule="auto"/>
        <w:rPr>
          <w:rFonts w:hint="eastAsia" w:ascii="宋体" w:hAnsi="宋体" w:eastAsia="宋体" w:cs="宋体"/>
          <w:sz w:val="21"/>
          <w:szCs w:val="21"/>
        </w:rPr>
      </w:pPr>
      <w:r>
        <w:rPr>
          <w:rFonts w:hint="eastAsia" w:ascii="宋体" w:hAnsi="宋体" w:eastAsia="宋体" w:cs="宋体"/>
          <w:sz w:val="21"/>
          <w:szCs w:val="21"/>
        </w:rPr>
        <w:t>　　2、“咨询人”是指具有《企业法人营业执照》，业务范围有“工程造价咨询”，在建设工程造价咨询协议书上指明并与委托人在该协议书上签字、盖章的当事人。</w:t>
      </w:r>
    </w:p>
    <w:p w14:paraId="6B94E396">
      <w:pPr>
        <w:spacing w:line="360" w:lineRule="auto"/>
        <w:rPr>
          <w:rFonts w:hint="eastAsia" w:ascii="宋体" w:hAnsi="宋体" w:eastAsia="宋体" w:cs="宋体"/>
          <w:sz w:val="21"/>
          <w:szCs w:val="21"/>
        </w:rPr>
      </w:pPr>
      <w:r>
        <w:rPr>
          <w:rFonts w:hint="eastAsia" w:ascii="宋体" w:hAnsi="宋体" w:eastAsia="宋体" w:cs="宋体"/>
          <w:sz w:val="21"/>
          <w:szCs w:val="21"/>
        </w:rPr>
        <w:t>　　3、“第三人”是指除委托人、咨询人以外与本咨询业务有关的当事人。</w:t>
      </w:r>
    </w:p>
    <w:p w14:paraId="55628247">
      <w:pPr>
        <w:spacing w:line="360" w:lineRule="auto"/>
        <w:ind w:firstLine="367" w:firstLineChars="175"/>
        <w:rPr>
          <w:rFonts w:hint="eastAsia" w:ascii="宋体" w:hAnsi="宋体" w:eastAsia="宋体" w:cs="宋体"/>
          <w:sz w:val="21"/>
          <w:szCs w:val="21"/>
        </w:rPr>
      </w:pPr>
      <w:r>
        <w:rPr>
          <w:rFonts w:hint="eastAsia" w:ascii="宋体" w:hAnsi="宋体" w:eastAsia="宋体" w:cs="宋体"/>
          <w:sz w:val="21"/>
          <w:szCs w:val="21"/>
        </w:rPr>
        <w:t>4、“日”是指任何一个午夜至下一个午夜的时间段。</w:t>
      </w:r>
    </w:p>
    <w:p w14:paraId="61C9D0DB">
      <w:pPr>
        <w:spacing w:line="360" w:lineRule="auto"/>
        <w:ind w:firstLine="420"/>
        <w:rPr>
          <w:rFonts w:hint="eastAsia" w:ascii="宋体" w:hAnsi="宋体" w:eastAsia="宋体" w:cs="宋体"/>
          <w:sz w:val="21"/>
          <w:szCs w:val="21"/>
        </w:rPr>
      </w:pPr>
      <w:r>
        <w:rPr>
          <w:rFonts w:hint="eastAsia" w:ascii="宋体" w:hAnsi="宋体" w:eastAsia="宋体" w:cs="宋体"/>
          <w:sz w:val="21"/>
          <w:szCs w:val="21"/>
        </w:rPr>
        <w:t>5、“正常服务”是指双方在专用条款中约定的工程造价咨询工作；</w:t>
      </w:r>
    </w:p>
    <w:p w14:paraId="030770B3">
      <w:pPr>
        <w:spacing w:line="360" w:lineRule="auto"/>
        <w:ind w:firstLine="420"/>
        <w:rPr>
          <w:rFonts w:hint="eastAsia" w:ascii="宋体" w:hAnsi="宋体" w:eastAsia="宋体" w:cs="宋体"/>
          <w:sz w:val="21"/>
          <w:szCs w:val="21"/>
        </w:rPr>
      </w:pPr>
      <w:r>
        <w:rPr>
          <w:rFonts w:hint="eastAsia" w:ascii="宋体" w:hAnsi="宋体" w:eastAsia="宋体" w:cs="宋体"/>
          <w:sz w:val="21"/>
          <w:szCs w:val="21"/>
        </w:rPr>
        <w:t>6、“附加服务”是指在“正常服务”以外，经双方书面协议确定的附加服务；</w:t>
      </w:r>
    </w:p>
    <w:p w14:paraId="723DBD13">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7、“额外服务”是指不属于“正常服务”和“附加服务”，咨询人增加的额外工作量。</w:t>
      </w:r>
    </w:p>
    <w:p w14:paraId="3F3B62B5">
      <w:pPr>
        <w:spacing w:line="360" w:lineRule="auto"/>
        <w:rPr>
          <w:rFonts w:hint="eastAsia" w:ascii="宋体" w:hAnsi="宋体" w:eastAsia="宋体" w:cs="宋体"/>
          <w:b w:val="0"/>
          <w:bCs/>
          <w:sz w:val="21"/>
          <w:szCs w:val="21"/>
        </w:rPr>
      </w:pPr>
      <w:r>
        <w:rPr>
          <w:rFonts w:hint="eastAsia" w:ascii="宋体" w:hAnsi="宋体" w:eastAsia="宋体" w:cs="宋体"/>
          <w:b/>
          <w:sz w:val="21"/>
          <w:szCs w:val="21"/>
        </w:rPr>
        <w:t>　　第二条</w:t>
      </w:r>
      <w:r>
        <w:rPr>
          <w:rFonts w:hint="eastAsia" w:ascii="宋体" w:hAnsi="宋体" w:eastAsia="宋体" w:cs="宋体"/>
          <w:b w:val="0"/>
          <w:bCs/>
          <w:sz w:val="21"/>
          <w:szCs w:val="21"/>
        </w:rPr>
        <w:tab/>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rPr>
        <w:t>建设工程造价咨询合同适用的法律、法规是中华人民共和国的法律、法规，以及专用条款中约定的部门规章、工程造价有关计价办法、规定，及项目所在地的地方法规、地方规章。</w:t>
      </w:r>
    </w:p>
    <w:p w14:paraId="7672C777">
      <w:pPr>
        <w:spacing w:line="360" w:lineRule="auto"/>
        <w:ind w:firstLine="422" w:firstLineChars="200"/>
        <w:rPr>
          <w:rFonts w:hint="eastAsia" w:ascii="宋体" w:hAnsi="宋体" w:eastAsia="宋体" w:cs="宋体"/>
          <w:b w:val="0"/>
          <w:bCs/>
          <w:sz w:val="21"/>
          <w:szCs w:val="21"/>
        </w:rPr>
      </w:pPr>
      <w:r>
        <w:rPr>
          <w:rFonts w:hint="eastAsia" w:ascii="宋体" w:hAnsi="宋体" w:eastAsia="宋体" w:cs="宋体"/>
          <w:b/>
          <w:sz w:val="21"/>
          <w:szCs w:val="21"/>
        </w:rPr>
        <w:t>第三条</w:t>
      </w:r>
      <w:r>
        <w:rPr>
          <w:rFonts w:hint="eastAsia" w:ascii="宋体" w:hAnsi="宋体" w:eastAsia="宋体" w:cs="宋体"/>
          <w:b/>
          <w:sz w:val="21"/>
          <w:szCs w:val="21"/>
        </w:rPr>
        <w:tab/>
      </w:r>
      <w:r>
        <w:rPr>
          <w:rFonts w:hint="eastAsia" w:ascii="宋体" w:hAnsi="宋体" w:eastAsia="宋体" w:cs="宋体"/>
          <w:b/>
          <w:sz w:val="21"/>
          <w:szCs w:val="21"/>
          <w:lang w:val="en-US" w:eastAsia="zh-CN"/>
        </w:rPr>
        <w:t xml:space="preserve"> </w:t>
      </w:r>
      <w:r>
        <w:rPr>
          <w:rFonts w:hint="eastAsia" w:ascii="宋体" w:hAnsi="宋体" w:eastAsia="宋体" w:cs="宋体"/>
          <w:b w:val="0"/>
          <w:bCs/>
          <w:sz w:val="21"/>
          <w:szCs w:val="21"/>
        </w:rPr>
        <w:t>建设工程造价咨询合同的书写、解释和说明，以汉语为主导语言。当不同语言文本发生不同解释时，以汉语合同文本为准。</w:t>
      </w:r>
    </w:p>
    <w:p w14:paraId="7AAC5EEF">
      <w:pPr>
        <w:spacing w:line="360" w:lineRule="auto"/>
        <w:ind w:firstLine="413" w:firstLineChars="196"/>
        <w:rPr>
          <w:rFonts w:hint="eastAsia" w:ascii="宋体" w:hAnsi="宋体" w:eastAsia="宋体" w:cs="宋体"/>
          <w:b/>
          <w:sz w:val="21"/>
          <w:szCs w:val="21"/>
        </w:rPr>
      </w:pPr>
    </w:p>
    <w:p w14:paraId="23464CE4">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咨询人的义务</w:t>
      </w:r>
    </w:p>
    <w:p w14:paraId="27C29122">
      <w:pPr>
        <w:spacing w:line="360" w:lineRule="auto"/>
        <w:rPr>
          <w:rFonts w:hint="eastAsia" w:ascii="宋体" w:hAnsi="宋体" w:eastAsia="宋体" w:cs="宋体"/>
          <w:sz w:val="21"/>
          <w:szCs w:val="21"/>
        </w:rPr>
      </w:pPr>
    </w:p>
    <w:p w14:paraId="56FD3EC8">
      <w:pPr>
        <w:spacing w:line="360" w:lineRule="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第四条</w:t>
      </w:r>
      <w:r>
        <w:rPr>
          <w:rFonts w:hint="eastAsia" w:ascii="宋体" w:hAnsi="宋体" w:eastAsia="宋体" w:cs="宋体"/>
          <w:sz w:val="21"/>
          <w:szCs w:val="21"/>
        </w:rPr>
        <w:t>　向委托人提供与工程造价咨询业务有关的资料，包括工程造价咨询企业资质证书及承担本合同咨询业务的专业人员名单、咨询工作计划等。</w:t>
      </w:r>
    </w:p>
    <w:p w14:paraId="3A7A3546">
      <w:pPr>
        <w:spacing w:line="360" w:lineRule="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第五条</w:t>
      </w:r>
      <w:r>
        <w:rPr>
          <w:rFonts w:hint="eastAsia" w:ascii="宋体" w:hAnsi="宋体" w:eastAsia="宋体" w:cs="宋体"/>
          <w:sz w:val="21"/>
          <w:szCs w:val="21"/>
        </w:rPr>
        <w:t>　咨询人按专用条款中约定的工作范围和内容，向委托人提供工程造价咨询专业服务，包括正常服务、附加服务和额外服务。并在合同约定的时间内，提供符合行业管理规定的咨询成果文件。</w:t>
      </w:r>
    </w:p>
    <w:p w14:paraId="606E2E9B">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第六条</w:t>
      </w:r>
      <w:r>
        <w:rPr>
          <w:rFonts w:hint="eastAsia" w:ascii="宋体" w:hAnsi="宋体" w:eastAsia="宋体" w:cs="宋体"/>
          <w:sz w:val="21"/>
          <w:szCs w:val="21"/>
        </w:rPr>
        <w:t xml:space="preserve">  咨询人从事工程造价咨询活动，应当遵循独立、客观、公正、诚实信用的原则，不得损害社会公共利益和他人的合法权益。除委托人书面同意外，咨询人及咨询专业人员不应接受建设工程造价咨询合同约定以外的与本工程造价咨询项目有关的任何报酬。咨询人不得参与可能影响合同规定的委托人利益的任何活动。</w:t>
      </w:r>
    </w:p>
    <w:p w14:paraId="4DEB2CE6">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第七条</w:t>
      </w:r>
      <w:r>
        <w:rPr>
          <w:rFonts w:hint="eastAsia" w:ascii="宋体" w:hAnsi="宋体" w:eastAsia="宋体" w:cs="宋体"/>
          <w:sz w:val="21"/>
          <w:szCs w:val="21"/>
        </w:rPr>
        <w:t>　咨询人不得泄露与本合同规定业务活动有关的保密资料。</w:t>
      </w:r>
    </w:p>
    <w:p w14:paraId="06EA686E">
      <w:pPr>
        <w:spacing w:line="360" w:lineRule="auto"/>
        <w:rPr>
          <w:rFonts w:hint="eastAsia" w:ascii="宋体" w:hAnsi="宋体" w:eastAsia="宋体" w:cs="宋体"/>
          <w:sz w:val="21"/>
          <w:szCs w:val="21"/>
        </w:rPr>
      </w:pPr>
    </w:p>
    <w:p w14:paraId="6949FE3B">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委托人的义务</w:t>
      </w:r>
    </w:p>
    <w:p w14:paraId="227A0603">
      <w:pPr>
        <w:spacing w:line="360" w:lineRule="auto"/>
        <w:rPr>
          <w:rFonts w:hint="eastAsia" w:ascii="宋体" w:hAnsi="宋体" w:eastAsia="宋体" w:cs="宋体"/>
          <w:sz w:val="21"/>
          <w:szCs w:val="21"/>
        </w:rPr>
      </w:pPr>
    </w:p>
    <w:p w14:paraId="564E891C">
      <w:pPr>
        <w:spacing w:line="360" w:lineRule="auto"/>
        <w:rPr>
          <w:rFonts w:hint="eastAsia" w:ascii="宋体" w:hAnsi="宋体" w:eastAsia="宋体" w:cs="宋体"/>
          <w:b/>
          <w:sz w:val="21"/>
          <w:szCs w:val="21"/>
        </w:rPr>
      </w:pPr>
      <w:r>
        <w:rPr>
          <w:rFonts w:hint="eastAsia" w:ascii="宋体" w:hAnsi="宋体" w:eastAsia="宋体" w:cs="宋体"/>
          <w:sz w:val="21"/>
          <w:szCs w:val="21"/>
        </w:rPr>
        <w:t>　　</w:t>
      </w:r>
      <w:r>
        <w:rPr>
          <w:rFonts w:hint="eastAsia" w:ascii="宋体" w:hAnsi="宋体" w:eastAsia="宋体" w:cs="宋体"/>
          <w:b/>
          <w:sz w:val="21"/>
          <w:szCs w:val="21"/>
        </w:rPr>
        <w:t>第八条</w:t>
      </w:r>
      <w:r>
        <w:rPr>
          <w:rFonts w:hint="eastAsia" w:ascii="宋体" w:hAnsi="宋体" w:eastAsia="宋体" w:cs="宋体"/>
          <w:sz w:val="21"/>
          <w:szCs w:val="21"/>
        </w:rPr>
        <w:t>　委托人应负责与本建设工程造价咨询业务有关的第三人的协调，为咨询人工作提供外部条件。委托人应当授权胜任本咨询业务的代表，负责与咨询人联系，解决在咨询业务中的委托方问题，并代表委托人签署相关文件。</w:t>
      </w:r>
    </w:p>
    <w:p w14:paraId="72DA0D19">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第九条</w:t>
      </w:r>
      <w:r>
        <w:rPr>
          <w:rFonts w:hint="eastAsia" w:ascii="宋体" w:hAnsi="宋体" w:eastAsia="宋体" w:cs="宋体"/>
          <w:sz w:val="21"/>
          <w:szCs w:val="21"/>
        </w:rPr>
        <w:t>　委托人在约定的时间内，免费向咨询人提供与本项目咨询业务有关的资料。并对资料的真实性、完整性负责。</w:t>
      </w:r>
    </w:p>
    <w:p w14:paraId="2EA18FE4">
      <w:pPr>
        <w:spacing w:line="360" w:lineRule="auto"/>
        <w:ind w:left="140" w:leftChars="50" w:firstLine="316" w:firstLineChars="150"/>
        <w:rPr>
          <w:rFonts w:hint="eastAsia" w:ascii="宋体" w:hAnsi="宋体" w:eastAsia="宋体" w:cs="宋体"/>
          <w:sz w:val="21"/>
          <w:szCs w:val="21"/>
        </w:rPr>
      </w:pPr>
      <w:r>
        <w:rPr>
          <w:rFonts w:hint="eastAsia" w:ascii="宋体" w:hAnsi="宋体" w:eastAsia="宋体" w:cs="宋体"/>
          <w:b/>
          <w:sz w:val="21"/>
          <w:szCs w:val="21"/>
        </w:rPr>
        <w:t>第十条</w:t>
      </w:r>
      <w:r>
        <w:rPr>
          <w:rFonts w:hint="eastAsia" w:ascii="宋体" w:hAnsi="宋体" w:eastAsia="宋体" w:cs="宋体"/>
          <w:sz w:val="21"/>
          <w:szCs w:val="21"/>
        </w:rPr>
        <w:t xml:space="preserve"> 委托人在约定的时间内就咨询人书面提交并要求做出答复的事宜做出书面答复。　　</w:t>
      </w:r>
    </w:p>
    <w:p w14:paraId="4BEAC755">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第十一条</w:t>
      </w:r>
      <w:r>
        <w:rPr>
          <w:rFonts w:hint="eastAsia" w:ascii="宋体" w:hAnsi="宋体" w:eastAsia="宋体" w:cs="宋体"/>
          <w:sz w:val="21"/>
          <w:szCs w:val="21"/>
        </w:rPr>
        <w:t>　委托人应当按合同条款规定及时支付咨询费用。</w:t>
      </w:r>
    </w:p>
    <w:p w14:paraId="3CD6B53C">
      <w:pPr>
        <w:spacing w:line="360" w:lineRule="auto"/>
        <w:ind w:firstLine="420" w:firstLineChars="200"/>
        <w:rPr>
          <w:rFonts w:hint="eastAsia" w:ascii="宋体" w:hAnsi="宋体" w:eastAsia="宋体" w:cs="宋体"/>
          <w:sz w:val="21"/>
          <w:szCs w:val="21"/>
        </w:rPr>
      </w:pPr>
    </w:p>
    <w:p w14:paraId="01DECEC5">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咨询人的权利</w:t>
      </w:r>
    </w:p>
    <w:p w14:paraId="7A17F667">
      <w:pPr>
        <w:spacing w:line="360" w:lineRule="auto"/>
        <w:rPr>
          <w:rFonts w:hint="eastAsia" w:ascii="宋体" w:hAnsi="宋体" w:eastAsia="宋体" w:cs="宋体"/>
          <w:sz w:val="21"/>
          <w:szCs w:val="21"/>
        </w:rPr>
      </w:pPr>
    </w:p>
    <w:p w14:paraId="0BA0663B">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第十二条</w:t>
      </w:r>
      <w:r>
        <w:rPr>
          <w:rFonts w:hint="eastAsia" w:ascii="宋体" w:hAnsi="宋体" w:eastAsia="宋体" w:cs="宋体"/>
          <w:sz w:val="21"/>
          <w:szCs w:val="21"/>
        </w:rPr>
        <w:t>　咨询人在咨询过程中，如委托人提供的资料不明确时可向委托人提出书面报告。</w:t>
      </w:r>
    </w:p>
    <w:p w14:paraId="2AF1FCBD">
      <w:pPr>
        <w:spacing w:line="360" w:lineRule="auto"/>
        <w:ind w:firstLine="420"/>
        <w:rPr>
          <w:rFonts w:hint="eastAsia" w:ascii="宋体" w:hAnsi="宋体" w:eastAsia="宋体" w:cs="宋体"/>
          <w:b/>
          <w:sz w:val="21"/>
          <w:szCs w:val="21"/>
        </w:rPr>
      </w:pPr>
      <w:r>
        <w:rPr>
          <w:rFonts w:hint="eastAsia" w:ascii="宋体" w:hAnsi="宋体" w:eastAsia="宋体" w:cs="宋体"/>
          <w:b/>
          <w:sz w:val="21"/>
          <w:szCs w:val="21"/>
        </w:rPr>
        <w:t>第十三条</w:t>
      </w:r>
      <w:r>
        <w:rPr>
          <w:rFonts w:hint="eastAsia" w:ascii="宋体" w:hAnsi="宋体" w:eastAsia="宋体" w:cs="宋体"/>
          <w:sz w:val="21"/>
          <w:szCs w:val="21"/>
        </w:rPr>
        <w:t xml:space="preserve">  咨询人在咨询过程中，有权对与本咨询业务有关的问题进行核对或查问，以及到工程现场勘察。</w:t>
      </w:r>
    </w:p>
    <w:p w14:paraId="7E2732B8">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第十四条</w:t>
      </w:r>
      <w:r>
        <w:rPr>
          <w:rFonts w:hint="eastAsia" w:ascii="宋体" w:hAnsi="宋体" w:eastAsia="宋体" w:cs="宋体"/>
          <w:sz w:val="21"/>
          <w:szCs w:val="21"/>
        </w:rPr>
        <w:t xml:space="preserve">  咨询人在咨询过程中，由于委托人原因造成咨询人无法继续履行合同时，咨询人有权解除合同并要求委托人承担相应赔偿。</w:t>
      </w:r>
    </w:p>
    <w:p w14:paraId="6321EC4A">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第十五条</w:t>
      </w:r>
      <w:r>
        <w:rPr>
          <w:rFonts w:hint="eastAsia" w:ascii="宋体" w:hAnsi="宋体" w:eastAsia="宋体" w:cs="宋体"/>
          <w:sz w:val="21"/>
          <w:szCs w:val="21"/>
        </w:rPr>
        <w:t xml:space="preserve">  咨询人在咨询过程中，有独立执行工程造价咨询业务工作的权利。</w:t>
      </w:r>
    </w:p>
    <w:p w14:paraId="1B252E90">
      <w:pPr>
        <w:spacing w:line="360" w:lineRule="auto"/>
        <w:ind w:firstLine="420"/>
        <w:rPr>
          <w:rFonts w:hint="eastAsia" w:ascii="宋体" w:hAnsi="宋体" w:eastAsia="宋体" w:cs="宋体"/>
          <w:b/>
          <w:sz w:val="21"/>
          <w:szCs w:val="21"/>
        </w:rPr>
      </w:pPr>
      <w:r>
        <w:rPr>
          <w:rFonts w:hint="eastAsia" w:ascii="宋体" w:hAnsi="宋体" w:eastAsia="宋体" w:cs="宋体"/>
          <w:sz w:val="21"/>
          <w:szCs w:val="21"/>
        </w:rPr>
        <w:t>咨询人有权拒绝委托人提出的有失公平、公正及违反法律法规的要求，由此原因造成的咨询合同终止咨询人免责。对于造成咨询人损失的，由委托人给予赔偿。</w:t>
      </w:r>
    </w:p>
    <w:p w14:paraId="14FE5CDD">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委托人的权利</w:t>
      </w:r>
    </w:p>
    <w:p w14:paraId="026EA931">
      <w:pPr>
        <w:spacing w:line="360" w:lineRule="auto"/>
        <w:rPr>
          <w:rFonts w:hint="eastAsia" w:ascii="宋体" w:hAnsi="宋体" w:eastAsia="宋体" w:cs="宋体"/>
          <w:sz w:val="21"/>
          <w:szCs w:val="21"/>
        </w:rPr>
      </w:pPr>
    </w:p>
    <w:p w14:paraId="43110FF2">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第十六条</w:t>
      </w:r>
      <w:r>
        <w:rPr>
          <w:rFonts w:hint="eastAsia" w:ascii="宋体" w:hAnsi="宋体" w:eastAsia="宋体" w:cs="宋体"/>
          <w:sz w:val="21"/>
          <w:szCs w:val="21"/>
        </w:rPr>
        <w:t>　委托人有权向咨询人询问工作进展情况及相关的内容。</w:t>
      </w:r>
    </w:p>
    <w:p w14:paraId="13FED12C">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第十七条</w:t>
      </w:r>
      <w:r>
        <w:rPr>
          <w:rFonts w:hint="eastAsia" w:ascii="宋体" w:hAnsi="宋体" w:eastAsia="宋体" w:cs="宋体"/>
          <w:sz w:val="21"/>
          <w:szCs w:val="21"/>
        </w:rPr>
        <w:t xml:space="preserve">  委托人有权阐述对具体问题的意见和建议。</w:t>
      </w:r>
    </w:p>
    <w:p w14:paraId="70D335F3">
      <w:pPr>
        <w:spacing w:line="360" w:lineRule="auto"/>
        <w:ind w:firstLine="420"/>
        <w:rPr>
          <w:rFonts w:hint="eastAsia" w:ascii="宋体" w:hAnsi="宋体" w:eastAsia="宋体" w:cs="宋体"/>
          <w:b/>
          <w:sz w:val="21"/>
          <w:szCs w:val="21"/>
        </w:rPr>
      </w:pPr>
      <w:r>
        <w:rPr>
          <w:rFonts w:hint="eastAsia" w:ascii="宋体" w:hAnsi="宋体" w:eastAsia="宋体" w:cs="宋体"/>
          <w:b/>
          <w:sz w:val="21"/>
          <w:szCs w:val="21"/>
        </w:rPr>
        <w:t>第十八条</w:t>
      </w:r>
      <w:r>
        <w:rPr>
          <w:rFonts w:hint="eastAsia" w:ascii="宋体" w:hAnsi="宋体" w:eastAsia="宋体" w:cs="宋体"/>
          <w:sz w:val="21"/>
          <w:szCs w:val="21"/>
        </w:rPr>
        <w:t xml:space="preserve">  当委托人认定咨询专业人员不按咨询合同履行其职责，或与第三人串通给委托人造成经济损失的，委托人有权要求更换咨询专业人员，直至终止合同并要求咨询人承担相应的赔偿责任。</w:t>
      </w:r>
    </w:p>
    <w:p w14:paraId="44496A79">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第十九条</w:t>
      </w:r>
      <w:r>
        <w:rPr>
          <w:rFonts w:hint="eastAsia" w:ascii="宋体" w:hAnsi="宋体" w:eastAsia="宋体" w:cs="宋体"/>
          <w:sz w:val="21"/>
          <w:szCs w:val="21"/>
        </w:rPr>
        <w:t xml:space="preserve">  当委托人认定咨询人执行的专业咨询业务不符合相关规范时，有向行业主管部门申诉的权利。</w:t>
      </w:r>
    </w:p>
    <w:p w14:paraId="70F53BF0">
      <w:pPr>
        <w:spacing w:line="360" w:lineRule="auto"/>
        <w:rPr>
          <w:rFonts w:hint="eastAsia" w:ascii="宋体" w:hAnsi="宋体" w:eastAsia="宋体" w:cs="宋体"/>
          <w:sz w:val="21"/>
          <w:szCs w:val="21"/>
        </w:rPr>
      </w:pPr>
    </w:p>
    <w:p w14:paraId="1AED3B2A">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咨询人的责任</w:t>
      </w:r>
    </w:p>
    <w:p w14:paraId="1389B19E">
      <w:pPr>
        <w:spacing w:line="360" w:lineRule="auto"/>
        <w:rPr>
          <w:rFonts w:hint="eastAsia" w:ascii="宋体" w:hAnsi="宋体" w:eastAsia="宋体" w:cs="宋体"/>
          <w:sz w:val="21"/>
          <w:szCs w:val="21"/>
        </w:rPr>
      </w:pPr>
    </w:p>
    <w:p w14:paraId="355D6571">
      <w:pPr>
        <w:spacing w:line="360" w:lineRule="auto"/>
        <w:rPr>
          <w:rFonts w:hint="eastAsia" w:ascii="宋体" w:hAnsi="宋体" w:eastAsia="宋体" w:cs="宋体"/>
          <w:b/>
          <w:sz w:val="21"/>
          <w:szCs w:val="21"/>
        </w:rPr>
      </w:pPr>
      <w:r>
        <w:rPr>
          <w:rFonts w:hint="eastAsia" w:ascii="宋体" w:hAnsi="宋体" w:eastAsia="宋体" w:cs="宋体"/>
          <w:sz w:val="21"/>
          <w:szCs w:val="21"/>
        </w:rPr>
        <w:t>　　</w:t>
      </w:r>
      <w:r>
        <w:rPr>
          <w:rFonts w:hint="eastAsia" w:ascii="宋体" w:hAnsi="宋体" w:eastAsia="宋体" w:cs="宋体"/>
          <w:b/>
          <w:sz w:val="21"/>
          <w:szCs w:val="21"/>
        </w:rPr>
        <w:t>第二十条</w:t>
      </w:r>
      <w:r>
        <w:rPr>
          <w:rFonts w:hint="eastAsia" w:ascii="宋体" w:hAnsi="宋体" w:eastAsia="宋体" w:cs="宋体"/>
          <w:sz w:val="21"/>
          <w:szCs w:val="21"/>
        </w:rPr>
        <w:t>　咨询人的责任期即建设工程造价咨询合同有效期。咨询人责任期内，应当履行建设工程造价咨询合同中约定的义务。因咨询人的单方过失造成的经济损失，应当向委托人进行赔偿。累计赔偿总额不应超过建设工程造价咨询酬金总额（除去税金）。</w:t>
      </w:r>
    </w:p>
    <w:p w14:paraId="193386D4">
      <w:pPr>
        <w:spacing w:line="360" w:lineRule="auto"/>
        <w:rPr>
          <w:rFonts w:hint="eastAsia" w:ascii="宋体" w:hAnsi="宋体" w:eastAsia="宋体" w:cs="宋体"/>
          <w:b/>
          <w:sz w:val="21"/>
          <w:szCs w:val="21"/>
        </w:rPr>
      </w:pPr>
      <w:r>
        <w:rPr>
          <w:rFonts w:hint="eastAsia" w:ascii="宋体" w:hAnsi="宋体" w:eastAsia="宋体" w:cs="宋体"/>
          <w:b/>
          <w:sz w:val="21"/>
          <w:szCs w:val="21"/>
        </w:rPr>
        <w:t>　　第二十一条</w:t>
      </w:r>
      <w:r>
        <w:rPr>
          <w:rFonts w:hint="eastAsia" w:ascii="宋体" w:hAnsi="宋体" w:eastAsia="宋体" w:cs="宋体"/>
          <w:sz w:val="21"/>
          <w:szCs w:val="21"/>
        </w:rPr>
        <w:t>　咨询人对委托人或第三人所提出的咨询业务范围内的问题不能及时核对或答复，导致合同不能全部或部分履行，咨询人应承担相应的责任。</w:t>
      </w:r>
    </w:p>
    <w:p w14:paraId="0806126E">
      <w:pPr>
        <w:spacing w:line="360" w:lineRule="auto"/>
        <w:rPr>
          <w:rFonts w:hint="eastAsia" w:ascii="宋体" w:hAnsi="宋体" w:eastAsia="宋体" w:cs="宋体"/>
          <w:sz w:val="21"/>
          <w:szCs w:val="21"/>
        </w:rPr>
      </w:pPr>
      <w:r>
        <w:rPr>
          <w:rFonts w:hint="eastAsia" w:ascii="宋体" w:hAnsi="宋体" w:eastAsia="宋体" w:cs="宋体"/>
          <w:b/>
          <w:sz w:val="21"/>
          <w:szCs w:val="21"/>
        </w:rPr>
        <w:t>　　第二十二条</w:t>
      </w:r>
      <w:r>
        <w:rPr>
          <w:rFonts w:hint="eastAsia" w:ascii="宋体" w:hAnsi="宋体" w:eastAsia="宋体" w:cs="宋体"/>
          <w:sz w:val="21"/>
          <w:szCs w:val="21"/>
        </w:rPr>
        <w:t>　咨询人向委托人提出赔偿要求不能成立时，则应补偿由于该赔偿或其他要求所导致委托人的各种费用的支出。</w:t>
      </w:r>
    </w:p>
    <w:p w14:paraId="427954D5">
      <w:pPr>
        <w:spacing w:line="360" w:lineRule="auto"/>
        <w:rPr>
          <w:rFonts w:hint="eastAsia" w:ascii="宋体" w:hAnsi="宋体" w:eastAsia="宋体" w:cs="宋体"/>
          <w:sz w:val="21"/>
          <w:szCs w:val="21"/>
        </w:rPr>
      </w:pPr>
    </w:p>
    <w:p w14:paraId="1A553DEC">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委托人的责任</w:t>
      </w:r>
    </w:p>
    <w:p w14:paraId="1552E8F6">
      <w:pPr>
        <w:spacing w:line="360" w:lineRule="auto"/>
        <w:rPr>
          <w:rFonts w:hint="eastAsia" w:ascii="宋体" w:hAnsi="宋体" w:eastAsia="宋体" w:cs="宋体"/>
          <w:b/>
          <w:sz w:val="21"/>
          <w:szCs w:val="21"/>
        </w:rPr>
      </w:pPr>
    </w:p>
    <w:p w14:paraId="484C4EAB">
      <w:pPr>
        <w:spacing w:line="360" w:lineRule="auto"/>
        <w:rPr>
          <w:rFonts w:hint="eastAsia" w:ascii="宋体" w:hAnsi="宋体" w:eastAsia="宋体" w:cs="宋体"/>
          <w:b/>
          <w:sz w:val="21"/>
          <w:szCs w:val="21"/>
        </w:rPr>
      </w:pPr>
      <w:r>
        <w:rPr>
          <w:rFonts w:hint="eastAsia" w:ascii="宋体" w:hAnsi="宋体" w:eastAsia="宋体" w:cs="宋体"/>
          <w:b/>
          <w:sz w:val="21"/>
          <w:szCs w:val="21"/>
        </w:rPr>
        <w:t>　　第二十三条</w:t>
      </w:r>
      <w:r>
        <w:rPr>
          <w:rFonts w:hint="eastAsia" w:ascii="宋体" w:hAnsi="宋体" w:eastAsia="宋体" w:cs="宋体"/>
          <w:sz w:val="21"/>
          <w:szCs w:val="21"/>
        </w:rPr>
        <w:t>　委托人应当履行建设工程造价咨询合同约定的义务，如有违反则应当承担违约责任，赔偿给咨询人造成的损失。</w:t>
      </w:r>
    </w:p>
    <w:p w14:paraId="497B6296">
      <w:pPr>
        <w:spacing w:line="360" w:lineRule="auto"/>
        <w:rPr>
          <w:rFonts w:hint="eastAsia" w:ascii="宋体" w:hAnsi="宋体" w:eastAsia="宋体" w:cs="宋体"/>
          <w:sz w:val="21"/>
          <w:szCs w:val="21"/>
        </w:rPr>
      </w:pPr>
      <w:r>
        <w:rPr>
          <w:rFonts w:hint="eastAsia" w:ascii="宋体" w:hAnsi="宋体" w:eastAsia="宋体" w:cs="宋体"/>
          <w:b/>
          <w:sz w:val="21"/>
          <w:szCs w:val="21"/>
        </w:rPr>
        <w:t>　　第二十四条</w:t>
      </w:r>
      <w:r>
        <w:rPr>
          <w:rFonts w:hint="eastAsia" w:ascii="宋体" w:hAnsi="宋体" w:eastAsia="宋体" w:cs="宋体"/>
          <w:sz w:val="21"/>
          <w:szCs w:val="21"/>
        </w:rPr>
        <w:t>　委托人如果向咨询人提出赔偿或其他要求不能成立时，则应补偿由于该赔偿或其他要求所导致咨询人的各种费用的支出。</w:t>
      </w:r>
    </w:p>
    <w:p w14:paraId="4B46CEEC">
      <w:pPr>
        <w:spacing w:line="360" w:lineRule="auto"/>
        <w:rPr>
          <w:rFonts w:hint="eastAsia" w:ascii="宋体" w:hAnsi="宋体" w:eastAsia="宋体" w:cs="宋体"/>
          <w:sz w:val="21"/>
          <w:szCs w:val="21"/>
        </w:rPr>
      </w:pPr>
    </w:p>
    <w:p w14:paraId="7644295F">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合同生效、变更与终止</w:t>
      </w:r>
    </w:p>
    <w:p w14:paraId="62147063">
      <w:pPr>
        <w:spacing w:line="360" w:lineRule="auto"/>
        <w:rPr>
          <w:rFonts w:hint="eastAsia" w:ascii="宋体" w:hAnsi="宋体" w:eastAsia="宋体" w:cs="宋体"/>
          <w:sz w:val="21"/>
          <w:szCs w:val="21"/>
        </w:rPr>
      </w:pPr>
    </w:p>
    <w:p w14:paraId="00495872">
      <w:pPr>
        <w:spacing w:line="360" w:lineRule="auto"/>
        <w:rPr>
          <w:rFonts w:hint="eastAsia" w:ascii="宋体" w:hAnsi="宋体" w:eastAsia="宋体" w:cs="宋体"/>
          <w:b/>
          <w:sz w:val="21"/>
          <w:szCs w:val="21"/>
        </w:rPr>
      </w:pPr>
      <w:r>
        <w:rPr>
          <w:rFonts w:hint="eastAsia" w:ascii="宋体" w:hAnsi="宋体" w:eastAsia="宋体" w:cs="宋体"/>
          <w:sz w:val="21"/>
          <w:szCs w:val="21"/>
        </w:rPr>
        <w:t>　　</w:t>
      </w:r>
      <w:r>
        <w:rPr>
          <w:rFonts w:hint="eastAsia" w:ascii="宋体" w:hAnsi="宋体" w:eastAsia="宋体" w:cs="宋体"/>
          <w:b/>
          <w:sz w:val="21"/>
          <w:szCs w:val="21"/>
        </w:rPr>
        <w:t>第二十五条</w:t>
      </w:r>
      <w:r>
        <w:rPr>
          <w:rFonts w:hint="eastAsia" w:ascii="宋体" w:hAnsi="宋体" w:eastAsia="宋体" w:cs="宋体"/>
          <w:sz w:val="21"/>
          <w:szCs w:val="21"/>
        </w:rPr>
        <w:t>　本合同自双方签字盖章之日起生效。</w:t>
      </w:r>
    </w:p>
    <w:p w14:paraId="76FBB217">
      <w:pPr>
        <w:spacing w:line="360" w:lineRule="auto"/>
        <w:rPr>
          <w:rFonts w:hint="eastAsia" w:ascii="宋体" w:hAnsi="宋体" w:eastAsia="宋体" w:cs="宋体"/>
          <w:b/>
          <w:sz w:val="21"/>
          <w:szCs w:val="21"/>
        </w:rPr>
      </w:pPr>
      <w:r>
        <w:rPr>
          <w:rFonts w:hint="eastAsia" w:ascii="宋体" w:hAnsi="宋体" w:eastAsia="宋体" w:cs="宋体"/>
          <w:b/>
          <w:sz w:val="21"/>
          <w:szCs w:val="21"/>
        </w:rPr>
        <w:t>　　第二十六条</w:t>
      </w:r>
      <w:r>
        <w:rPr>
          <w:rFonts w:hint="eastAsia" w:ascii="宋体" w:hAnsi="宋体" w:eastAsia="宋体" w:cs="宋体"/>
          <w:sz w:val="21"/>
          <w:szCs w:val="21"/>
        </w:rPr>
        <w:t>　由于委托人或第三人的原因使咨询人工作受到阻碍、延误或重复以致增加了工作量或延长了约定的咨询时间，则咨询人应当将此情况与可能产生的影响及时书面通知委托人。由此增加的工作量视为额外服务，完成建设工程造价咨询工作的时间应当相应延长，并得到额外的酬金。</w:t>
      </w:r>
    </w:p>
    <w:p w14:paraId="2C5E9D14">
      <w:pPr>
        <w:spacing w:line="360" w:lineRule="auto"/>
        <w:rPr>
          <w:rFonts w:hint="eastAsia" w:ascii="宋体" w:hAnsi="宋体" w:eastAsia="宋体" w:cs="宋体"/>
          <w:b/>
          <w:sz w:val="21"/>
          <w:szCs w:val="21"/>
        </w:rPr>
      </w:pPr>
      <w:r>
        <w:rPr>
          <w:rFonts w:hint="eastAsia" w:ascii="宋体" w:hAnsi="宋体" w:eastAsia="宋体" w:cs="宋体"/>
          <w:b/>
          <w:sz w:val="21"/>
          <w:szCs w:val="21"/>
        </w:rPr>
        <w:t>　　第二十七条</w:t>
      </w:r>
      <w:r>
        <w:rPr>
          <w:rFonts w:hint="eastAsia" w:ascii="宋体" w:hAnsi="宋体" w:eastAsia="宋体" w:cs="宋体"/>
          <w:sz w:val="21"/>
          <w:szCs w:val="21"/>
        </w:rPr>
        <w:t>　当事人一方要求变更或解除合同时，则应当在7个工作日前通知对方；因变更或解除合同使一方遭受损失的，应由责任方负责赔偿。</w:t>
      </w:r>
    </w:p>
    <w:p w14:paraId="2B109CEB">
      <w:pPr>
        <w:spacing w:line="360" w:lineRule="auto"/>
        <w:rPr>
          <w:rFonts w:hint="eastAsia" w:ascii="宋体" w:hAnsi="宋体" w:eastAsia="宋体" w:cs="宋体"/>
          <w:b/>
          <w:sz w:val="21"/>
          <w:szCs w:val="21"/>
        </w:rPr>
      </w:pPr>
      <w:r>
        <w:rPr>
          <w:rFonts w:hint="eastAsia" w:ascii="宋体" w:hAnsi="宋体" w:eastAsia="宋体" w:cs="宋体"/>
          <w:b/>
          <w:sz w:val="21"/>
          <w:szCs w:val="21"/>
        </w:rPr>
        <w:t>　　第二十八条</w:t>
      </w:r>
      <w:r>
        <w:rPr>
          <w:rFonts w:hint="eastAsia" w:ascii="宋体" w:hAnsi="宋体" w:eastAsia="宋体" w:cs="宋体"/>
          <w:sz w:val="21"/>
          <w:szCs w:val="21"/>
        </w:rPr>
        <w:t>　咨询人由于非自身原因暂停或中止执行建设工程造价咨询业务，由此而增加的恢复执行建设工程造价咨询业务的工作，应视为额外服务，有权得到额外的时间和酬金。</w:t>
      </w:r>
    </w:p>
    <w:p w14:paraId="4F89ABF5">
      <w:pPr>
        <w:spacing w:line="360" w:lineRule="auto"/>
        <w:rPr>
          <w:rFonts w:hint="eastAsia" w:ascii="宋体" w:hAnsi="宋体" w:eastAsia="宋体" w:cs="宋体"/>
          <w:sz w:val="21"/>
          <w:szCs w:val="21"/>
        </w:rPr>
      </w:pPr>
      <w:r>
        <w:rPr>
          <w:rFonts w:hint="eastAsia" w:ascii="宋体" w:hAnsi="宋体" w:eastAsia="宋体" w:cs="宋体"/>
          <w:b/>
          <w:sz w:val="21"/>
          <w:szCs w:val="21"/>
        </w:rPr>
        <w:t>　　第二十九条</w:t>
      </w:r>
      <w:r>
        <w:rPr>
          <w:rFonts w:hint="eastAsia" w:ascii="宋体" w:hAnsi="宋体" w:eastAsia="宋体" w:cs="宋体"/>
          <w:sz w:val="21"/>
          <w:szCs w:val="21"/>
        </w:rPr>
        <w:t>　变更或解除合同的通知或协议应当采取书面形式，新的协议未达成之前，原合同仍然有效。</w:t>
      </w:r>
    </w:p>
    <w:p w14:paraId="33A7C4C1">
      <w:pPr>
        <w:spacing w:line="360" w:lineRule="auto"/>
        <w:rPr>
          <w:rFonts w:hint="eastAsia" w:ascii="宋体" w:hAnsi="宋体" w:eastAsia="宋体" w:cs="宋体"/>
          <w:sz w:val="21"/>
          <w:szCs w:val="21"/>
        </w:rPr>
      </w:pPr>
    </w:p>
    <w:p w14:paraId="26511024">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咨询业务酬金</w:t>
      </w:r>
    </w:p>
    <w:p w14:paraId="5A747365">
      <w:pPr>
        <w:spacing w:line="360" w:lineRule="auto"/>
        <w:rPr>
          <w:rFonts w:hint="eastAsia" w:ascii="宋体" w:hAnsi="宋体" w:eastAsia="宋体" w:cs="宋体"/>
          <w:b/>
          <w:sz w:val="21"/>
          <w:szCs w:val="21"/>
        </w:rPr>
      </w:pPr>
    </w:p>
    <w:p w14:paraId="0EB9F2D1">
      <w:pPr>
        <w:spacing w:line="360" w:lineRule="auto"/>
        <w:rPr>
          <w:rFonts w:hint="eastAsia" w:ascii="宋体" w:hAnsi="宋体" w:eastAsia="宋体" w:cs="宋体"/>
          <w:b/>
          <w:sz w:val="21"/>
          <w:szCs w:val="21"/>
        </w:rPr>
      </w:pPr>
      <w:r>
        <w:rPr>
          <w:rFonts w:hint="eastAsia" w:ascii="宋体" w:hAnsi="宋体" w:eastAsia="宋体" w:cs="宋体"/>
          <w:b/>
          <w:sz w:val="21"/>
          <w:szCs w:val="21"/>
        </w:rPr>
        <w:t>　　第三十条</w:t>
      </w:r>
      <w:r>
        <w:rPr>
          <w:rFonts w:hint="eastAsia" w:ascii="宋体" w:hAnsi="宋体" w:eastAsia="宋体" w:cs="宋体"/>
          <w:sz w:val="21"/>
          <w:szCs w:val="21"/>
        </w:rPr>
        <w:t>　正常服务，附加服务和额外服务的酬金，按照建设工程造价咨询合同专用条款约定的方法计取，并按约定的时间、数额和币种支付。</w:t>
      </w:r>
    </w:p>
    <w:p w14:paraId="72983A74">
      <w:pPr>
        <w:spacing w:line="360" w:lineRule="auto"/>
        <w:rPr>
          <w:rFonts w:hint="eastAsia" w:ascii="宋体" w:hAnsi="宋体" w:eastAsia="宋体" w:cs="宋体"/>
          <w:b/>
          <w:sz w:val="21"/>
          <w:szCs w:val="21"/>
        </w:rPr>
      </w:pPr>
      <w:r>
        <w:rPr>
          <w:rFonts w:hint="eastAsia" w:ascii="宋体" w:hAnsi="宋体" w:eastAsia="宋体" w:cs="宋体"/>
          <w:b/>
          <w:sz w:val="21"/>
          <w:szCs w:val="21"/>
        </w:rPr>
        <w:t>　　第三十一条</w:t>
      </w:r>
      <w:r>
        <w:rPr>
          <w:rFonts w:hint="eastAsia" w:ascii="宋体" w:hAnsi="宋体" w:eastAsia="宋体" w:cs="宋体"/>
          <w:sz w:val="21"/>
          <w:szCs w:val="21"/>
        </w:rPr>
        <w:t>　如果委托人在规定的支付期限内未支付建设工程造价咨询酬金，自规定支付之日起，应当向咨询人补偿应支付的酬金利息。利息额按规定支付期限最后一日银行贷款利率计算。</w:t>
      </w:r>
    </w:p>
    <w:p w14:paraId="026F98F9">
      <w:pPr>
        <w:spacing w:line="360" w:lineRule="auto"/>
        <w:rPr>
          <w:rFonts w:hint="eastAsia" w:ascii="宋体" w:hAnsi="宋体" w:eastAsia="宋体" w:cs="宋体"/>
          <w:b/>
          <w:sz w:val="21"/>
          <w:szCs w:val="21"/>
        </w:rPr>
      </w:pPr>
      <w:r>
        <w:rPr>
          <w:rFonts w:hint="eastAsia" w:ascii="宋体" w:hAnsi="宋体" w:eastAsia="宋体" w:cs="宋体"/>
          <w:b/>
          <w:sz w:val="21"/>
          <w:szCs w:val="21"/>
        </w:rPr>
        <w:t>　　第三十二条</w:t>
      </w:r>
      <w:r>
        <w:rPr>
          <w:rFonts w:hint="eastAsia" w:ascii="宋体" w:hAnsi="宋体" w:eastAsia="宋体" w:cs="宋体"/>
          <w:sz w:val="21"/>
          <w:szCs w:val="21"/>
        </w:rPr>
        <w:t>　如果委托人对咨询人提交的支付通知书中酬金或部分酬金项目提出异议，应当在收到支付通知书两日内向咨询人发出异议的通知，但委托人不得拖延其无异议部分酬金的支付。</w:t>
      </w:r>
    </w:p>
    <w:p w14:paraId="6664B9B5">
      <w:pPr>
        <w:spacing w:line="360" w:lineRule="auto"/>
        <w:ind w:firstLine="480"/>
        <w:rPr>
          <w:rFonts w:hint="eastAsia" w:ascii="宋体" w:hAnsi="宋体" w:eastAsia="宋体" w:cs="宋体"/>
          <w:sz w:val="21"/>
          <w:szCs w:val="21"/>
        </w:rPr>
      </w:pPr>
      <w:r>
        <w:rPr>
          <w:rFonts w:hint="eastAsia" w:ascii="宋体" w:hAnsi="宋体" w:eastAsia="宋体" w:cs="宋体"/>
          <w:b/>
          <w:sz w:val="21"/>
          <w:szCs w:val="21"/>
        </w:rPr>
        <w:t>第三十三条</w:t>
      </w:r>
      <w:r>
        <w:rPr>
          <w:rFonts w:hint="eastAsia" w:ascii="宋体" w:hAnsi="宋体" w:eastAsia="宋体" w:cs="宋体"/>
          <w:sz w:val="21"/>
          <w:szCs w:val="21"/>
        </w:rPr>
        <w:t>　支付建设工程造价咨询酬金所采取的货币币种、汇率由合同专用条款约定。</w:t>
      </w:r>
    </w:p>
    <w:p w14:paraId="7042415E">
      <w:pPr>
        <w:spacing w:line="360" w:lineRule="auto"/>
        <w:ind w:firstLine="480"/>
        <w:rPr>
          <w:rFonts w:hint="eastAsia" w:ascii="宋体" w:hAnsi="宋体" w:eastAsia="宋体" w:cs="宋体"/>
          <w:sz w:val="21"/>
          <w:szCs w:val="21"/>
        </w:rPr>
      </w:pPr>
    </w:p>
    <w:p w14:paraId="069047AE">
      <w:pPr>
        <w:spacing w:line="360" w:lineRule="auto"/>
        <w:ind w:firstLine="480"/>
        <w:rPr>
          <w:rFonts w:hint="eastAsia" w:ascii="宋体" w:hAnsi="宋体" w:eastAsia="宋体" w:cs="宋体"/>
          <w:sz w:val="21"/>
          <w:szCs w:val="21"/>
        </w:rPr>
      </w:pPr>
    </w:p>
    <w:p w14:paraId="5096AFA3">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其　　他</w:t>
      </w:r>
    </w:p>
    <w:p w14:paraId="7E191723">
      <w:pPr>
        <w:spacing w:line="360" w:lineRule="auto"/>
        <w:rPr>
          <w:rFonts w:hint="eastAsia" w:ascii="宋体" w:hAnsi="宋体" w:eastAsia="宋体" w:cs="宋体"/>
          <w:b/>
          <w:sz w:val="21"/>
          <w:szCs w:val="21"/>
        </w:rPr>
      </w:pPr>
      <w:r>
        <w:rPr>
          <w:rFonts w:hint="eastAsia" w:ascii="宋体" w:hAnsi="宋体" w:eastAsia="宋体" w:cs="宋体"/>
          <w:b/>
          <w:sz w:val="21"/>
          <w:szCs w:val="21"/>
        </w:rPr>
        <w:t>　　第三十四条</w:t>
      </w:r>
      <w:r>
        <w:rPr>
          <w:rFonts w:hint="eastAsia" w:ascii="宋体" w:hAnsi="宋体" w:eastAsia="宋体" w:cs="宋体"/>
          <w:sz w:val="21"/>
          <w:szCs w:val="21"/>
        </w:rPr>
        <w:t>　因建设工程造价咨询业务的需要，咨询人在合同约定外的外出考察，经委托人同意，其所需费用由委托人负责。</w:t>
      </w:r>
    </w:p>
    <w:p w14:paraId="43735DD8">
      <w:pPr>
        <w:spacing w:line="360" w:lineRule="auto"/>
        <w:rPr>
          <w:rFonts w:hint="eastAsia" w:ascii="宋体" w:hAnsi="宋体" w:eastAsia="宋体" w:cs="宋体"/>
          <w:b/>
          <w:sz w:val="21"/>
          <w:szCs w:val="21"/>
        </w:rPr>
      </w:pPr>
      <w:r>
        <w:rPr>
          <w:rFonts w:hint="eastAsia" w:ascii="宋体" w:hAnsi="宋体" w:eastAsia="宋体" w:cs="宋体"/>
          <w:b/>
          <w:sz w:val="21"/>
          <w:szCs w:val="21"/>
        </w:rPr>
        <w:t>　　第三十五条</w:t>
      </w:r>
      <w:r>
        <w:rPr>
          <w:rFonts w:hint="eastAsia" w:ascii="宋体" w:hAnsi="宋体" w:eastAsia="宋体" w:cs="宋体"/>
          <w:sz w:val="21"/>
          <w:szCs w:val="21"/>
        </w:rPr>
        <w:t>　咨询人如需外聘专家协助，在委托的建设工程造价咨询业务范围内其费用由咨询人承担；在委托的建设工程造价咨询业务范围以外经委托人认可其费用由委托人承担。</w:t>
      </w:r>
    </w:p>
    <w:p w14:paraId="7A153D53">
      <w:pPr>
        <w:spacing w:line="360" w:lineRule="auto"/>
        <w:rPr>
          <w:rFonts w:hint="eastAsia" w:ascii="宋体" w:hAnsi="宋体" w:eastAsia="宋体" w:cs="宋体"/>
          <w:b/>
          <w:sz w:val="21"/>
          <w:szCs w:val="21"/>
        </w:rPr>
      </w:pPr>
      <w:r>
        <w:rPr>
          <w:rFonts w:hint="eastAsia" w:ascii="宋体" w:hAnsi="宋体" w:eastAsia="宋体" w:cs="宋体"/>
          <w:b/>
          <w:sz w:val="21"/>
          <w:szCs w:val="21"/>
        </w:rPr>
        <w:t>　　第三十六条</w:t>
      </w:r>
      <w:r>
        <w:rPr>
          <w:rFonts w:hint="eastAsia" w:ascii="宋体" w:hAnsi="宋体" w:eastAsia="宋体" w:cs="宋体"/>
          <w:sz w:val="21"/>
          <w:szCs w:val="21"/>
        </w:rPr>
        <w:t>　未经对方的书面同意，各方均不得转让合同约定的权利和义务。</w:t>
      </w:r>
    </w:p>
    <w:p w14:paraId="232136DE">
      <w:pPr>
        <w:spacing w:line="360" w:lineRule="auto"/>
        <w:rPr>
          <w:rFonts w:hint="eastAsia" w:ascii="宋体" w:hAnsi="宋体" w:eastAsia="宋体" w:cs="宋体"/>
          <w:sz w:val="21"/>
          <w:szCs w:val="21"/>
        </w:rPr>
      </w:pPr>
      <w:r>
        <w:rPr>
          <w:rFonts w:hint="eastAsia" w:ascii="宋体" w:hAnsi="宋体" w:eastAsia="宋体" w:cs="宋体"/>
          <w:b/>
          <w:sz w:val="21"/>
          <w:szCs w:val="21"/>
        </w:rPr>
        <w:t>　　第三十七条</w:t>
      </w:r>
      <w:r>
        <w:rPr>
          <w:rFonts w:hint="eastAsia" w:ascii="宋体" w:hAnsi="宋体" w:eastAsia="宋体" w:cs="宋体"/>
          <w:sz w:val="21"/>
          <w:szCs w:val="21"/>
        </w:rPr>
        <w:t xml:space="preserve">  咨询人应对咨询报告的质量负责，委托人有对咨询工作和实施效果进行评价的权利。评价时间在咨询成果报告提交后一个月完成，并根据有关规定填写《咨询效果评价意见表》。对评价结果有争议时，以项目所在地造价行业主管部门裁定意见为准。</w:t>
      </w:r>
    </w:p>
    <w:p w14:paraId="241CC684">
      <w:pPr>
        <w:spacing w:line="360" w:lineRule="auto"/>
        <w:ind w:firstLine="435"/>
        <w:rPr>
          <w:rFonts w:hint="eastAsia" w:ascii="宋体" w:hAnsi="宋体" w:eastAsia="宋体" w:cs="宋体"/>
          <w:sz w:val="21"/>
          <w:szCs w:val="21"/>
        </w:rPr>
      </w:pPr>
    </w:p>
    <w:p w14:paraId="570E4BB8">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合同争议的解决</w:t>
      </w:r>
    </w:p>
    <w:p w14:paraId="21CBCB9D">
      <w:pPr>
        <w:spacing w:line="360" w:lineRule="auto"/>
        <w:rPr>
          <w:rFonts w:hint="eastAsia" w:ascii="宋体" w:hAnsi="宋体" w:eastAsia="宋体" w:cs="宋体"/>
          <w:b/>
          <w:sz w:val="21"/>
          <w:szCs w:val="21"/>
        </w:rPr>
      </w:pPr>
    </w:p>
    <w:p w14:paraId="3C72FCD6">
      <w:pPr>
        <w:spacing w:line="360" w:lineRule="auto"/>
        <w:rPr>
          <w:rFonts w:hint="eastAsia" w:ascii="宋体" w:hAnsi="宋体" w:eastAsia="宋体" w:cs="宋体"/>
          <w:sz w:val="21"/>
          <w:szCs w:val="21"/>
        </w:rPr>
      </w:pPr>
      <w:r>
        <w:rPr>
          <w:rFonts w:hint="eastAsia" w:ascii="宋体" w:hAnsi="宋体" w:eastAsia="宋体" w:cs="宋体"/>
          <w:b/>
          <w:sz w:val="21"/>
          <w:szCs w:val="21"/>
        </w:rPr>
        <w:t>　　第三十九条</w:t>
      </w:r>
      <w:r>
        <w:rPr>
          <w:rFonts w:hint="eastAsia" w:ascii="宋体" w:hAnsi="宋体" w:eastAsia="宋体" w:cs="宋体"/>
          <w:sz w:val="21"/>
          <w:szCs w:val="21"/>
        </w:rPr>
        <w:t>　因违约或终止合同而引起的损失和损害的赔偿，委托人与咨询人之间应当协商解决；如未能达成一致，可提交有关主管部门调解；协商或调解不成的，根据双方约定提交仲裁机关仲裁，或向人民法院提起诉讼。</w:t>
      </w:r>
    </w:p>
    <w:p w14:paraId="42CAD6E9">
      <w:pPr>
        <w:spacing w:line="360" w:lineRule="auto"/>
        <w:rPr>
          <w:rFonts w:ascii="宋体" w:hAnsi="宋体"/>
          <w:sz w:val="24"/>
        </w:rPr>
      </w:pPr>
    </w:p>
    <w:p w14:paraId="7A87B32B">
      <w:pPr>
        <w:spacing w:line="360" w:lineRule="auto"/>
        <w:rPr>
          <w:rFonts w:hint="eastAsia" w:ascii="宋体" w:hAnsi="宋体"/>
          <w:sz w:val="24"/>
        </w:rPr>
      </w:pPr>
      <w:r>
        <w:rPr>
          <w:rFonts w:ascii="宋体" w:hAnsi="宋体"/>
          <w:sz w:val="24"/>
        </w:rPr>
        <w:t xml:space="preserve"> </w:t>
      </w:r>
    </w:p>
    <w:p w14:paraId="52A82B0F">
      <w:pPr>
        <w:spacing w:line="360" w:lineRule="auto"/>
        <w:rPr>
          <w:rFonts w:hint="eastAsia" w:ascii="宋体" w:hAnsi="宋体"/>
          <w:b/>
          <w:sz w:val="24"/>
        </w:rPr>
      </w:pPr>
    </w:p>
    <w:p w14:paraId="7DA5B66A">
      <w:pPr>
        <w:spacing w:line="360" w:lineRule="auto"/>
        <w:rPr>
          <w:rFonts w:hint="eastAsia" w:ascii="宋体" w:hAnsi="宋体"/>
          <w:b/>
          <w:sz w:val="24"/>
        </w:rPr>
      </w:pPr>
    </w:p>
    <w:p w14:paraId="4F76AFA2">
      <w:pPr>
        <w:spacing w:line="360" w:lineRule="auto"/>
        <w:rPr>
          <w:rFonts w:hint="eastAsia" w:ascii="宋体" w:hAnsi="宋体"/>
          <w:b/>
          <w:sz w:val="24"/>
        </w:rPr>
      </w:pPr>
    </w:p>
    <w:p w14:paraId="30A5EDD6">
      <w:pPr>
        <w:spacing w:line="360" w:lineRule="auto"/>
        <w:rPr>
          <w:rFonts w:hint="eastAsia" w:ascii="宋体" w:hAnsi="宋体"/>
          <w:b/>
          <w:sz w:val="24"/>
        </w:rPr>
      </w:pPr>
    </w:p>
    <w:p w14:paraId="78520D34">
      <w:pPr>
        <w:spacing w:line="360" w:lineRule="auto"/>
        <w:rPr>
          <w:rFonts w:hint="eastAsia" w:ascii="宋体" w:hAnsi="宋体"/>
          <w:b/>
          <w:sz w:val="24"/>
        </w:rPr>
      </w:pPr>
    </w:p>
    <w:p w14:paraId="0AFF35F2">
      <w:pPr>
        <w:spacing w:line="360" w:lineRule="auto"/>
        <w:rPr>
          <w:rFonts w:hint="eastAsia" w:ascii="宋体" w:hAnsi="宋体"/>
          <w:b/>
          <w:sz w:val="24"/>
        </w:rPr>
      </w:pPr>
    </w:p>
    <w:p w14:paraId="7772A175">
      <w:pPr>
        <w:spacing w:line="360" w:lineRule="auto"/>
        <w:rPr>
          <w:rFonts w:hint="eastAsia" w:ascii="宋体" w:hAnsi="宋体"/>
          <w:b/>
          <w:sz w:val="24"/>
        </w:rPr>
      </w:pPr>
    </w:p>
    <w:p w14:paraId="32151A61">
      <w:pPr>
        <w:spacing w:line="360" w:lineRule="auto"/>
        <w:jc w:val="center"/>
        <w:rPr>
          <w:rFonts w:hint="eastAsia" w:ascii="黑体" w:hAnsi="Times New Roman" w:eastAsia="宋体" w:cs="Times New Roman"/>
          <w:b/>
          <w:bCs/>
          <w:kern w:val="2"/>
          <w:sz w:val="28"/>
          <w:szCs w:val="28"/>
          <w:lang w:val="en-US" w:eastAsia="zh-CN" w:bidi="ar-SA"/>
        </w:rPr>
      </w:pPr>
      <w:r>
        <w:rPr>
          <w:rFonts w:ascii="黑体" w:hAnsi="宋体" w:eastAsia="黑体"/>
          <w:b/>
          <w:sz w:val="30"/>
          <w:szCs w:val="30"/>
        </w:rPr>
        <w:br w:type="page"/>
      </w:r>
      <w:r>
        <w:rPr>
          <w:rFonts w:hint="eastAsia" w:ascii="黑体" w:hAnsi="Times New Roman" w:eastAsia="宋体" w:cs="Times New Roman"/>
          <w:b/>
          <w:bCs/>
          <w:kern w:val="2"/>
          <w:sz w:val="28"/>
          <w:szCs w:val="28"/>
          <w:lang w:val="en-US" w:eastAsia="zh-CN" w:bidi="ar-SA"/>
        </w:rPr>
        <w:t>第三部分　建设工程造价咨询合同专用条款</w:t>
      </w:r>
    </w:p>
    <w:p w14:paraId="27EBE675">
      <w:pPr>
        <w:spacing w:line="360" w:lineRule="auto"/>
        <w:rPr>
          <w:rFonts w:ascii="宋体" w:hAnsi="宋体"/>
          <w:sz w:val="24"/>
        </w:rPr>
      </w:pPr>
    </w:p>
    <w:p w14:paraId="7804534C">
      <w:pPr>
        <w:numPr>
          <w:ilvl w:val="0"/>
          <w:numId w:val="0"/>
        </w:numPr>
        <w:tabs>
          <w:tab w:val="left" w:pos="1260"/>
        </w:tabs>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lang w:val="en-US" w:eastAsia="zh-CN"/>
        </w:rPr>
        <w:t xml:space="preserve">第二条 </w:t>
      </w:r>
      <w:r>
        <w:rPr>
          <w:rFonts w:hint="eastAsia" w:ascii="宋体" w:hAnsi="宋体" w:eastAsia="宋体" w:cs="宋体"/>
          <w:sz w:val="21"/>
          <w:szCs w:val="21"/>
        </w:rPr>
        <w:t>本合同适用的法律、法规及工程造价计价办法和规定</w:t>
      </w:r>
    </w:p>
    <w:p w14:paraId="2849C47A">
      <w:pPr>
        <w:spacing w:line="360" w:lineRule="auto"/>
        <w:ind w:firstLine="420" w:firstLineChars="200"/>
        <w:rPr>
          <w:rFonts w:hint="eastAsia" w:ascii="宋体" w:hAnsi="宋体" w:eastAsia="宋体" w:cs="宋体"/>
          <w:sz w:val="21"/>
          <w:szCs w:val="21"/>
          <w:u w:val="single"/>
          <w:lang w:eastAsia="zh-CN"/>
        </w:rPr>
      </w:pPr>
      <w:r>
        <w:rPr>
          <w:rFonts w:hint="eastAsia" w:ascii="宋体" w:hAnsi="宋体" w:eastAsia="宋体" w:cs="宋体"/>
          <w:sz w:val="21"/>
          <w:szCs w:val="21"/>
        </w:rPr>
        <w:t>1．适用法律和法规：</w:t>
      </w:r>
      <w:r>
        <w:rPr>
          <w:rFonts w:hint="eastAsia" w:ascii="宋体" w:hAnsi="宋体" w:eastAsia="宋体" w:cs="宋体"/>
          <w:sz w:val="21"/>
          <w:szCs w:val="21"/>
          <w:u w:val="single"/>
        </w:rPr>
        <w:t>《中华人民共和国民法典》、《中华人民共和国招投标法》、《江苏省建设工程造价管理办法》等与本项目造价咨询相关的现行的法律与法规</w:t>
      </w:r>
      <w:r>
        <w:rPr>
          <w:rFonts w:hint="eastAsia" w:ascii="宋体" w:hAnsi="宋体" w:eastAsia="宋体" w:cs="宋体"/>
          <w:sz w:val="21"/>
          <w:szCs w:val="21"/>
          <w:u w:val="single"/>
          <w:lang w:eastAsia="zh-CN"/>
        </w:rPr>
        <w:t>。</w:t>
      </w:r>
    </w:p>
    <w:p w14:paraId="7C706B8F">
      <w:pPr>
        <w:spacing w:line="360" w:lineRule="auto"/>
        <w:ind w:firstLine="420" w:firstLineChars="200"/>
        <w:rPr>
          <w:rFonts w:hint="eastAsia" w:ascii="宋体" w:hAnsi="宋体" w:eastAsia="宋体" w:cs="宋体"/>
          <w:kern w:val="0"/>
          <w:sz w:val="21"/>
          <w:szCs w:val="21"/>
          <w:lang w:bidi="ar"/>
        </w:rPr>
      </w:pPr>
      <w:r>
        <w:rPr>
          <w:rFonts w:hint="eastAsia" w:ascii="宋体" w:hAnsi="宋体" w:eastAsia="宋体" w:cs="宋体"/>
          <w:sz w:val="21"/>
          <w:szCs w:val="21"/>
        </w:rPr>
        <w:t>2．工程造价计价办法：</w:t>
      </w:r>
      <w:r>
        <w:rPr>
          <w:rFonts w:hint="eastAsia" w:ascii="宋体" w:hAnsi="宋体" w:eastAsia="宋体" w:cs="宋体"/>
          <w:sz w:val="21"/>
          <w:szCs w:val="21"/>
          <w:u w:val="single"/>
        </w:rPr>
        <w:t xml:space="preserve">《江苏省土建与装饰工程计价定额》(2014版)、《江苏省安装工程计价定额》(2014版)、《江苏省市政工程计价定额》（2014版）、《江苏园林定额》(2007版) 及相关规、苏建价〔2016〕154号文《关于建筑业实施营改增后江苏省建设工程计价依据调整的通知》、苏建涵价〔2019〕178号文《省住房城乡建设厅关于建筑业增值税计价政策调整的通知》、《扬州工程造价管理》、《省住房城乡建设厅关于发布建设工程人工工资指导价的通知》等其他相关文件。                                                         </w:t>
      </w:r>
    </w:p>
    <w:p w14:paraId="47126898">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3.标准规范：</w:t>
      </w:r>
      <w:r>
        <w:rPr>
          <w:rFonts w:hint="eastAsia" w:ascii="宋体" w:hAnsi="宋体" w:eastAsia="宋体" w:cs="宋体"/>
          <w:sz w:val="21"/>
          <w:szCs w:val="21"/>
          <w:u w:val="single"/>
        </w:rPr>
        <w:t>《建设工程工程量清单计价规范》（GB50500-2013）等现行建设工程设计及施工规范和标准图集、江苏省相关预算定额及配套费用定额、《江苏省工程造价咨询业务指导规程》、江苏省及扬州市相关工程造价文件等。</w:t>
      </w:r>
    </w:p>
    <w:p w14:paraId="5BDE4F46">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 xml:space="preserve">第四条 </w:t>
      </w:r>
      <w:r>
        <w:rPr>
          <w:rFonts w:hint="eastAsia" w:ascii="宋体" w:hAnsi="宋体" w:eastAsia="宋体" w:cs="宋体"/>
          <w:sz w:val="21"/>
          <w:szCs w:val="21"/>
        </w:rPr>
        <w:t xml:space="preserve"> 本合同咨询项目负责人由</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担任，负责本咨询项目的具体实施及与委托方的联系等事宜。 </w:t>
      </w:r>
    </w:p>
    <w:p w14:paraId="26E579BE">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第五条</w:t>
      </w:r>
      <w:r>
        <w:rPr>
          <w:rFonts w:hint="eastAsia" w:ascii="宋体" w:hAnsi="宋体" w:eastAsia="宋体" w:cs="宋体"/>
          <w:sz w:val="21"/>
          <w:szCs w:val="21"/>
        </w:rPr>
        <w:t>　建设工程造价咨询业务范围及内容</w:t>
      </w:r>
    </w:p>
    <w:p w14:paraId="22C36D11">
      <w:pPr>
        <w:adjustRightInd w:val="0"/>
        <w:snapToGrid w:val="0"/>
        <w:spacing w:line="360" w:lineRule="auto"/>
        <w:ind w:firstLine="420" w:firstLineChars="200"/>
        <w:rPr>
          <w:rFonts w:hint="eastAsia" w:ascii="宋体" w:hAnsi="宋体" w:eastAsia="宋体" w:cs="宋体"/>
          <w:b w:val="0"/>
          <w:bCs w:val="0"/>
          <w:color w:val="0000FF"/>
          <w:sz w:val="21"/>
          <w:szCs w:val="21"/>
          <w:u w:val="single"/>
        </w:rPr>
      </w:pPr>
      <w:r>
        <w:rPr>
          <w:rFonts w:hint="eastAsia" w:ascii="宋体" w:hAnsi="宋体" w:eastAsia="宋体" w:cs="宋体"/>
          <w:sz w:val="21"/>
          <w:szCs w:val="21"/>
        </w:rPr>
        <w:t>1．委托工程造价咨询的工程范围：</w:t>
      </w:r>
      <w:r>
        <w:rPr>
          <w:rFonts w:hint="eastAsia" w:ascii="宋体" w:hAnsi="宋体" w:cs="宋体"/>
          <w:sz w:val="21"/>
          <w:szCs w:val="21"/>
          <w:u w:val="single"/>
          <w:lang w:val="en-US" w:eastAsia="zh-CN"/>
        </w:rPr>
        <w:t xml:space="preserve">             </w:t>
      </w:r>
      <w:r>
        <w:rPr>
          <w:rFonts w:hint="eastAsia" w:ascii="宋体" w:hAnsi="宋体" w:eastAsia="宋体" w:cs="宋体"/>
          <w:b w:val="0"/>
          <w:bCs w:val="0"/>
          <w:color w:val="auto"/>
          <w:sz w:val="21"/>
          <w:szCs w:val="21"/>
          <w:u w:val="single"/>
        </w:rPr>
        <w:t xml:space="preserve">。 </w:t>
      </w:r>
    </w:p>
    <w:p w14:paraId="08DD32BA">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2.委托工程造价咨询业务的内容（下列内容有委托的在□中打√）：　                                  </w:t>
      </w:r>
    </w:p>
    <w:p w14:paraId="4D162B9A">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2.1 建设工程造价咨询业务</w:t>
      </w:r>
    </w:p>
    <w:p w14:paraId="4869BF6A">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投资决策阶段</w:t>
      </w:r>
    </w:p>
    <w:p w14:paraId="332E9D5C">
      <w:pPr>
        <w:tabs>
          <w:tab w:val="left" w:pos="0"/>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□编制建设工程投资估算       □审核建设工程投资估算</w:t>
      </w:r>
    </w:p>
    <w:p w14:paraId="002A03C4">
      <w:pPr>
        <w:tabs>
          <w:tab w:val="left" w:pos="476"/>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建设工程项目经济评价       □其它</w:t>
      </w:r>
    </w:p>
    <w:p w14:paraId="075A81A9">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工程设计阶段</w:t>
      </w:r>
    </w:p>
    <w:p w14:paraId="26B69263">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□编制建设工程概算        </w:t>
      </w:r>
      <w:r>
        <w:rPr>
          <w:rFonts w:hint="eastAsia" w:ascii="宋体" w:hAnsi="宋体" w:eastAsia="宋体" w:cs="宋体"/>
          <w:sz w:val="21"/>
          <w:szCs w:val="21"/>
        </w:rPr>
        <w:sym w:font="Wingdings 2" w:char="00A3"/>
      </w:r>
      <w:r>
        <w:rPr>
          <w:rFonts w:hint="eastAsia" w:ascii="宋体" w:hAnsi="宋体" w:eastAsia="宋体" w:cs="宋体"/>
          <w:sz w:val="21"/>
          <w:szCs w:val="21"/>
        </w:rPr>
        <w:t>审核建设工程概算</w:t>
      </w:r>
    </w:p>
    <w:p w14:paraId="2B1AC652">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□编制建设工程预算        □审核建设工程预算</w:t>
      </w:r>
    </w:p>
    <w:p w14:paraId="62164CF0">
      <w:pPr>
        <w:spacing w:line="360" w:lineRule="auto"/>
        <w:ind w:firstLine="420" w:firstLineChars="200"/>
        <w:rPr>
          <w:rFonts w:hint="eastAsia" w:ascii="宋体" w:hAnsi="宋体" w:eastAsia="宋体" w:cs="宋体"/>
          <w:sz w:val="21"/>
          <w:szCs w:val="21"/>
        </w:rPr>
      </w:pPr>
      <w:r>
        <w:rPr>
          <w:rFonts w:hint="eastAsia" w:ascii="宋体" w:hAnsi="宋体" w:eastAsia="宋体" w:cs="宋体"/>
          <w:vanish/>
          <w:sz w:val="21"/>
          <w:szCs w:val="21"/>
        </w:rPr>
        <w:t>□额设</w:t>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vanish/>
          <w:sz w:val="21"/>
          <w:szCs w:val="21"/>
        </w:rPr>
        <w:pgNum/>
      </w:r>
      <w:r>
        <w:rPr>
          <w:rFonts w:hint="eastAsia" w:ascii="宋体" w:hAnsi="宋体" w:eastAsia="宋体" w:cs="宋体"/>
          <w:sz w:val="21"/>
          <w:szCs w:val="21"/>
          <w:lang w:eastAsia="zh-CN"/>
        </w:rPr>
        <w:t>□</w:t>
      </w:r>
      <w:r>
        <w:rPr>
          <w:rFonts w:hint="eastAsia" w:ascii="宋体" w:hAnsi="宋体" w:eastAsia="宋体" w:cs="宋体"/>
          <w:sz w:val="21"/>
          <w:szCs w:val="21"/>
        </w:rPr>
        <w:t xml:space="preserve">设计方案经济比较        </w:t>
      </w:r>
      <w:r>
        <w:rPr>
          <w:rFonts w:hint="eastAsia" w:ascii="宋体" w:hAnsi="宋体" w:eastAsia="宋体" w:cs="宋体"/>
          <w:sz w:val="21"/>
          <w:szCs w:val="21"/>
        </w:rPr>
        <w:sym w:font="Wingdings 2" w:char="00A3"/>
      </w:r>
      <w:r>
        <w:rPr>
          <w:rFonts w:hint="eastAsia" w:ascii="宋体" w:hAnsi="宋体" w:eastAsia="宋体" w:cs="宋体"/>
          <w:sz w:val="21"/>
          <w:szCs w:val="21"/>
        </w:rPr>
        <w:t>其它</w:t>
      </w:r>
    </w:p>
    <w:p w14:paraId="7A93A804">
      <w:pPr>
        <w:spacing w:line="360" w:lineRule="auto"/>
        <w:ind w:firstLine="420"/>
        <w:rPr>
          <w:rFonts w:hint="eastAsia" w:ascii="宋体" w:hAnsi="宋体" w:eastAsia="宋体" w:cs="宋体"/>
          <w:b/>
          <w:sz w:val="21"/>
          <w:szCs w:val="21"/>
        </w:rPr>
      </w:pPr>
      <w:r>
        <w:rPr>
          <w:rFonts w:hint="eastAsia" w:ascii="宋体" w:hAnsi="宋体" w:eastAsia="宋体" w:cs="宋体"/>
          <w:b/>
          <w:sz w:val="21"/>
          <w:szCs w:val="21"/>
        </w:rPr>
        <w:t>工程发承包/招投标阶段</w:t>
      </w:r>
    </w:p>
    <w:p w14:paraId="069D77CA">
      <w:pPr>
        <w:tabs>
          <w:tab w:val="left" w:pos="0"/>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□审核招标文件造价控制条款</w:t>
      </w:r>
    </w:p>
    <w:p w14:paraId="70D62544">
      <w:pPr>
        <w:tabs>
          <w:tab w:val="left" w:pos="0"/>
        </w:tabs>
        <w:spacing w:line="360" w:lineRule="auto"/>
        <w:ind w:firstLine="420" w:firstLineChars="200"/>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 xml:space="preserve">编制工程量清单   </w:t>
      </w:r>
      <w:r>
        <w:rPr>
          <w:rFonts w:hint="eastAsia" w:ascii="宋体" w:hAnsi="宋体" w:cs="宋体"/>
          <w:sz w:val="21"/>
          <w:szCs w:val="21"/>
          <w:lang w:eastAsia="zh-CN"/>
        </w:rPr>
        <w:t>□</w:t>
      </w:r>
      <w:r>
        <w:rPr>
          <w:rFonts w:hint="eastAsia" w:ascii="宋体" w:hAnsi="宋体" w:eastAsia="宋体" w:cs="宋体"/>
          <w:sz w:val="21"/>
          <w:szCs w:val="21"/>
        </w:rPr>
        <w:t xml:space="preserve">编制最高投标限价/发包工程预算（标底）              </w:t>
      </w:r>
    </w:p>
    <w:p w14:paraId="2DD6AA18">
      <w:pPr>
        <w:tabs>
          <w:tab w:val="left" w:pos="0"/>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 xml:space="preserve">审核工程量清单   □审核最高投标限价/发包工程预算（标底） </w:t>
      </w:r>
    </w:p>
    <w:p w14:paraId="4FEF4B6A">
      <w:pPr>
        <w:tabs>
          <w:tab w:val="left" w:pos="0"/>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□参与审查经济标   □参与合同谈判，协助起草合同文本</w:t>
      </w:r>
    </w:p>
    <w:p w14:paraId="46AFE32C">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sym w:font="Wingdings 2" w:char="00A3"/>
      </w:r>
      <w:r>
        <w:rPr>
          <w:rFonts w:hint="eastAsia" w:ascii="宋体" w:hAnsi="宋体" w:eastAsia="宋体" w:cs="宋体"/>
          <w:sz w:val="21"/>
          <w:szCs w:val="21"/>
        </w:rPr>
        <w:t xml:space="preserve">其它             </w:t>
      </w:r>
    </w:p>
    <w:p w14:paraId="3E5E6D90">
      <w:pPr>
        <w:spacing w:line="360" w:lineRule="auto"/>
        <w:ind w:firstLine="420"/>
        <w:rPr>
          <w:rFonts w:hint="eastAsia" w:ascii="宋体" w:hAnsi="宋体" w:eastAsia="宋体" w:cs="宋体"/>
          <w:b/>
          <w:sz w:val="21"/>
          <w:szCs w:val="21"/>
        </w:rPr>
      </w:pPr>
      <w:r>
        <w:rPr>
          <w:rFonts w:hint="eastAsia" w:ascii="宋体" w:hAnsi="宋体" w:eastAsia="宋体" w:cs="宋体"/>
          <w:b/>
          <w:sz w:val="21"/>
          <w:szCs w:val="21"/>
        </w:rPr>
        <w:t>工程施工阶段</w:t>
      </w:r>
    </w:p>
    <w:p w14:paraId="0DFF7495">
      <w:pPr>
        <w:tabs>
          <w:tab w:val="left" w:pos="0"/>
        </w:tabs>
        <w:spacing w:line="360" w:lineRule="auto"/>
        <w:ind w:firstLine="420" w:firstLineChars="200"/>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 xml:space="preserve">分析合同价款（投标报价/发包工程预算），确定工程造价控制目标，编制资金使用计划    </w:t>
      </w:r>
    </w:p>
    <w:p w14:paraId="788442E9">
      <w:pPr>
        <w:tabs>
          <w:tab w:val="left" w:pos="0"/>
        </w:tabs>
        <w:spacing w:line="360" w:lineRule="auto"/>
        <w:ind w:firstLine="420" w:firstLineChars="200"/>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 xml:space="preserve">审核工程计量与价款支付        </w:t>
      </w:r>
      <w:r>
        <w:rPr>
          <w:rFonts w:hint="eastAsia" w:ascii="宋体" w:hAnsi="宋体" w:cs="宋体"/>
          <w:sz w:val="21"/>
          <w:szCs w:val="21"/>
          <w:lang w:eastAsia="zh-CN"/>
        </w:rPr>
        <w:t>□</w:t>
      </w:r>
      <w:r>
        <w:rPr>
          <w:rFonts w:hint="eastAsia" w:ascii="宋体" w:hAnsi="宋体" w:eastAsia="宋体" w:cs="宋体"/>
          <w:sz w:val="21"/>
          <w:szCs w:val="21"/>
        </w:rPr>
        <w:t>审核工程索赔与签证费用</w:t>
      </w:r>
    </w:p>
    <w:p w14:paraId="2B7A00B4">
      <w:pPr>
        <w:tabs>
          <w:tab w:val="left" w:pos="0"/>
        </w:tabs>
        <w:spacing w:line="360" w:lineRule="auto"/>
        <w:ind w:firstLine="420" w:firstLineChars="200"/>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 xml:space="preserve">审核工程价款调整     </w:t>
      </w:r>
      <w:r>
        <w:rPr>
          <w:rFonts w:hint="eastAsia" w:ascii="宋体" w:hAnsi="宋体" w:eastAsia="宋体" w:cs="宋体"/>
          <w:sz w:val="21"/>
          <w:szCs w:val="21"/>
          <w:lang w:val="en-US" w:eastAsia="zh-CN"/>
        </w:rPr>
        <w:t xml:space="preserve">         </w:t>
      </w:r>
      <w:r>
        <w:rPr>
          <w:rFonts w:hint="eastAsia" w:ascii="宋体" w:hAnsi="宋体" w:cs="宋体"/>
          <w:sz w:val="21"/>
          <w:szCs w:val="21"/>
          <w:lang w:eastAsia="zh-CN"/>
        </w:rPr>
        <w:t>□</w:t>
      </w:r>
      <w:r>
        <w:rPr>
          <w:rFonts w:hint="eastAsia" w:ascii="宋体" w:hAnsi="宋体" w:eastAsia="宋体" w:cs="宋体"/>
          <w:sz w:val="21"/>
          <w:szCs w:val="21"/>
        </w:rPr>
        <w:t>业主分包的专业工程招标咨询，材料设备询价</w:t>
      </w:r>
    </w:p>
    <w:p w14:paraId="60602CFB">
      <w:pPr>
        <w:tabs>
          <w:tab w:val="left" w:pos="0"/>
        </w:tabs>
        <w:spacing w:line="360" w:lineRule="auto"/>
        <w:ind w:firstLine="420" w:firstLineChars="200"/>
        <w:rPr>
          <w:rFonts w:hint="eastAsia" w:ascii="宋体" w:hAnsi="宋体" w:eastAsia="宋体" w:cs="宋体"/>
          <w:sz w:val="21"/>
          <w:szCs w:val="21"/>
          <w:u w:val="single"/>
        </w:rPr>
      </w:pPr>
      <w:r>
        <w:rPr>
          <w:rFonts w:hint="eastAsia" w:ascii="宋体" w:hAnsi="宋体" w:cs="宋体"/>
          <w:sz w:val="21"/>
          <w:szCs w:val="21"/>
          <w:lang w:eastAsia="zh-CN"/>
        </w:rPr>
        <w:t>□</w:t>
      </w:r>
      <w:r>
        <w:rPr>
          <w:rFonts w:hint="eastAsia" w:ascii="宋体" w:hAnsi="宋体" w:eastAsia="宋体" w:cs="宋体"/>
          <w:sz w:val="21"/>
          <w:szCs w:val="21"/>
        </w:rPr>
        <w:t xml:space="preserve">分析工程投资偏差，调整工程造价控制目标      </w:t>
      </w:r>
      <w:r>
        <w:rPr>
          <w:rFonts w:hint="eastAsia" w:ascii="宋体" w:hAnsi="宋体" w:cs="宋体"/>
          <w:sz w:val="21"/>
          <w:szCs w:val="21"/>
          <w:lang w:eastAsia="zh-CN"/>
        </w:rPr>
        <w:t>□</w:t>
      </w:r>
      <w:r>
        <w:rPr>
          <w:rFonts w:hint="eastAsia" w:ascii="宋体" w:hAnsi="宋体" w:eastAsia="宋体" w:cs="宋体"/>
          <w:sz w:val="21"/>
          <w:szCs w:val="21"/>
        </w:rPr>
        <w:t xml:space="preserve">其它             </w:t>
      </w:r>
    </w:p>
    <w:p w14:paraId="1F151D9A">
      <w:pPr>
        <w:spacing w:line="360" w:lineRule="auto"/>
        <w:ind w:firstLine="420"/>
        <w:rPr>
          <w:rFonts w:hint="eastAsia" w:ascii="宋体" w:hAnsi="宋体" w:eastAsia="宋体" w:cs="宋体"/>
          <w:b/>
          <w:sz w:val="21"/>
          <w:szCs w:val="21"/>
        </w:rPr>
      </w:pPr>
      <w:r>
        <w:rPr>
          <w:rFonts w:hint="eastAsia" w:ascii="宋体" w:hAnsi="宋体" w:eastAsia="宋体" w:cs="宋体"/>
          <w:b/>
          <w:sz w:val="21"/>
          <w:szCs w:val="21"/>
        </w:rPr>
        <w:t>工程竣工阶段</w:t>
      </w:r>
    </w:p>
    <w:p w14:paraId="35034E04">
      <w:pPr>
        <w:tabs>
          <w:tab w:val="left" w:pos="0"/>
        </w:tabs>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 xml:space="preserve">□编制工程竣工结算书    </w:t>
      </w:r>
      <w:r>
        <w:rPr>
          <w:rFonts w:hint="eastAsia" w:ascii="宋体" w:hAnsi="宋体" w:cs="宋体"/>
          <w:sz w:val="21"/>
          <w:szCs w:val="21"/>
          <w:lang w:eastAsia="zh-CN"/>
        </w:rPr>
        <w:t>□</w:t>
      </w:r>
      <w:r>
        <w:rPr>
          <w:rFonts w:hint="eastAsia" w:ascii="宋体" w:hAnsi="宋体" w:eastAsia="宋体" w:cs="宋体"/>
          <w:sz w:val="21"/>
          <w:szCs w:val="21"/>
        </w:rPr>
        <w:t xml:space="preserve">审核工程竣工结算    </w:t>
      </w:r>
      <w:r>
        <w:rPr>
          <w:rFonts w:hint="eastAsia" w:ascii="宋体" w:hAnsi="宋体" w:eastAsia="宋体" w:cs="宋体"/>
          <w:sz w:val="21"/>
          <w:szCs w:val="21"/>
          <w:lang w:eastAsia="zh-CN"/>
        </w:rPr>
        <w:t>□</w:t>
      </w:r>
      <w:r>
        <w:rPr>
          <w:rFonts w:hint="eastAsia" w:ascii="宋体" w:hAnsi="宋体" w:eastAsia="宋体" w:cs="宋体"/>
          <w:sz w:val="21"/>
          <w:szCs w:val="21"/>
        </w:rPr>
        <w:t xml:space="preserve">其它            </w:t>
      </w:r>
    </w:p>
    <w:p w14:paraId="0494BDC1">
      <w:pPr>
        <w:adjustRightInd w:val="0"/>
        <w:snapToGrid w:val="0"/>
        <w:spacing w:line="360" w:lineRule="auto"/>
        <w:ind w:firstLine="420"/>
        <w:rPr>
          <w:rFonts w:hint="eastAsia" w:ascii="宋体" w:hAnsi="宋体" w:eastAsia="宋体" w:cs="宋体"/>
          <w:b/>
          <w:sz w:val="21"/>
          <w:szCs w:val="21"/>
        </w:rPr>
      </w:pPr>
      <w:r>
        <w:rPr>
          <w:rFonts w:hint="eastAsia" w:ascii="宋体" w:hAnsi="宋体" w:eastAsia="宋体" w:cs="宋体"/>
          <w:b/>
          <w:sz w:val="21"/>
          <w:szCs w:val="21"/>
        </w:rPr>
        <w:t>2.2 造价咨询其它业务</w:t>
      </w:r>
    </w:p>
    <w:p w14:paraId="2D2CBA86">
      <w:pPr>
        <w:tabs>
          <w:tab w:val="left" w:pos="0"/>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□工程造价鉴定及仲裁咨询      □编制工程造价计价依据</w:t>
      </w:r>
    </w:p>
    <w:p w14:paraId="76DFF451">
      <w:pPr>
        <w:tabs>
          <w:tab w:val="left" w:pos="0"/>
        </w:tabs>
        <w:spacing w:line="360" w:lineRule="auto"/>
        <w:ind w:firstLine="420" w:firstLineChars="200"/>
        <w:rPr>
          <w:rFonts w:hint="eastAsia" w:ascii="宋体" w:hAnsi="宋体" w:eastAsia="宋体" w:cs="宋体"/>
          <w:b/>
          <w:sz w:val="21"/>
          <w:szCs w:val="21"/>
        </w:rPr>
      </w:pPr>
      <w:r>
        <w:rPr>
          <w:rFonts w:hint="eastAsia" w:ascii="宋体" w:hAnsi="宋体" w:cs="宋体"/>
          <w:sz w:val="21"/>
          <w:szCs w:val="21"/>
          <w:lang w:eastAsia="zh-CN"/>
        </w:rPr>
        <w:t>□</w:t>
      </w:r>
      <w:r>
        <w:rPr>
          <w:rFonts w:hint="eastAsia" w:ascii="宋体" w:hAnsi="宋体" w:eastAsia="宋体" w:cs="宋体"/>
          <w:sz w:val="21"/>
          <w:szCs w:val="21"/>
        </w:rPr>
        <w:t>提供工程造价信息服务        □其它</w:t>
      </w:r>
    </w:p>
    <w:p w14:paraId="646777C6">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第八条</w:t>
      </w:r>
      <w:r>
        <w:rPr>
          <w:rFonts w:hint="eastAsia" w:ascii="宋体" w:hAnsi="宋体" w:eastAsia="宋体" w:cs="宋体"/>
          <w:sz w:val="21"/>
          <w:szCs w:val="21"/>
        </w:rPr>
        <w:t xml:space="preserve">  实施工程施工阶段造价咨询业务，要求咨询人常驻施工现场时，由委托人提供下列必要的办公条件：</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lang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14:paraId="57AAE852">
      <w:pPr>
        <w:spacing w:line="360" w:lineRule="auto"/>
        <w:ind w:firstLine="422" w:firstLineChars="200"/>
        <w:rPr>
          <w:rFonts w:hint="eastAsia" w:ascii="宋体" w:hAnsi="宋体" w:eastAsia="宋体" w:cs="宋体"/>
          <w:sz w:val="21"/>
          <w:szCs w:val="21"/>
          <w:u w:val="single"/>
        </w:rPr>
      </w:pPr>
      <w:r>
        <w:rPr>
          <w:rFonts w:hint="eastAsia" w:ascii="宋体" w:hAnsi="宋体" w:eastAsia="宋体" w:cs="宋体"/>
          <w:b/>
          <w:sz w:val="21"/>
          <w:szCs w:val="21"/>
        </w:rPr>
        <w:t>第九条</w:t>
      </w:r>
      <w:r>
        <w:rPr>
          <w:rFonts w:hint="eastAsia" w:ascii="宋体" w:hAnsi="宋体" w:eastAsia="宋体" w:cs="宋体"/>
          <w:sz w:val="21"/>
          <w:szCs w:val="21"/>
        </w:rPr>
        <w:t>　双方约定的委托人应提供的建设工程造价咨询材料及提供时间：</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w:t>
      </w:r>
    </w:p>
    <w:p w14:paraId="78BEE549">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第十条</w:t>
      </w:r>
      <w:r>
        <w:rPr>
          <w:rFonts w:hint="eastAsia" w:ascii="宋体" w:hAnsi="宋体" w:eastAsia="宋体" w:cs="宋体"/>
          <w:sz w:val="21"/>
          <w:szCs w:val="21"/>
        </w:rPr>
        <w:t>　委托人应在</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日内对咨询人书面提交并要求做出答复的事宜做出书面答复。</w:t>
      </w:r>
    </w:p>
    <w:p w14:paraId="4EB03B58">
      <w:pPr>
        <w:spacing w:line="360" w:lineRule="auto"/>
        <w:ind w:firstLine="420"/>
        <w:rPr>
          <w:rFonts w:hint="eastAsia" w:ascii="宋体" w:hAnsi="宋体" w:eastAsia="宋体" w:cs="宋体"/>
          <w:b/>
          <w:sz w:val="21"/>
          <w:szCs w:val="21"/>
        </w:rPr>
      </w:pPr>
      <w:r>
        <w:rPr>
          <w:rFonts w:hint="eastAsia" w:ascii="宋体" w:hAnsi="宋体" w:eastAsia="宋体" w:cs="宋体"/>
          <w:b/>
          <w:sz w:val="21"/>
          <w:szCs w:val="21"/>
        </w:rPr>
        <w:t>第十一条</w:t>
      </w:r>
      <w:r>
        <w:rPr>
          <w:rFonts w:hint="eastAsia" w:ascii="宋体" w:hAnsi="宋体" w:eastAsia="宋体" w:cs="宋体"/>
          <w:sz w:val="21"/>
          <w:szCs w:val="21"/>
        </w:rPr>
        <w:t xml:space="preserve">  委托人授权</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为本咨询业务的代表，负责与咨询人联系。</w:t>
      </w:r>
    </w:p>
    <w:p w14:paraId="56EC7C3B">
      <w:pPr>
        <w:spacing w:line="360" w:lineRule="auto"/>
        <w:rPr>
          <w:rFonts w:hint="eastAsia" w:ascii="宋体" w:hAnsi="宋体" w:eastAsia="宋体" w:cs="宋体"/>
          <w:sz w:val="21"/>
          <w:szCs w:val="21"/>
        </w:rPr>
      </w:pPr>
      <w:r>
        <w:rPr>
          <w:rFonts w:hint="eastAsia" w:ascii="宋体" w:hAnsi="宋体" w:eastAsia="宋体" w:cs="宋体"/>
          <w:b/>
          <w:sz w:val="21"/>
          <w:szCs w:val="21"/>
        </w:rPr>
        <w:t>　　第二十条</w:t>
      </w:r>
      <w:r>
        <w:rPr>
          <w:rFonts w:hint="eastAsia" w:ascii="宋体" w:hAnsi="宋体" w:eastAsia="宋体" w:cs="宋体"/>
          <w:sz w:val="21"/>
          <w:szCs w:val="21"/>
        </w:rPr>
        <w:t>　咨询人在其责任期内如果因自身原因给委托方造成经济损失时，同意按以下办法承担责任，向委托方支付赔偿金：</w:t>
      </w:r>
    </w:p>
    <w:p w14:paraId="6F593557">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赔偿金=直接经济损失× 酬金比率（扣除税金）。</w:t>
      </w:r>
    </w:p>
    <w:p w14:paraId="768526D3">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第二十三条</w:t>
      </w:r>
      <w:r>
        <w:rPr>
          <w:rFonts w:hint="eastAsia" w:ascii="宋体" w:hAnsi="宋体" w:eastAsia="宋体" w:cs="宋体"/>
          <w:sz w:val="21"/>
          <w:szCs w:val="21"/>
        </w:rPr>
        <w:t xml:space="preserve">  委托人对其提供资料的真实性、完整性和有效性负责，由此造成的咨询人工作的缺陷或失误及额外工作由委托人负责对咨询人进行赔偿。 本合同约定的资料完整提供时间为</w:t>
      </w:r>
      <w:r>
        <w:rPr>
          <w:rFonts w:hint="eastAsia" w:ascii="宋体" w:hAnsi="宋体" w:eastAsia="宋体" w:cs="宋体"/>
          <w:sz w:val="21"/>
          <w:szCs w:val="21"/>
          <w:u w:val="single"/>
        </w:rPr>
        <w:t xml:space="preserve">  /  </w:t>
      </w:r>
      <w:r>
        <w:rPr>
          <w:rFonts w:hint="eastAsia" w:ascii="宋体" w:hAnsi="宋体" w:eastAsia="宋体" w:cs="宋体"/>
          <w:sz w:val="21"/>
          <w:szCs w:val="21"/>
        </w:rPr>
        <w:t>年</w:t>
      </w:r>
      <w:r>
        <w:rPr>
          <w:rFonts w:hint="eastAsia" w:ascii="宋体" w:hAnsi="宋体" w:eastAsia="宋体" w:cs="宋体"/>
          <w:sz w:val="21"/>
          <w:szCs w:val="21"/>
          <w:u w:val="single"/>
        </w:rPr>
        <w:t xml:space="preserve">   /  </w:t>
      </w:r>
      <w:r>
        <w:rPr>
          <w:rFonts w:hint="eastAsia" w:ascii="宋体" w:hAnsi="宋体" w:eastAsia="宋体" w:cs="宋体"/>
          <w:sz w:val="21"/>
          <w:szCs w:val="21"/>
        </w:rPr>
        <w:t>月</w:t>
      </w:r>
      <w:r>
        <w:rPr>
          <w:rFonts w:hint="eastAsia" w:ascii="宋体" w:hAnsi="宋体" w:eastAsia="宋体" w:cs="宋体"/>
          <w:sz w:val="21"/>
          <w:szCs w:val="21"/>
          <w:u w:val="single"/>
        </w:rPr>
        <w:t xml:space="preserve">  / </w:t>
      </w:r>
      <w:r>
        <w:rPr>
          <w:rFonts w:hint="eastAsia" w:ascii="宋体" w:hAnsi="宋体" w:eastAsia="宋体" w:cs="宋体"/>
          <w:sz w:val="21"/>
          <w:szCs w:val="21"/>
        </w:rPr>
        <w:t>日。</w:t>
      </w:r>
    </w:p>
    <w:p w14:paraId="640432EA">
      <w:pPr>
        <w:spacing w:line="360" w:lineRule="auto"/>
        <w:ind w:firstLine="435"/>
        <w:rPr>
          <w:rFonts w:hint="eastAsia" w:ascii="宋体" w:hAnsi="宋体" w:eastAsia="宋体" w:cs="宋体"/>
          <w:sz w:val="21"/>
          <w:szCs w:val="21"/>
        </w:rPr>
      </w:pPr>
      <w:r>
        <w:rPr>
          <w:rFonts w:hint="eastAsia" w:ascii="宋体" w:hAnsi="宋体" w:eastAsia="宋体" w:cs="宋体"/>
          <w:b/>
          <w:sz w:val="21"/>
          <w:szCs w:val="21"/>
        </w:rPr>
        <w:t>第二十六条</w:t>
      </w:r>
      <w:r>
        <w:rPr>
          <w:rFonts w:hint="eastAsia" w:ascii="宋体" w:hAnsi="宋体" w:eastAsia="宋体" w:cs="宋体"/>
          <w:sz w:val="21"/>
          <w:szCs w:val="21"/>
        </w:rPr>
        <w:t xml:space="preserve">  咨询人发生额外工作包括：</w:t>
      </w:r>
    </w:p>
    <w:p w14:paraId="6CB05A36">
      <w:pPr>
        <w:spacing w:line="360" w:lineRule="auto"/>
        <w:ind w:firstLine="435"/>
        <w:rPr>
          <w:rFonts w:hint="eastAsia" w:ascii="宋体" w:hAnsi="宋体" w:eastAsia="宋体" w:cs="宋体"/>
          <w:sz w:val="21"/>
          <w:szCs w:val="21"/>
        </w:rPr>
      </w:pPr>
      <w:r>
        <w:rPr>
          <w:rFonts w:hint="eastAsia" w:ascii="宋体" w:hAnsi="宋体" w:eastAsia="宋体" w:cs="宋体"/>
          <w:sz w:val="21"/>
          <w:szCs w:val="21"/>
        </w:rPr>
        <w:t>□由于委托人提供的图纸等条件资料不全或发生变化，咨询人根据变化的条件资料发生的重复咨询工作；</w:t>
      </w:r>
    </w:p>
    <w:p w14:paraId="2D93298C">
      <w:pPr>
        <w:spacing w:line="360" w:lineRule="auto"/>
        <w:ind w:firstLine="435"/>
        <w:rPr>
          <w:rFonts w:hint="eastAsia" w:ascii="宋体" w:hAnsi="宋体" w:eastAsia="宋体" w:cs="宋体"/>
          <w:sz w:val="21"/>
          <w:szCs w:val="21"/>
        </w:rPr>
      </w:pPr>
      <w:r>
        <w:rPr>
          <w:rFonts w:hint="eastAsia" w:ascii="宋体" w:hAnsi="宋体" w:eastAsia="宋体" w:cs="宋体"/>
          <w:sz w:val="21"/>
          <w:szCs w:val="21"/>
        </w:rPr>
        <w:t>□实施工程施工阶段造价咨询业务，由于委托人或第三人的原因工程建设周期延长；</w:t>
      </w:r>
    </w:p>
    <w:p w14:paraId="5D82E415">
      <w:pPr>
        <w:spacing w:line="360" w:lineRule="auto"/>
        <w:ind w:firstLine="435"/>
        <w:rPr>
          <w:rFonts w:hint="eastAsia" w:ascii="宋体" w:hAnsi="宋体" w:eastAsia="宋体" w:cs="宋体"/>
          <w:sz w:val="21"/>
          <w:szCs w:val="21"/>
        </w:rPr>
      </w:pPr>
      <w:r>
        <w:rPr>
          <w:rFonts w:hint="eastAsia" w:ascii="宋体" w:hAnsi="宋体" w:eastAsia="宋体" w:cs="宋体"/>
          <w:sz w:val="21"/>
          <w:szCs w:val="21"/>
        </w:rPr>
        <w:t>□其它。</w:t>
      </w:r>
    </w:p>
    <w:p w14:paraId="62E6F3E8">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第三十条</w:t>
      </w:r>
      <w:r>
        <w:rPr>
          <w:rFonts w:hint="eastAsia" w:ascii="宋体" w:hAnsi="宋体" w:eastAsia="宋体" w:cs="宋体"/>
          <w:sz w:val="21"/>
          <w:szCs w:val="21"/>
        </w:rPr>
        <w:t>　委托人同意按以下的计算方法、支付时间与金额，支付咨询人的正常服务酬金：</w:t>
      </w:r>
    </w:p>
    <w:p w14:paraId="77245E15">
      <w:pPr>
        <w:spacing w:line="360" w:lineRule="auto"/>
        <w:ind w:firstLine="435"/>
        <w:rPr>
          <w:rFonts w:hint="eastAsia" w:ascii="宋体" w:hAnsi="宋体" w:eastAsia="宋体" w:cs="宋体"/>
          <w:sz w:val="21"/>
          <w:szCs w:val="21"/>
        </w:rPr>
      </w:pPr>
      <w:r>
        <w:rPr>
          <w:rFonts w:hint="eastAsia" w:ascii="宋体" w:hAnsi="宋体" w:eastAsia="宋体" w:cs="宋体"/>
          <w:sz w:val="21"/>
          <w:szCs w:val="21"/>
        </w:rPr>
        <w:t>1、正常酬金计算方法</w:t>
      </w:r>
    </w:p>
    <w:p w14:paraId="4F2F6CE4">
      <w:pPr>
        <w:spacing w:line="360" w:lineRule="auto"/>
        <w:rPr>
          <w:rFonts w:hint="eastAsia" w:ascii="宋体" w:hAnsi="宋体" w:eastAsia="宋体" w:cs="宋体"/>
          <w:b/>
          <w:sz w:val="21"/>
          <w:szCs w:val="21"/>
          <w:u w:val="single"/>
        </w:rPr>
      </w:pPr>
      <w:r>
        <w:rPr>
          <w:rFonts w:hint="eastAsia" w:ascii="宋体" w:hAnsi="宋体" w:eastAsia="宋体" w:cs="宋体"/>
          <w:sz w:val="21"/>
          <w:szCs w:val="21"/>
        </w:rPr>
        <w:t xml:space="preserve">    根据江苏省工程造价行业主管部门及物价部门的有关规定，本项目的咨询服务酬金计算方法为：</w:t>
      </w:r>
      <w:r>
        <w:rPr>
          <w:rFonts w:hint="eastAsia" w:ascii="宋体" w:hAnsi="宋体" w:eastAsia="宋体" w:cs="宋体"/>
          <w:b/>
          <w:sz w:val="21"/>
          <w:szCs w:val="21"/>
          <w:u w:val="single"/>
          <w:lang w:val="en-US" w:eastAsia="zh-CN"/>
        </w:rPr>
        <w:t>双方约定本项目的咨询服务酬金采用固定总价方式，计   元人民币</w:t>
      </w:r>
      <w:r>
        <w:rPr>
          <w:rFonts w:hint="eastAsia" w:ascii="宋体" w:hAnsi="宋体" w:eastAsia="宋体" w:cs="宋体"/>
          <w:b/>
          <w:sz w:val="21"/>
          <w:szCs w:val="21"/>
          <w:u w:val="single"/>
        </w:rPr>
        <w:t>。</w:t>
      </w:r>
    </w:p>
    <w:p w14:paraId="1B4FE543">
      <w:pPr>
        <w:spacing w:line="360" w:lineRule="auto"/>
        <w:ind w:firstLine="420"/>
        <w:rPr>
          <w:rFonts w:hint="eastAsia" w:ascii="宋体" w:hAnsi="宋体" w:eastAsia="宋体" w:cs="宋体"/>
          <w:sz w:val="21"/>
          <w:szCs w:val="21"/>
        </w:rPr>
      </w:pPr>
      <w:r>
        <w:rPr>
          <w:rFonts w:hint="eastAsia" w:ascii="宋体" w:hAnsi="宋体" w:eastAsia="宋体" w:cs="宋体"/>
          <w:sz w:val="21"/>
          <w:szCs w:val="21"/>
        </w:rPr>
        <w:t>2、正常酬金支付方式</w:t>
      </w:r>
    </w:p>
    <w:p w14:paraId="67B56936">
      <w:pPr>
        <w:spacing w:line="360" w:lineRule="auto"/>
        <w:ind w:firstLine="422" w:firstLineChars="200"/>
        <w:rPr>
          <w:rFonts w:hint="eastAsia" w:ascii="宋体" w:hAnsi="宋体" w:eastAsia="宋体" w:cs="宋体"/>
          <w:b/>
          <w:sz w:val="21"/>
          <w:szCs w:val="21"/>
          <w:u w:val="single"/>
          <w:lang w:val="en-US" w:eastAsia="zh-CN"/>
        </w:rPr>
      </w:pPr>
      <w:r>
        <w:rPr>
          <w:rFonts w:hint="eastAsia" w:ascii="宋体" w:hAnsi="宋体" w:eastAsia="宋体" w:cs="宋体"/>
          <w:b/>
          <w:sz w:val="21"/>
          <w:szCs w:val="21"/>
          <w:u w:val="single"/>
          <w:lang w:val="en-US" w:eastAsia="zh-CN"/>
        </w:rPr>
        <w:t>成交价即为合同价，项目完成并出具书面咨询报告后当年年底一次性付款。付款前成交人向委托人开具正式发票，否则付款相应顺延。</w:t>
      </w:r>
    </w:p>
    <w:p w14:paraId="2427A9DC">
      <w:pPr>
        <w:spacing w:line="360" w:lineRule="auto"/>
        <w:ind w:firstLine="435"/>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3、其他约定</w:t>
      </w:r>
    </w:p>
    <w:p w14:paraId="71C24DB0">
      <w:pPr>
        <w:spacing w:line="360" w:lineRule="auto"/>
        <w:ind w:firstLine="435"/>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附加服务酬金：</w:t>
      </w:r>
      <w:r>
        <w:rPr>
          <w:rFonts w:hint="eastAsia" w:ascii="宋体" w:hAnsi="宋体" w:eastAsia="宋体" w:cs="宋体"/>
          <w:sz w:val="21"/>
          <w:szCs w:val="21"/>
          <w:u w:val="single"/>
          <w:lang w:val="en-US" w:eastAsia="zh-CN"/>
        </w:rPr>
        <w:t>如发生，根据实际情况另行商定。</w:t>
      </w:r>
      <w:r>
        <w:rPr>
          <w:rFonts w:hint="eastAsia" w:ascii="宋体" w:hAnsi="宋体" w:eastAsia="宋体" w:cs="宋体"/>
          <w:sz w:val="21"/>
          <w:szCs w:val="21"/>
          <w:lang w:val="en-US" w:eastAsia="zh-CN"/>
        </w:rPr>
        <w:t xml:space="preserve">                                                                                                        </w:t>
      </w:r>
    </w:p>
    <w:p w14:paraId="7119F50E">
      <w:pPr>
        <w:spacing w:line="360" w:lineRule="auto"/>
        <w:ind w:firstLine="435"/>
        <w:rPr>
          <w:rFonts w:hint="eastAsia"/>
          <w:lang w:val="en-US" w:eastAsia="zh-CN"/>
        </w:rPr>
      </w:pPr>
      <w:r>
        <w:rPr>
          <w:rFonts w:hint="eastAsia" w:ascii="宋体" w:hAnsi="宋体" w:eastAsia="宋体" w:cs="宋体"/>
          <w:sz w:val="21"/>
          <w:szCs w:val="21"/>
          <w:lang w:val="en-US" w:eastAsia="zh-CN"/>
        </w:rPr>
        <w:t>额外服务酬金：</w:t>
      </w:r>
      <w:r>
        <w:rPr>
          <w:rFonts w:hint="eastAsia" w:ascii="宋体" w:hAnsi="宋体" w:eastAsia="宋体" w:cs="宋体"/>
          <w:sz w:val="21"/>
          <w:szCs w:val="21"/>
          <w:u w:val="single"/>
          <w:lang w:val="en-US" w:eastAsia="zh-CN"/>
        </w:rPr>
        <w:t>如发生，根据实际情况另行商定。</w:t>
      </w:r>
      <w:r>
        <w:rPr>
          <w:rFonts w:hint="eastAsia" w:ascii="宋体" w:hAnsi="宋体" w:eastAsia="宋体" w:cs="宋体"/>
          <w:sz w:val="21"/>
          <w:szCs w:val="21"/>
          <w:lang w:val="en-US" w:eastAsia="zh-CN"/>
        </w:rPr>
        <w:t xml:space="preserve">        </w:t>
      </w:r>
      <w:r>
        <w:rPr>
          <w:rFonts w:hint="eastAsia"/>
          <w:lang w:val="en-US" w:eastAsia="zh-CN"/>
        </w:rPr>
        <w:t xml:space="preserve">                             </w:t>
      </w:r>
    </w:p>
    <w:p w14:paraId="768A5450">
      <w:pPr>
        <w:spacing w:line="360" w:lineRule="auto"/>
        <w:ind w:firstLine="420"/>
        <w:rPr>
          <w:rFonts w:hint="eastAsia" w:ascii="宋体" w:hAnsi="宋体" w:eastAsia="宋体" w:cs="宋体"/>
          <w:sz w:val="21"/>
          <w:szCs w:val="21"/>
        </w:rPr>
      </w:pPr>
      <w:r>
        <w:rPr>
          <w:rFonts w:hint="eastAsia" w:ascii="宋体" w:hAnsi="宋体" w:eastAsia="宋体" w:cs="宋体"/>
          <w:b/>
          <w:sz w:val="21"/>
          <w:szCs w:val="21"/>
        </w:rPr>
        <w:t>第三十三条</w:t>
      </w:r>
      <w:r>
        <w:rPr>
          <w:rFonts w:hint="eastAsia" w:ascii="宋体" w:hAnsi="宋体" w:eastAsia="宋体" w:cs="宋体"/>
          <w:sz w:val="21"/>
          <w:szCs w:val="21"/>
        </w:rPr>
        <w:t>　双方同意用</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人民币</w:t>
      </w:r>
      <w:r>
        <w:rPr>
          <w:rFonts w:hint="eastAsia" w:ascii="宋体" w:hAnsi="宋体" w:eastAsia="宋体" w:cs="宋体"/>
          <w:sz w:val="21"/>
          <w:szCs w:val="21"/>
          <w:u w:val="single"/>
        </w:rPr>
        <w:t>　</w:t>
      </w:r>
      <w:r>
        <w:rPr>
          <w:rFonts w:hint="eastAsia" w:ascii="宋体" w:hAnsi="宋体" w:eastAsia="宋体" w:cs="宋体"/>
          <w:sz w:val="21"/>
          <w:szCs w:val="21"/>
        </w:rPr>
        <w:t>支付酬金，按</w:t>
      </w:r>
      <w:r>
        <w:rPr>
          <w:rFonts w:hint="eastAsia" w:ascii="宋体" w:hAnsi="宋体" w:eastAsia="宋体" w:cs="宋体"/>
          <w:sz w:val="21"/>
          <w:szCs w:val="21"/>
          <w:u w:val="single"/>
        </w:rPr>
        <w:t>　　/　　</w:t>
      </w:r>
      <w:r>
        <w:rPr>
          <w:rFonts w:hint="eastAsia" w:ascii="宋体" w:hAnsi="宋体" w:eastAsia="宋体" w:cs="宋体"/>
          <w:sz w:val="21"/>
          <w:szCs w:val="21"/>
        </w:rPr>
        <w:t>汇率计付。</w:t>
      </w:r>
    </w:p>
    <w:p w14:paraId="2B0259C6">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第三十八条</w:t>
      </w:r>
      <w:r>
        <w:rPr>
          <w:rFonts w:hint="eastAsia" w:ascii="宋体" w:hAnsi="宋体" w:eastAsia="宋体" w:cs="宋体"/>
          <w:sz w:val="21"/>
          <w:szCs w:val="21"/>
        </w:rPr>
        <w:t xml:space="preserve">  咨询人依据造价行业主管部门及国家的有关规定及要求开展造价咨询工作，咨询质量满足委托方及行业主管的要求。咨询人提交的咨询成果报告须文字清晰整齐，有较强的可复查性。为保证咨询质量，委托人与咨询人约定，质量奖罚条款如下：</w:t>
      </w:r>
      <w:r>
        <w:rPr>
          <w:rFonts w:hint="eastAsia" w:ascii="宋体" w:hAnsi="宋体" w:eastAsia="宋体" w:cs="宋体"/>
          <w:sz w:val="21"/>
          <w:szCs w:val="21"/>
          <w:u w:val="single"/>
        </w:rPr>
        <w:t>根据通用条款第二十条及专用条款第二十条执行</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rPr>
        <w:t xml:space="preserve">                                         </w:t>
      </w:r>
    </w:p>
    <w:p w14:paraId="0A319976">
      <w:pPr>
        <w:spacing w:line="360" w:lineRule="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第三十九条</w:t>
      </w:r>
      <w:r>
        <w:rPr>
          <w:rFonts w:hint="eastAsia" w:ascii="宋体" w:hAnsi="宋体" w:eastAsia="宋体" w:cs="宋体"/>
          <w:sz w:val="21"/>
          <w:szCs w:val="21"/>
        </w:rPr>
        <w:t>　建设工程造价咨询合同在履行过程中发生争议，委托人与咨询人应及时协商解决；如未能达成一致，可提交有关主管部门调解；协商或调解不成的，按下列第</w:t>
      </w:r>
      <w:r>
        <w:rPr>
          <w:rFonts w:hint="eastAsia" w:ascii="宋体" w:hAnsi="宋体" w:eastAsia="宋体" w:cs="宋体"/>
          <w:sz w:val="21"/>
          <w:szCs w:val="21"/>
          <w:u w:val="single"/>
        </w:rPr>
        <w:t xml:space="preserve">   2   </w:t>
      </w:r>
      <w:r>
        <w:rPr>
          <w:rFonts w:hint="eastAsia" w:ascii="宋体" w:hAnsi="宋体" w:eastAsia="宋体" w:cs="宋体"/>
          <w:sz w:val="21"/>
          <w:szCs w:val="21"/>
        </w:rPr>
        <w:t>种方式解决：</w:t>
      </w:r>
    </w:p>
    <w:p w14:paraId="044D2BC7">
      <w:pPr>
        <w:spacing w:line="360" w:lineRule="auto"/>
        <w:rPr>
          <w:rFonts w:hint="eastAsia" w:ascii="宋体" w:hAnsi="宋体" w:eastAsia="宋体" w:cs="宋体"/>
          <w:sz w:val="21"/>
          <w:szCs w:val="21"/>
        </w:rPr>
      </w:pPr>
      <w:r>
        <w:rPr>
          <w:rFonts w:hint="eastAsia" w:ascii="宋体" w:hAnsi="宋体" w:eastAsia="宋体" w:cs="宋体"/>
          <w:sz w:val="21"/>
          <w:szCs w:val="21"/>
        </w:rPr>
        <w:t>　　1、提交</w:t>
      </w:r>
      <w:r>
        <w:rPr>
          <w:rFonts w:hint="eastAsia" w:ascii="宋体" w:hAnsi="宋体" w:eastAsia="宋体" w:cs="宋体"/>
          <w:sz w:val="21"/>
          <w:szCs w:val="21"/>
          <w:u w:val="single"/>
        </w:rPr>
        <w:t>　  /　</w:t>
      </w:r>
      <w:r>
        <w:rPr>
          <w:rFonts w:hint="eastAsia" w:ascii="宋体" w:hAnsi="宋体" w:eastAsia="宋体" w:cs="宋体"/>
          <w:sz w:val="21"/>
          <w:szCs w:val="21"/>
        </w:rPr>
        <w:t>仲裁委员会仲裁；</w:t>
      </w:r>
    </w:p>
    <w:p w14:paraId="593BE0D7">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依法向委托方所在地人民法院起诉。</w:t>
      </w:r>
    </w:p>
    <w:p w14:paraId="0AF66A16">
      <w:pPr>
        <w:pStyle w:val="28"/>
        <w:widowControl w:val="0"/>
        <w:numPr>
          <w:ilvl w:val="0"/>
          <w:numId w:val="0"/>
        </w:numPr>
        <w:adjustRightInd w:val="0"/>
        <w:snapToGrid w:val="0"/>
        <w:spacing w:line="360" w:lineRule="auto"/>
        <w:jc w:val="both"/>
        <w:rPr>
          <w:rFonts w:hint="eastAsia" w:ascii="宋体" w:hAnsi="宋体" w:eastAsia="宋体" w:cs="宋体"/>
          <w:sz w:val="21"/>
          <w:szCs w:val="21"/>
        </w:rPr>
      </w:pPr>
    </w:p>
    <w:p w14:paraId="14CCC945">
      <w:pPr>
        <w:pStyle w:val="28"/>
        <w:widowControl w:val="0"/>
        <w:numPr>
          <w:ilvl w:val="0"/>
          <w:numId w:val="0"/>
        </w:numPr>
        <w:adjustRightInd w:val="0"/>
        <w:snapToGrid w:val="0"/>
        <w:spacing w:line="360" w:lineRule="auto"/>
        <w:jc w:val="both"/>
        <w:rPr>
          <w:rFonts w:hint="eastAsia" w:ascii="宋体" w:hAnsi="宋体" w:eastAsia="宋体" w:cs="宋体"/>
          <w:sz w:val="21"/>
          <w:szCs w:val="21"/>
        </w:rPr>
      </w:pPr>
    </w:p>
    <w:p w14:paraId="79F2DA18">
      <w:pPr>
        <w:pStyle w:val="28"/>
        <w:widowControl w:val="0"/>
        <w:numPr>
          <w:ilvl w:val="0"/>
          <w:numId w:val="0"/>
        </w:numPr>
        <w:adjustRightInd w:val="0"/>
        <w:snapToGrid w:val="0"/>
        <w:spacing w:line="360" w:lineRule="auto"/>
        <w:jc w:val="both"/>
        <w:rPr>
          <w:rFonts w:hint="eastAsia" w:ascii="宋体" w:hAnsi="宋体" w:eastAsia="宋体" w:cs="宋体"/>
          <w:sz w:val="21"/>
          <w:szCs w:val="21"/>
        </w:rPr>
      </w:pPr>
    </w:p>
    <w:p w14:paraId="31FE2D2F">
      <w:pPr>
        <w:pStyle w:val="28"/>
        <w:widowControl w:val="0"/>
        <w:numPr>
          <w:ilvl w:val="0"/>
          <w:numId w:val="0"/>
        </w:numPr>
        <w:adjustRightInd w:val="0"/>
        <w:snapToGrid w:val="0"/>
        <w:spacing w:line="360" w:lineRule="auto"/>
        <w:jc w:val="both"/>
        <w:rPr>
          <w:rFonts w:hint="eastAsia" w:ascii="宋体" w:hAnsi="宋体" w:eastAsia="宋体" w:cs="宋体"/>
          <w:sz w:val="21"/>
          <w:szCs w:val="21"/>
        </w:rPr>
      </w:pPr>
    </w:p>
    <w:p w14:paraId="63BA9D12">
      <w:pPr>
        <w:pStyle w:val="28"/>
        <w:widowControl w:val="0"/>
        <w:numPr>
          <w:ilvl w:val="0"/>
          <w:numId w:val="0"/>
        </w:numPr>
        <w:adjustRightInd w:val="0"/>
        <w:snapToGrid w:val="0"/>
        <w:spacing w:line="360" w:lineRule="auto"/>
        <w:jc w:val="both"/>
        <w:rPr>
          <w:rFonts w:hint="eastAsia" w:ascii="宋体" w:hAnsi="宋体" w:eastAsia="宋体" w:cs="宋体"/>
          <w:sz w:val="21"/>
          <w:szCs w:val="21"/>
        </w:rPr>
      </w:pPr>
    </w:p>
    <w:p w14:paraId="1B050F9F">
      <w:pPr>
        <w:pStyle w:val="28"/>
        <w:widowControl w:val="0"/>
        <w:numPr>
          <w:ilvl w:val="0"/>
          <w:numId w:val="0"/>
        </w:numPr>
        <w:adjustRightInd w:val="0"/>
        <w:snapToGrid w:val="0"/>
        <w:spacing w:line="360" w:lineRule="auto"/>
        <w:jc w:val="both"/>
        <w:rPr>
          <w:rFonts w:hint="eastAsia" w:ascii="宋体" w:hAnsi="宋体" w:eastAsia="宋体" w:cs="宋体"/>
          <w:sz w:val="21"/>
          <w:szCs w:val="21"/>
        </w:rPr>
      </w:pPr>
    </w:p>
    <w:p w14:paraId="6C69591B">
      <w:pPr>
        <w:pStyle w:val="28"/>
        <w:widowControl w:val="0"/>
        <w:numPr>
          <w:ilvl w:val="0"/>
          <w:numId w:val="0"/>
        </w:numPr>
        <w:adjustRightInd w:val="0"/>
        <w:snapToGrid w:val="0"/>
        <w:spacing w:line="360" w:lineRule="auto"/>
        <w:jc w:val="both"/>
        <w:rPr>
          <w:rFonts w:hint="eastAsia" w:ascii="宋体" w:hAnsi="宋体" w:eastAsia="宋体" w:cs="宋体"/>
          <w:sz w:val="21"/>
          <w:szCs w:val="21"/>
        </w:rPr>
      </w:pPr>
    </w:p>
    <w:p w14:paraId="36A310E5">
      <w:pPr>
        <w:pStyle w:val="28"/>
        <w:widowControl w:val="0"/>
        <w:numPr>
          <w:ilvl w:val="0"/>
          <w:numId w:val="0"/>
        </w:numPr>
        <w:adjustRightInd w:val="0"/>
        <w:snapToGrid w:val="0"/>
        <w:spacing w:line="360" w:lineRule="auto"/>
        <w:jc w:val="both"/>
        <w:rPr>
          <w:rFonts w:hint="eastAsia" w:ascii="宋体" w:hAnsi="宋体" w:eastAsia="宋体" w:cs="宋体"/>
          <w:sz w:val="21"/>
          <w:szCs w:val="21"/>
        </w:rPr>
      </w:pPr>
    </w:p>
    <w:p w14:paraId="7ACF57E2">
      <w:pPr>
        <w:pStyle w:val="28"/>
        <w:widowControl w:val="0"/>
        <w:numPr>
          <w:ilvl w:val="0"/>
          <w:numId w:val="0"/>
        </w:numPr>
        <w:adjustRightInd w:val="0"/>
        <w:snapToGrid w:val="0"/>
        <w:spacing w:line="360" w:lineRule="auto"/>
        <w:jc w:val="both"/>
        <w:rPr>
          <w:rFonts w:hint="eastAsia" w:ascii="宋体" w:hAnsi="宋体"/>
          <w:sz w:val="24"/>
        </w:rPr>
      </w:pPr>
    </w:p>
    <w:p w14:paraId="165225CA">
      <w:pPr>
        <w:pStyle w:val="28"/>
        <w:widowControl w:val="0"/>
        <w:numPr>
          <w:ilvl w:val="0"/>
          <w:numId w:val="0"/>
        </w:numPr>
        <w:adjustRightInd w:val="0"/>
        <w:snapToGrid w:val="0"/>
        <w:spacing w:line="360" w:lineRule="auto"/>
        <w:jc w:val="both"/>
        <w:rPr>
          <w:rFonts w:hint="eastAsia" w:ascii="宋体" w:hAnsi="宋体"/>
          <w:sz w:val="24"/>
        </w:rPr>
      </w:pPr>
    </w:p>
    <w:p w14:paraId="03AC21BC">
      <w:pPr>
        <w:pStyle w:val="28"/>
        <w:widowControl w:val="0"/>
        <w:numPr>
          <w:ilvl w:val="0"/>
          <w:numId w:val="0"/>
        </w:numPr>
        <w:adjustRightInd w:val="0"/>
        <w:snapToGrid w:val="0"/>
        <w:spacing w:line="360" w:lineRule="auto"/>
        <w:jc w:val="both"/>
        <w:rPr>
          <w:rFonts w:hint="eastAsia" w:ascii="宋体" w:hAnsi="宋体"/>
          <w:sz w:val="24"/>
        </w:rPr>
      </w:pPr>
    </w:p>
    <w:p w14:paraId="49AB942F">
      <w:pPr>
        <w:pStyle w:val="28"/>
        <w:widowControl w:val="0"/>
        <w:numPr>
          <w:ilvl w:val="0"/>
          <w:numId w:val="0"/>
        </w:numPr>
        <w:adjustRightInd w:val="0"/>
        <w:snapToGrid w:val="0"/>
        <w:spacing w:line="360" w:lineRule="auto"/>
        <w:jc w:val="both"/>
        <w:rPr>
          <w:rFonts w:hint="eastAsia" w:ascii="宋体" w:hAnsi="宋体"/>
          <w:sz w:val="24"/>
        </w:rPr>
      </w:pPr>
    </w:p>
    <w:p w14:paraId="1FE4E5DD">
      <w:pPr>
        <w:pStyle w:val="28"/>
        <w:widowControl w:val="0"/>
        <w:numPr>
          <w:ilvl w:val="0"/>
          <w:numId w:val="0"/>
        </w:numPr>
        <w:adjustRightInd w:val="0"/>
        <w:snapToGrid w:val="0"/>
        <w:spacing w:line="360" w:lineRule="auto"/>
        <w:jc w:val="both"/>
        <w:rPr>
          <w:rFonts w:hint="eastAsia" w:ascii="宋体" w:hAnsi="宋体"/>
          <w:sz w:val="24"/>
        </w:rPr>
      </w:pPr>
    </w:p>
    <w:p w14:paraId="6FDE0688">
      <w:pPr>
        <w:pStyle w:val="28"/>
        <w:widowControl w:val="0"/>
        <w:numPr>
          <w:ilvl w:val="0"/>
          <w:numId w:val="0"/>
        </w:numPr>
        <w:adjustRightInd w:val="0"/>
        <w:snapToGrid w:val="0"/>
        <w:spacing w:line="360" w:lineRule="auto"/>
        <w:jc w:val="both"/>
        <w:rPr>
          <w:rFonts w:hint="eastAsia" w:ascii="宋体" w:hAnsi="宋体"/>
          <w:sz w:val="24"/>
        </w:rPr>
      </w:pPr>
    </w:p>
    <w:p w14:paraId="0EF567EB">
      <w:pPr>
        <w:pStyle w:val="28"/>
        <w:widowControl w:val="0"/>
        <w:numPr>
          <w:ilvl w:val="0"/>
          <w:numId w:val="0"/>
        </w:numPr>
        <w:adjustRightInd w:val="0"/>
        <w:snapToGrid w:val="0"/>
        <w:spacing w:line="360" w:lineRule="auto"/>
        <w:jc w:val="both"/>
        <w:rPr>
          <w:rFonts w:hint="eastAsia" w:ascii="宋体" w:hAnsi="宋体"/>
          <w:sz w:val="24"/>
        </w:rPr>
      </w:pPr>
    </w:p>
    <w:p w14:paraId="7A6C3DD8">
      <w:pPr>
        <w:pStyle w:val="28"/>
        <w:widowControl w:val="0"/>
        <w:numPr>
          <w:ilvl w:val="0"/>
          <w:numId w:val="0"/>
        </w:numPr>
        <w:adjustRightInd w:val="0"/>
        <w:snapToGrid w:val="0"/>
        <w:spacing w:line="360" w:lineRule="auto"/>
        <w:jc w:val="both"/>
        <w:rPr>
          <w:rFonts w:hint="eastAsia" w:ascii="宋体" w:hAnsi="宋体"/>
          <w:sz w:val="24"/>
        </w:rPr>
      </w:pPr>
    </w:p>
    <w:p w14:paraId="5642C567">
      <w:pPr>
        <w:pStyle w:val="28"/>
        <w:widowControl w:val="0"/>
        <w:numPr>
          <w:ilvl w:val="0"/>
          <w:numId w:val="0"/>
        </w:numPr>
        <w:adjustRightInd w:val="0"/>
        <w:snapToGrid w:val="0"/>
        <w:spacing w:line="360" w:lineRule="auto"/>
        <w:jc w:val="both"/>
        <w:rPr>
          <w:rFonts w:hint="eastAsia" w:ascii="宋体" w:hAnsi="宋体"/>
          <w:sz w:val="24"/>
        </w:rPr>
      </w:pPr>
    </w:p>
    <w:p w14:paraId="22B6AF8F">
      <w:pPr>
        <w:pStyle w:val="28"/>
        <w:widowControl w:val="0"/>
        <w:numPr>
          <w:ilvl w:val="0"/>
          <w:numId w:val="0"/>
        </w:numPr>
        <w:adjustRightInd w:val="0"/>
        <w:snapToGrid w:val="0"/>
        <w:spacing w:line="360" w:lineRule="auto"/>
        <w:jc w:val="both"/>
        <w:rPr>
          <w:rFonts w:hint="eastAsia" w:ascii="宋体" w:hAnsi="宋体"/>
          <w:sz w:val="24"/>
        </w:rPr>
      </w:pPr>
    </w:p>
    <w:p w14:paraId="50F1DFE6">
      <w:pPr>
        <w:pStyle w:val="28"/>
        <w:widowControl w:val="0"/>
        <w:numPr>
          <w:ilvl w:val="0"/>
          <w:numId w:val="0"/>
        </w:numPr>
        <w:adjustRightInd w:val="0"/>
        <w:snapToGrid w:val="0"/>
        <w:spacing w:line="360" w:lineRule="auto"/>
        <w:jc w:val="both"/>
        <w:rPr>
          <w:rFonts w:hint="eastAsia" w:ascii="宋体" w:hAnsi="宋体"/>
          <w:sz w:val="24"/>
        </w:rPr>
      </w:pPr>
    </w:p>
    <w:p w14:paraId="702ADA51">
      <w:pPr>
        <w:pStyle w:val="28"/>
        <w:widowControl w:val="0"/>
        <w:numPr>
          <w:ilvl w:val="0"/>
          <w:numId w:val="0"/>
        </w:numPr>
        <w:adjustRightInd w:val="0"/>
        <w:snapToGrid w:val="0"/>
        <w:spacing w:line="360" w:lineRule="auto"/>
        <w:jc w:val="both"/>
        <w:rPr>
          <w:rFonts w:hint="eastAsia" w:ascii="宋体" w:hAnsi="宋体"/>
          <w:sz w:val="24"/>
        </w:rPr>
      </w:pPr>
    </w:p>
    <w:p w14:paraId="62E79231">
      <w:pPr>
        <w:pStyle w:val="28"/>
        <w:widowControl w:val="0"/>
        <w:numPr>
          <w:ilvl w:val="0"/>
          <w:numId w:val="0"/>
        </w:numPr>
        <w:adjustRightInd w:val="0"/>
        <w:snapToGrid w:val="0"/>
        <w:spacing w:line="360" w:lineRule="auto"/>
        <w:jc w:val="both"/>
        <w:rPr>
          <w:rFonts w:hint="eastAsia" w:ascii="宋体" w:hAnsi="宋体"/>
          <w:sz w:val="24"/>
        </w:rPr>
      </w:pPr>
    </w:p>
    <w:p w14:paraId="68585BD9">
      <w:pPr>
        <w:pStyle w:val="28"/>
        <w:widowControl w:val="0"/>
        <w:numPr>
          <w:ilvl w:val="0"/>
          <w:numId w:val="0"/>
        </w:numPr>
        <w:adjustRightInd w:val="0"/>
        <w:snapToGrid w:val="0"/>
        <w:spacing w:line="360" w:lineRule="auto"/>
        <w:jc w:val="both"/>
        <w:rPr>
          <w:rFonts w:hint="eastAsia" w:ascii="宋体" w:hAnsi="宋体"/>
          <w:sz w:val="24"/>
        </w:rPr>
      </w:pPr>
    </w:p>
    <w:p w14:paraId="3F35192B">
      <w:pPr>
        <w:adjustRightInd w:val="0"/>
        <w:snapToGrid w:val="0"/>
        <w:spacing w:line="360" w:lineRule="auto"/>
        <w:ind w:firstLine="480" w:firstLineChars="200"/>
        <w:rPr>
          <w:rFonts w:hint="eastAsia" w:ascii="宋体" w:hAnsi="宋体"/>
          <w:sz w:val="24"/>
        </w:rPr>
      </w:pPr>
    </w:p>
    <w:p w14:paraId="3EBF5617">
      <w:pPr>
        <w:pStyle w:val="4"/>
        <w:spacing w:before="0" w:after="0" w:line="312" w:lineRule="auto"/>
        <w:jc w:val="center"/>
        <w:rPr>
          <w:rFonts w:hint="eastAsia" w:ascii="宋体" w:hAnsi="宋体" w:eastAsia="宋体"/>
          <w:sz w:val="36"/>
          <w:szCs w:val="30"/>
        </w:rPr>
      </w:pPr>
    </w:p>
    <w:p w14:paraId="476D2E1E">
      <w:pPr>
        <w:pStyle w:val="4"/>
        <w:spacing w:before="0" w:after="0" w:line="312" w:lineRule="auto"/>
        <w:jc w:val="center"/>
        <w:rPr>
          <w:rFonts w:hint="eastAsia" w:ascii="宋体" w:hAnsi="宋体" w:eastAsia="宋体"/>
          <w:sz w:val="36"/>
          <w:szCs w:val="30"/>
        </w:rPr>
      </w:pPr>
      <w:r>
        <w:rPr>
          <w:rFonts w:hint="eastAsia" w:ascii="宋体" w:hAnsi="宋体" w:eastAsia="宋体"/>
          <w:sz w:val="36"/>
          <w:szCs w:val="30"/>
        </w:rPr>
        <w:t xml:space="preserve">第七篇  </w:t>
      </w:r>
      <w:bookmarkEnd w:id="108"/>
      <w:r>
        <w:rPr>
          <w:rFonts w:hint="eastAsia" w:ascii="宋体" w:hAnsi="宋体" w:eastAsia="宋体"/>
          <w:sz w:val="36"/>
          <w:szCs w:val="30"/>
        </w:rPr>
        <w:t>响应文件编制要求</w:t>
      </w:r>
      <w:bookmarkEnd w:id="109"/>
      <w:bookmarkEnd w:id="110"/>
      <w:bookmarkEnd w:id="111"/>
    </w:p>
    <w:p w14:paraId="6A148DEF">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2" w:firstLineChars="200"/>
        <w:textAlignment w:val="auto"/>
        <w:rPr>
          <w:rFonts w:hint="eastAsia" w:hAnsi="宋体"/>
          <w:b/>
          <w:bCs/>
          <w:szCs w:val="21"/>
        </w:rPr>
      </w:pPr>
      <w:r>
        <w:rPr>
          <w:rFonts w:hint="eastAsia" w:hAnsi="宋体"/>
          <w:b/>
          <w:bCs/>
          <w:szCs w:val="21"/>
        </w:rPr>
        <w:t>一、经济部分</w:t>
      </w:r>
    </w:p>
    <w:p w14:paraId="6B3A7C53">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（一）报价函</w:t>
      </w:r>
    </w:p>
    <w:p w14:paraId="1B965050">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2" w:firstLineChars="200"/>
        <w:textAlignment w:val="auto"/>
        <w:rPr>
          <w:rFonts w:hint="eastAsia" w:hAnsi="宋体"/>
          <w:b/>
          <w:bCs/>
          <w:szCs w:val="21"/>
        </w:rPr>
      </w:pPr>
      <w:r>
        <w:rPr>
          <w:rFonts w:hint="eastAsia" w:hAnsi="宋体"/>
          <w:b/>
          <w:bCs/>
          <w:szCs w:val="21"/>
        </w:rPr>
        <w:t>二、服务部分</w:t>
      </w:r>
    </w:p>
    <w:p w14:paraId="2EC5E2BF">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（一）服务方案</w:t>
      </w:r>
    </w:p>
    <w:p w14:paraId="6B1D0D1B">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（二）服务响应偏离表</w:t>
      </w:r>
    </w:p>
    <w:p w14:paraId="7404C4D0">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2" w:firstLineChars="200"/>
        <w:textAlignment w:val="auto"/>
        <w:rPr>
          <w:rFonts w:hint="eastAsia" w:hAnsi="宋体"/>
          <w:b/>
          <w:bCs/>
          <w:szCs w:val="21"/>
        </w:rPr>
      </w:pPr>
      <w:r>
        <w:rPr>
          <w:rFonts w:hint="eastAsia" w:hAnsi="宋体"/>
          <w:b/>
          <w:bCs/>
          <w:szCs w:val="21"/>
        </w:rPr>
        <w:t>三、商务部分</w:t>
      </w:r>
    </w:p>
    <w:p w14:paraId="26FB0007">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（一）商务响应偏离表</w:t>
      </w:r>
    </w:p>
    <w:p w14:paraId="75329E02">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（二）其他商务承诺</w:t>
      </w:r>
    </w:p>
    <w:p w14:paraId="2BC9219D">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2" w:firstLineChars="200"/>
        <w:textAlignment w:val="auto"/>
        <w:rPr>
          <w:rFonts w:hint="eastAsia" w:hAnsi="宋体"/>
          <w:b/>
          <w:bCs/>
          <w:szCs w:val="21"/>
        </w:rPr>
      </w:pPr>
      <w:r>
        <w:rPr>
          <w:rFonts w:hint="eastAsia" w:hAnsi="宋体"/>
          <w:b/>
          <w:bCs/>
          <w:szCs w:val="21"/>
        </w:rPr>
        <w:t>四、资格条件及其他</w:t>
      </w:r>
    </w:p>
    <w:p w14:paraId="1354ECF6">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（一）供应商法人营业执照（副本）或事业单位法人证书（副本）（复印件加盖公章）</w:t>
      </w:r>
    </w:p>
    <w:p w14:paraId="395FC1E1">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（二）供应商法定代表人身份证明和法定代表人授权委托书（原件）</w:t>
      </w:r>
    </w:p>
    <w:p w14:paraId="33417047">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（三）</w:t>
      </w:r>
      <w:r>
        <w:rPr>
          <w:rFonts w:hint="eastAsia" w:hAnsi="宋体" w:cs="Times New Roman"/>
          <w:szCs w:val="21"/>
          <w:lang w:val="en-US" w:eastAsia="zh-CN"/>
        </w:rPr>
        <w:t>上</w:t>
      </w:r>
      <w:r>
        <w:rPr>
          <w:rFonts w:hint="eastAsia" w:ascii="宋体" w:hAnsi="宋体" w:eastAsia="宋体" w:cs="Times New Roman"/>
          <w:szCs w:val="21"/>
        </w:rPr>
        <w:t>一年度财务报告（复印件加盖公章，成立不满一年无需提供）</w:t>
      </w:r>
    </w:p>
    <w:p w14:paraId="54BA2042">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（四）供应商提供诚信声明（原件）</w:t>
      </w:r>
    </w:p>
    <w:p w14:paraId="1354AFB3">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（五）近三个月内任意一个月依法纳税的缴款凭证（复印件加盖投标人公章）（投标人依法享受缓缴、免缴的提供相关证明材料）</w:t>
      </w:r>
    </w:p>
    <w:p w14:paraId="5B323525">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（六）近三个月内任意一个月缴纳职工社会保障资金的缴款凭证或缴款证明)（投标人依法享受缓缴、免缴的提供相关证明材料）</w:t>
      </w:r>
    </w:p>
    <w:p w14:paraId="1FFD3DDF">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（七）供应商提供信用中国网站（www.creditchina.gov.cn）以下内容的查询结果网页打印件并加盖供应商公章（查询信息为供应商名称）</w:t>
      </w:r>
    </w:p>
    <w:p w14:paraId="4E44F748">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1.“信用信息”查询结果；</w:t>
      </w:r>
    </w:p>
    <w:p w14:paraId="57B2738B">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2.“失信被执行人”查询结果；</w:t>
      </w:r>
    </w:p>
    <w:p w14:paraId="74C2BADC">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3.“重大税收违法案件当事人名单”查询结果；</w:t>
      </w:r>
    </w:p>
    <w:p w14:paraId="6160D5E1">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（八）供应商提供中国政府采购网（www.ccgp.gov.cn）“政府采购严重违法失信行为记录名单”查询结果，提供查询结果网页打印件并加盖供应商公章（查询信息为供应商名称）；</w:t>
      </w:r>
    </w:p>
    <w:p w14:paraId="7A834A20">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（九）特定资格条件：</w:t>
      </w:r>
    </w:p>
    <w:p w14:paraId="6BA9B364">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ascii="宋体" w:hAnsi="宋体" w:eastAsia="宋体" w:cs="Times New Roman"/>
          <w:szCs w:val="21"/>
        </w:rPr>
      </w:pPr>
      <w:r>
        <w:rPr>
          <w:rFonts w:hint="eastAsia" w:ascii="宋体" w:hAnsi="宋体" w:eastAsia="宋体" w:cs="Times New Roman"/>
          <w:szCs w:val="21"/>
          <w:lang w:val="en-US" w:eastAsia="zh-CN"/>
        </w:rPr>
        <w:t>1.拟派项目负责人具备一级注册造价工程师资格(安装工程)，提供证书复印件加盖公章以及供应商为其缴纳的投标截止日前1个月的养老保险缴费证明（新成立企业距投标截止日不足30日的，可不提供社保证明材料，以企业营业执照成立日期为准），否则相关人员不予认可。</w:t>
      </w:r>
    </w:p>
    <w:p w14:paraId="6F42460C">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2" w:firstLineChars="200"/>
        <w:textAlignment w:val="auto"/>
        <w:rPr>
          <w:rFonts w:hint="eastAsia" w:hAnsi="宋体"/>
          <w:b/>
          <w:bCs/>
          <w:szCs w:val="21"/>
        </w:rPr>
      </w:pPr>
    </w:p>
    <w:p w14:paraId="532AF117">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2" w:firstLineChars="200"/>
        <w:textAlignment w:val="auto"/>
        <w:rPr>
          <w:rFonts w:hint="eastAsia" w:hAnsi="宋体"/>
          <w:b/>
          <w:bCs/>
          <w:szCs w:val="21"/>
        </w:rPr>
      </w:pPr>
      <w:r>
        <w:rPr>
          <w:rFonts w:hint="eastAsia" w:hAnsi="宋体"/>
          <w:b/>
          <w:bCs/>
          <w:szCs w:val="21"/>
        </w:rPr>
        <w:t>五、其他应提供的资料</w:t>
      </w:r>
    </w:p>
    <w:p w14:paraId="354971AA">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（一）其他资料</w:t>
      </w:r>
    </w:p>
    <w:p w14:paraId="27FD58B2">
      <w:pPr>
        <w:pStyle w:val="31"/>
        <w:keepNext w:val="0"/>
        <w:keepLines w:val="0"/>
        <w:pageBreakBefore w:val="0"/>
        <w:widowControl w:val="0"/>
        <w:kinsoku/>
        <w:wordWrap/>
        <w:overflowPunct/>
        <w:topLinePunct w:val="0"/>
        <w:autoSpaceDE/>
        <w:autoSpaceDN/>
        <w:bidi w:val="0"/>
        <w:adjustRightInd/>
        <w:snapToGrid w:val="0"/>
        <w:spacing w:before="120" w:after="120" w:line="348" w:lineRule="auto"/>
        <w:ind w:firstLine="420" w:firstLineChars="200"/>
        <w:textAlignment w:val="auto"/>
        <w:rPr>
          <w:rFonts w:hint="eastAsia" w:hAnsi="宋体"/>
          <w:szCs w:val="21"/>
        </w:rPr>
      </w:pPr>
      <w:r>
        <w:rPr>
          <w:rFonts w:hint="eastAsia" w:hAnsi="宋体"/>
          <w:szCs w:val="21"/>
        </w:rPr>
        <w:t>1、其他与项目有关的资料</w:t>
      </w:r>
    </w:p>
    <w:p w14:paraId="2CD0B16B">
      <w:pPr>
        <w:rPr>
          <w:rFonts w:ascii="宋体" w:hAnsi="宋体" w:cs="宋体"/>
          <w:sz w:val="24"/>
          <w:szCs w:val="24"/>
        </w:rPr>
        <w:sectPr>
          <w:footerReference r:id="rId11" w:type="default"/>
          <w:pgSz w:w="11907" w:h="16840"/>
          <w:pgMar w:top="1134" w:right="1304" w:bottom="1134" w:left="1304" w:header="851" w:footer="992" w:gutter="0"/>
          <w:pgBorders>
            <w:top w:val="none" w:sz="0" w:space="0"/>
            <w:left w:val="none" w:sz="0" w:space="0"/>
            <w:bottom w:val="none" w:sz="0" w:space="0"/>
            <w:right w:val="none" w:sz="0" w:space="0"/>
          </w:pgBorders>
          <w:cols w:space="720" w:num="1"/>
          <w:docGrid w:linePitch="380" w:charSpace="-5735"/>
        </w:sectPr>
      </w:pPr>
    </w:p>
    <w:p w14:paraId="02866E96">
      <w:pPr>
        <w:pStyle w:val="5"/>
        <w:spacing w:before="0" w:after="0" w:line="312" w:lineRule="auto"/>
        <w:rPr>
          <w:rFonts w:ascii="宋体" w:hAnsi="宋体" w:cs="宋体"/>
          <w:sz w:val="24"/>
          <w:szCs w:val="24"/>
        </w:rPr>
      </w:pPr>
      <w:bookmarkStart w:id="112" w:name="_Toc313008356"/>
      <w:bookmarkStart w:id="113" w:name="_Toc15071"/>
      <w:bookmarkStart w:id="114" w:name="_Toc6842"/>
      <w:bookmarkStart w:id="115" w:name="_Toc342913419"/>
      <w:bookmarkStart w:id="116" w:name="_Toc3226"/>
      <w:bookmarkStart w:id="117" w:name="_Toc313888360"/>
      <w:bookmarkStart w:id="118" w:name="_Toc283382454"/>
      <w:bookmarkStart w:id="119" w:name="_Toc12789073"/>
      <w:r>
        <w:rPr>
          <w:rFonts w:hint="eastAsia" w:ascii="宋体" w:hAnsi="宋体" w:cs="宋体"/>
          <w:sz w:val="24"/>
          <w:szCs w:val="24"/>
        </w:rPr>
        <w:t>一、经济部分</w:t>
      </w:r>
      <w:bookmarkEnd w:id="112"/>
      <w:bookmarkEnd w:id="113"/>
      <w:bookmarkEnd w:id="114"/>
      <w:bookmarkEnd w:id="115"/>
      <w:bookmarkEnd w:id="116"/>
      <w:bookmarkEnd w:id="117"/>
    </w:p>
    <w:bookmarkEnd w:id="118"/>
    <w:bookmarkEnd w:id="119"/>
    <w:p w14:paraId="254ADF0D">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（一）报价函</w:t>
      </w:r>
    </w:p>
    <w:p w14:paraId="67133D66">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14:paraId="33B61E88">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w:t>
      </w:r>
      <w:r>
        <w:rPr>
          <w:rFonts w:hint="eastAsia" w:ascii="宋体" w:hAnsi="宋体" w:cs="宋体"/>
          <w:sz w:val="24"/>
          <w:szCs w:val="24"/>
          <w:u w:val="single"/>
        </w:rPr>
        <w:t xml:space="preserve">             </w:t>
      </w:r>
      <w:r>
        <w:rPr>
          <w:rFonts w:hint="eastAsia" w:ascii="宋体" w:hAnsi="宋体" w:cs="宋体"/>
          <w:sz w:val="24"/>
          <w:szCs w:val="24"/>
        </w:rPr>
        <w:t>（项目名称）及</w:t>
      </w:r>
      <w:r>
        <w:rPr>
          <w:rFonts w:hint="eastAsia" w:ascii="宋体" w:hAnsi="宋体" w:cs="宋体"/>
          <w:sz w:val="24"/>
          <w:szCs w:val="24"/>
          <w:u w:val="single"/>
        </w:rPr>
        <w:t xml:space="preserve">             </w:t>
      </w:r>
      <w:r>
        <w:rPr>
          <w:rFonts w:hint="eastAsia" w:ascii="宋体" w:hAnsi="宋体" w:cs="宋体"/>
          <w:sz w:val="24"/>
          <w:szCs w:val="24"/>
        </w:rPr>
        <w:t>（项目号）的</w:t>
      </w:r>
      <w:r>
        <w:rPr>
          <w:rFonts w:ascii="宋体" w:hAnsi="宋体" w:cs="宋体"/>
          <w:sz w:val="24"/>
          <w:szCs w:val="24"/>
        </w:rPr>
        <w:t>谈判采购</w:t>
      </w:r>
      <w:r>
        <w:rPr>
          <w:rFonts w:hint="eastAsia" w:ascii="宋体" w:hAnsi="宋体" w:cs="宋体"/>
          <w:sz w:val="24"/>
          <w:szCs w:val="24"/>
        </w:rPr>
        <w:t>文件，经详细研究，决定参加该项目的</w:t>
      </w:r>
      <w:r>
        <w:rPr>
          <w:rFonts w:ascii="宋体" w:hAnsi="宋体" w:cs="宋体"/>
          <w:sz w:val="24"/>
          <w:szCs w:val="24"/>
        </w:rPr>
        <w:t>谈判</w:t>
      </w:r>
      <w:r>
        <w:rPr>
          <w:rFonts w:hint="eastAsia" w:ascii="宋体" w:hAnsi="宋体" w:cs="宋体"/>
          <w:sz w:val="24"/>
          <w:szCs w:val="24"/>
        </w:rPr>
        <w:t>。</w:t>
      </w:r>
    </w:p>
    <w:p w14:paraId="598CFF34">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1、愿意按照谈判采购文件中的一切要求，提供本项目的技术服务，初始报价为</w:t>
      </w:r>
      <w:r>
        <w:rPr>
          <w:rFonts w:hint="eastAsia" w:ascii="宋体" w:hAnsi="宋体" w:cs="宋体"/>
          <w:sz w:val="24"/>
          <w:szCs w:val="24"/>
          <w:u w:val="single"/>
        </w:rPr>
        <w:t xml:space="preserve">             </w:t>
      </w:r>
      <w:r>
        <w:rPr>
          <w:rFonts w:hint="eastAsia" w:ascii="宋体" w:hAnsi="宋体" w:cs="宋体"/>
          <w:sz w:val="24"/>
          <w:szCs w:val="24"/>
        </w:rPr>
        <w:t>。以我公司最后报价为准。</w:t>
      </w:r>
    </w:p>
    <w:p w14:paraId="4364D838">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w:t>
      </w:r>
    </w:p>
    <w:p w14:paraId="43E389D3">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w:t>
      </w:r>
      <w:r>
        <w:rPr>
          <w:rFonts w:ascii="宋体" w:hAnsi="宋体" w:cs="宋体"/>
          <w:sz w:val="24"/>
          <w:szCs w:val="24"/>
        </w:rPr>
        <w:t>谈判</w:t>
      </w:r>
      <w:r>
        <w:rPr>
          <w:rFonts w:hint="eastAsia" w:ascii="宋体" w:hAnsi="宋体" w:cs="宋体"/>
          <w:sz w:val="24"/>
          <w:szCs w:val="24"/>
        </w:rPr>
        <w:t>的有效期为90天。</w:t>
      </w:r>
    </w:p>
    <w:p w14:paraId="1D009761">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w:t>
      </w:r>
      <w:r>
        <w:rPr>
          <w:rFonts w:ascii="宋体" w:hAnsi="宋体" w:cs="宋体"/>
          <w:sz w:val="24"/>
          <w:szCs w:val="24"/>
        </w:rPr>
        <w:t>谈判采购</w:t>
      </w:r>
      <w:r>
        <w:rPr>
          <w:rFonts w:hint="eastAsia" w:ascii="宋体" w:hAnsi="宋体" w:cs="宋体"/>
          <w:sz w:val="24"/>
          <w:szCs w:val="24"/>
        </w:rPr>
        <w:t>文件的一切规定和要求及评审办法。</w:t>
      </w:r>
    </w:p>
    <w:p w14:paraId="512B74CD">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w:t>
      </w:r>
      <w:r>
        <w:rPr>
          <w:rFonts w:ascii="宋体" w:hAnsi="宋体" w:cs="宋体"/>
          <w:sz w:val="24"/>
          <w:szCs w:val="24"/>
        </w:rPr>
        <w:t>谈判采购</w:t>
      </w:r>
      <w:r>
        <w:rPr>
          <w:rFonts w:hint="eastAsia" w:ascii="宋体" w:hAnsi="宋体" w:cs="宋体"/>
          <w:sz w:val="24"/>
          <w:szCs w:val="24"/>
        </w:rPr>
        <w:t>过程中，我方若有违规行为，接受按照《中华人民共和国政府采购法》及其实施条例等规定给予惩罚。</w:t>
      </w:r>
    </w:p>
    <w:p w14:paraId="62FB9D6E">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6、我方若成为成交供应商，将按照最终</w:t>
      </w:r>
      <w:r>
        <w:rPr>
          <w:rFonts w:ascii="宋体" w:hAnsi="宋体" w:cs="宋体"/>
          <w:sz w:val="24"/>
          <w:szCs w:val="24"/>
        </w:rPr>
        <w:t>谈判</w:t>
      </w:r>
      <w:r>
        <w:rPr>
          <w:rFonts w:hint="eastAsia" w:ascii="宋体" w:hAnsi="宋体" w:cs="宋体"/>
          <w:sz w:val="24"/>
          <w:szCs w:val="24"/>
        </w:rPr>
        <w:t>结果签订合同，并且严格履行合同义务。本承诺函将成为合同不可分割的一部分，与合同具有同等的法律效力。</w:t>
      </w:r>
    </w:p>
    <w:p w14:paraId="02BE6F16">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14:paraId="79204379">
      <w:pPr>
        <w:tabs>
          <w:tab w:val="left" w:pos="6300"/>
        </w:tabs>
        <w:snapToGrid w:val="0"/>
        <w:spacing w:line="360" w:lineRule="auto"/>
        <w:ind w:firstLine="570"/>
        <w:rPr>
          <w:rFonts w:ascii="宋体" w:hAnsi="宋体" w:cs="宋体"/>
          <w:sz w:val="24"/>
          <w:szCs w:val="24"/>
        </w:rPr>
      </w:pPr>
    </w:p>
    <w:p w14:paraId="6364C426">
      <w:pPr>
        <w:tabs>
          <w:tab w:val="left" w:pos="6300"/>
        </w:tabs>
        <w:snapToGrid w:val="0"/>
        <w:spacing w:line="360" w:lineRule="auto"/>
        <w:ind w:firstLine="570"/>
        <w:rPr>
          <w:rFonts w:ascii="宋体" w:hAnsi="宋体" w:cs="宋体"/>
          <w:sz w:val="24"/>
          <w:szCs w:val="24"/>
        </w:rPr>
      </w:pPr>
    </w:p>
    <w:p w14:paraId="34759E46">
      <w:pPr>
        <w:tabs>
          <w:tab w:val="left" w:pos="6300"/>
        </w:tabs>
        <w:snapToGrid w:val="0"/>
        <w:spacing w:line="360" w:lineRule="auto"/>
        <w:ind w:firstLine="570"/>
        <w:rPr>
          <w:rFonts w:ascii="宋体" w:hAnsi="宋体" w:cs="宋体"/>
          <w:sz w:val="24"/>
          <w:szCs w:val="24"/>
        </w:rPr>
      </w:pPr>
    </w:p>
    <w:p w14:paraId="07A64938">
      <w:pPr>
        <w:tabs>
          <w:tab w:val="left" w:pos="6300"/>
        </w:tabs>
        <w:snapToGrid w:val="0"/>
        <w:spacing w:line="360" w:lineRule="auto"/>
        <w:ind w:firstLine="570"/>
        <w:rPr>
          <w:rFonts w:ascii="宋体" w:hAnsi="宋体" w:cs="宋体"/>
          <w:sz w:val="24"/>
          <w:szCs w:val="24"/>
        </w:rPr>
      </w:pPr>
    </w:p>
    <w:p w14:paraId="240598B5">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供应商（公章）：</w:t>
      </w:r>
    </w:p>
    <w:p w14:paraId="1DF59906">
      <w:pPr>
        <w:snapToGrid w:val="0"/>
        <w:spacing w:line="360" w:lineRule="auto"/>
        <w:ind w:firstLine="480" w:firstLineChars="200"/>
        <w:rPr>
          <w:rFonts w:ascii="宋体" w:hAnsi="宋体" w:cs="宋体"/>
          <w:sz w:val="24"/>
          <w:szCs w:val="24"/>
        </w:rPr>
        <w:sectPr>
          <w:pgSz w:w="11907" w:h="16840"/>
          <w:pgMar w:top="1134" w:right="1191" w:bottom="1134" w:left="1304" w:header="851" w:footer="992" w:gutter="0"/>
          <w:pgBorders>
            <w:top w:val="none" w:sz="0" w:space="0"/>
            <w:left w:val="none" w:sz="0" w:space="0"/>
            <w:bottom w:val="none" w:sz="0" w:space="0"/>
            <w:right w:val="none" w:sz="0" w:space="0"/>
          </w:pgBorders>
          <w:cols w:space="720" w:num="1"/>
          <w:docGrid w:linePitch="380" w:charSpace="-5735"/>
        </w:sectPr>
      </w:pPr>
      <w:r>
        <w:rPr>
          <w:rFonts w:hint="eastAsia" w:ascii="宋体" w:hAnsi="宋体" w:cs="宋体"/>
          <w:sz w:val="24"/>
          <w:szCs w:val="24"/>
        </w:rPr>
        <w:t xml:space="preserve">                                                  年   月   日</w:t>
      </w:r>
    </w:p>
    <w:p w14:paraId="71CE9741">
      <w:pPr>
        <w:pStyle w:val="5"/>
        <w:spacing w:before="0" w:after="0" w:line="312" w:lineRule="auto"/>
        <w:rPr>
          <w:rFonts w:ascii="宋体" w:hAnsi="宋体" w:cs="宋体"/>
          <w:sz w:val="24"/>
          <w:szCs w:val="24"/>
        </w:rPr>
      </w:pPr>
      <w:bookmarkStart w:id="120" w:name="_Toc5448"/>
      <w:bookmarkStart w:id="121" w:name="_Toc342913420"/>
      <w:bookmarkStart w:id="122" w:name="_Toc3320"/>
      <w:bookmarkStart w:id="123" w:name="_Toc313888361"/>
      <w:bookmarkStart w:id="124" w:name="_Toc313008357"/>
      <w:bookmarkStart w:id="125" w:name="_Toc9573"/>
      <w:r>
        <w:rPr>
          <w:rFonts w:hint="eastAsia" w:ascii="宋体" w:hAnsi="宋体" w:cs="宋体"/>
          <w:sz w:val="24"/>
          <w:szCs w:val="24"/>
        </w:rPr>
        <w:t>二、服务部分</w:t>
      </w:r>
      <w:bookmarkEnd w:id="120"/>
      <w:bookmarkEnd w:id="121"/>
      <w:bookmarkEnd w:id="122"/>
      <w:bookmarkEnd w:id="123"/>
      <w:bookmarkEnd w:id="124"/>
      <w:bookmarkEnd w:id="125"/>
    </w:p>
    <w:p w14:paraId="7E5E5E02">
      <w:pPr>
        <w:snapToGrid w:val="0"/>
        <w:spacing w:line="312" w:lineRule="auto"/>
        <w:jc w:val="center"/>
        <w:rPr>
          <w:rFonts w:ascii="宋体" w:hAnsi="宋体" w:cs="宋体"/>
          <w:sz w:val="24"/>
          <w:szCs w:val="24"/>
        </w:rPr>
      </w:pPr>
      <w:r>
        <w:rPr>
          <w:rFonts w:hint="eastAsia" w:ascii="宋体" w:hAnsi="宋体" w:cs="宋体"/>
          <w:sz w:val="24"/>
          <w:szCs w:val="24"/>
        </w:rPr>
        <w:t>（一）服务方案（格式自定）</w:t>
      </w:r>
    </w:p>
    <w:p w14:paraId="2BAE5400">
      <w:pPr>
        <w:tabs>
          <w:tab w:val="left" w:pos="6300"/>
        </w:tabs>
        <w:snapToGrid w:val="0"/>
        <w:spacing w:line="312" w:lineRule="auto"/>
        <w:jc w:val="center"/>
        <w:rPr>
          <w:rFonts w:ascii="宋体" w:hAnsi="宋体" w:cs="宋体"/>
          <w:szCs w:val="24"/>
        </w:rPr>
      </w:pPr>
      <w:r>
        <w:rPr>
          <w:rFonts w:hint="eastAsia" w:ascii="宋体" w:hAnsi="宋体" w:cs="宋体"/>
          <w:szCs w:val="24"/>
        </w:rPr>
        <w:br w:type="page"/>
      </w:r>
      <w:r>
        <w:rPr>
          <w:rFonts w:hint="eastAsia" w:ascii="宋体" w:hAnsi="宋体" w:cs="宋体"/>
          <w:sz w:val="24"/>
          <w:szCs w:val="24"/>
        </w:rPr>
        <w:t>（二）服务响应偏离表</w:t>
      </w:r>
    </w:p>
    <w:p w14:paraId="6402D641">
      <w:pPr>
        <w:pStyle w:val="33"/>
        <w:tabs>
          <w:tab w:val="left" w:pos="6300"/>
        </w:tabs>
        <w:snapToGrid w:val="0"/>
        <w:spacing w:line="312" w:lineRule="auto"/>
        <w:ind w:firstLine="480" w:firstLineChars="200"/>
        <w:outlineLvl w:val="0"/>
        <w:rPr>
          <w:rFonts w:ascii="宋体" w:hAnsi="宋体" w:cs="宋体"/>
          <w:sz w:val="24"/>
        </w:rPr>
      </w:pPr>
      <w:r>
        <w:rPr>
          <w:rFonts w:hint="eastAsia" w:ascii="宋体" w:hAnsi="宋体" w:cs="宋体"/>
          <w:sz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14:paraId="772CD4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14:paraId="427E42D5">
            <w:pPr>
              <w:tabs>
                <w:tab w:val="left" w:pos="6300"/>
              </w:tabs>
              <w:snapToGrid w:val="0"/>
              <w:spacing w:line="312" w:lineRule="auto"/>
              <w:jc w:val="center"/>
              <w:outlineLvl w:val="0"/>
              <w:rPr>
                <w:rFonts w:ascii="宋体" w:hAnsi="宋体" w:cs="宋体"/>
                <w:sz w:val="21"/>
                <w:szCs w:val="21"/>
              </w:rPr>
            </w:pPr>
            <w:r>
              <w:rPr>
                <w:rFonts w:hint="eastAsia" w:ascii="宋体" w:hAnsi="宋体" w:cs="宋体"/>
                <w:sz w:val="21"/>
                <w:szCs w:val="21"/>
              </w:rPr>
              <w:t>序号</w:t>
            </w:r>
          </w:p>
        </w:tc>
        <w:tc>
          <w:tcPr>
            <w:tcW w:w="2658" w:type="dxa"/>
            <w:noWrap w:val="0"/>
            <w:vAlign w:val="center"/>
          </w:tcPr>
          <w:p w14:paraId="337C97C9">
            <w:pPr>
              <w:tabs>
                <w:tab w:val="left" w:pos="6300"/>
              </w:tabs>
              <w:snapToGrid w:val="0"/>
              <w:spacing w:line="312" w:lineRule="auto"/>
              <w:jc w:val="center"/>
              <w:outlineLvl w:val="0"/>
              <w:rPr>
                <w:rFonts w:ascii="宋体" w:hAnsi="宋体" w:cs="宋体"/>
                <w:sz w:val="21"/>
                <w:szCs w:val="21"/>
              </w:rPr>
            </w:pPr>
            <w:r>
              <w:rPr>
                <w:rFonts w:hint="eastAsia" w:ascii="宋体" w:hAnsi="宋体" w:cs="宋体"/>
                <w:sz w:val="21"/>
                <w:szCs w:val="21"/>
              </w:rPr>
              <w:t>采购需求</w:t>
            </w:r>
          </w:p>
        </w:tc>
        <w:tc>
          <w:tcPr>
            <w:tcW w:w="2759" w:type="dxa"/>
            <w:noWrap w:val="0"/>
            <w:vAlign w:val="center"/>
          </w:tcPr>
          <w:p w14:paraId="167C3346">
            <w:pPr>
              <w:tabs>
                <w:tab w:val="left" w:pos="6300"/>
              </w:tabs>
              <w:snapToGrid w:val="0"/>
              <w:spacing w:line="312" w:lineRule="auto"/>
              <w:jc w:val="center"/>
              <w:outlineLvl w:val="0"/>
              <w:rPr>
                <w:rFonts w:ascii="宋体" w:hAnsi="宋体" w:cs="宋体"/>
                <w:sz w:val="21"/>
                <w:szCs w:val="21"/>
              </w:rPr>
            </w:pPr>
            <w:r>
              <w:rPr>
                <w:rFonts w:hint="eastAsia" w:ascii="宋体" w:hAnsi="宋体" w:cs="宋体"/>
                <w:sz w:val="21"/>
                <w:szCs w:val="21"/>
              </w:rPr>
              <w:t>响应情况</w:t>
            </w:r>
          </w:p>
        </w:tc>
        <w:tc>
          <w:tcPr>
            <w:tcW w:w="2067" w:type="dxa"/>
            <w:noWrap w:val="0"/>
            <w:vAlign w:val="center"/>
          </w:tcPr>
          <w:p w14:paraId="0A1D62F8">
            <w:pPr>
              <w:tabs>
                <w:tab w:val="left" w:pos="6300"/>
              </w:tabs>
              <w:snapToGrid w:val="0"/>
              <w:spacing w:line="312" w:lineRule="auto"/>
              <w:jc w:val="center"/>
              <w:outlineLvl w:val="0"/>
              <w:rPr>
                <w:rFonts w:ascii="宋体" w:hAnsi="宋体" w:cs="宋体"/>
                <w:sz w:val="21"/>
                <w:szCs w:val="21"/>
              </w:rPr>
            </w:pPr>
            <w:r>
              <w:rPr>
                <w:rFonts w:hint="eastAsia" w:ascii="宋体" w:hAnsi="宋体" w:cs="宋体"/>
                <w:sz w:val="21"/>
                <w:szCs w:val="21"/>
              </w:rPr>
              <w:t>差异说明</w:t>
            </w:r>
          </w:p>
        </w:tc>
      </w:tr>
      <w:tr w14:paraId="5D166D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0000FF9A">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34E08D09">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6FFA28F2">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240216C7">
            <w:pPr>
              <w:tabs>
                <w:tab w:val="left" w:pos="6300"/>
              </w:tabs>
              <w:snapToGrid w:val="0"/>
              <w:spacing w:line="312" w:lineRule="auto"/>
              <w:jc w:val="center"/>
              <w:outlineLvl w:val="0"/>
              <w:rPr>
                <w:rFonts w:ascii="宋体" w:hAnsi="宋体" w:cs="宋体"/>
                <w:sz w:val="21"/>
                <w:szCs w:val="21"/>
              </w:rPr>
            </w:pPr>
          </w:p>
        </w:tc>
      </w:tr>
      <w:tr w14:paraId="1B8B2C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737C3C02">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67B64FF1">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6B9110FD">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31C085B1">
            <w:pPr>
              <w:tabs>
                <w:tab w:val="left" w:pos="6300"/>
              </w:tabs>
              <w:snapToGrid w:val="0"/>
              <w:spacing w:line="312" w:lineRule="auto"/>
              <w:jc w:val="center"/>
              <w:outlineLvl w:val="0"/>
              <w:rPr>
                <w:rFonts w:ascii="宋体" w:hAnsi="宋体" w:cs="宋体"/>
                <w:sz w:val="21"/>
                <w:szCs w:val="21"/>
              </w:rPr>
            </w:pPr>
          </w:p>
        </w:tc>
      </w:tr>
      <w:tr w14:paraId="5CBF26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58F38D96">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476FB134">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72733473">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1DC1C095">
            <w:pPr>
              <w:tabs>
                <w:tab w:val="left" w:pos="6300"/>
              </w:tabs>
              <w:snapToGrid w:val="0"/>
              <w:spacing w:line="312" w:lineRule="auto"/>
              <w:jc w:val="center"/>
              <w:outlineLvl w:val="0"/>
              <w:rPr>
                <w:rFonts w:ascii="宋体" w:hAnsi="宋体" w:cs="宋体"/>
                <w:sz w:val="21"/>
                <w:szCs w:val="21"/>
              </w:rPr>
            </w:pPr>
          </w:p>
        </w:tc>
      </w:tr>
      <w:tr w14:paraId="1A23FE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6CE11736">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59A742E2">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3659BF38">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5685E86C">
            <w:pPr>
              <w:tabs>
                <w:tab w:val="left" w:pos="6300"/>
              </w:tabs>
              <w:snapToGrid w:val="0"/>
              <w:spacing w:line="312" w:lineRule="auto"/>
              <w:jc w:val="center"/>
              <w:outlineLvl w:val="0"/>
              <w:rPr>
                <w:rFonts w:ascii="宋体" w:hAnsi="宋体" w:cs="宋体"/>
                <w:sz w:val="21"/>
                <w:szCs w:val="21"/>
              </w:rPr>
            </w:pPr>
          </w:p>
        </w:tc>
      </w:tr>
      <w:tr w14:paraId="24C93A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6AD68BA1">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2E608B9D">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4183CC0A">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00A03DE1">
            <w:pPr>
              <w:tabs>
                <w:tab w:val="left" w:pos="6300"/>
              </w:tabs>
              <w:snapToGrid w:val="0"/>
              <w:spacing w:line="312" w:lineRule="auto"/>
              <w:jc w:val="center"/>
              <w:outlineLvl w:val="0"/>
              <w:rPr>
                <w:rFonts w:ascii="宋体" w:hAnsi="宋体" w:cs="宋体"/>
                <w:sz w:val="21"/>
                <w:szCs w:val="21"/>
              </w:rPr>
            </w:pPr>
          </w:p>
        </w:tc>
      </w:tr>
      <w:tr w14:paraId="488FCC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7B26AC35">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47C965B9">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6A68A30B">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6F178778">
            <w:pPr>
              <w:tabs>
                <w:tab w:val="left" w:pos="6300"/>
              </w:tabs>
              <w:snapToGrid w:val="0"/>
              <w:spacing w:line="312" w:lineRule="auto"/>
              <w:jc w:val="center"/>
              <w:outlineLvl w:val="0"/>
              <w:rPr>
                <w:rFonts w:ascii="宋体" w:hAnsi="宋体" w:cs="宋体"/>
                <w:sz w:val="21"/>
                <w:szCs w:val="21"/>
              </w:rPr>
            </w:pPr>
          </w:p>
        </w:tc>
      </w:tr>
      <w:tr w14:paraId="4E15F5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51DB2D9A">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3908988E">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65CFAAD1">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1CCC748D">
            <w:pPr>
              <w:tabs>
                <w:tab w:val="left" w:pos="6300"/>
              </w:tabs>
              <w:snapToGrid w:val="0"/>
              <w:spacing w:line="312" w:lineRule="auto"/>
              <w:jc w:val="center"/>
              <w:outlineLvl w:val="0"/>
              <w:rPr>
                <w:rFonts w:ascii="宋体" w:hAnsi="宋体" w:cs="宋体"/>
                <w:sz w:val="21"/>
                <w:szCs w:val="21"/>
              </w:rPr>
            </w:pPr>
          </w:p>
        </w:tc>
      </w:tr>
      <w:tr w14:paraId="6D9630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11D279DC">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0D0AF992">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500DCEA9">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0C9C111D">
            <w:pPr>
              <w:tabs>
                <w:tab w:val="left" w:pos="6300"/>
              </w:tabs>
              <w:snapToGrid w:val="0"/>
              <w:spacing w:line="312" w:lineRule="auto"/>
              <w:jc w:val="center"/>
              <w:outlineLvl w:val="0"/>
              <w:rPr>
                <w:rFonts w:ascii="宋体" w:hAnsi="宋体" w:cs="宋体"/>
                <w:sz w:val="21"/>
                <w:szCs w:val="21"/>
              </w:rPr>
            </w:pPr>
          </w:p>
        </w:tc>
      </w:tr>
      <w:tr w14:paraId="62A6FC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57A4ED34">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7A59A1EC">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60D99364">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7BF6C0F9">
            <w:pPr>
              <w:tabs>
                <w:tab w:val="left" w:pos="6300"/>
              </w:tabs>
              <w:snapToGrid w:val="0"/>
              <w:spacing w:line="312" w:lineRule="auto"/>
              <w:jc w:val="center"/>
              <w:outlineLvl w:val="0"/>
              <w:rPr>
                <w:rFonts w:ascii="宋体" w:hAnsi="宋体" w:cs="宋体"/>
                <w:sz w:val="21"/>
                <w:szCs w:val="21"/>
              </w:rPr>
            </w:pPr>
          </w:p>
        </w:tc>
      </w:tr>
      <w:tr w14:paraId="6FC09F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14:paraId="0D8F107C">
            <w:pPr>
              <w:tabs>
                <w:tab w:val="left" w:pos="6300"/>
              </w:tabs>
              <w:snapToGrid w:val="0"/>
              <w:spacing w:line="312" w:lineRule="auto"/>
              <w:jc w:val="center"/>
              <w:outlineLvl w:val="0"/>
              <w:rPr>
                <w:rFonts w:ascii="宋体" w:hAnsi="宋体" w:cs="宋体"/>
                <w:sz w:val="21"/>
                <w:szCs w:val="21"/>
              </w:rPr>
            </w:pPr>
          </w:p>
        </w:tc>
        <w:tc>
          <w:tcPr>
            <w:tcW w:w="2658" w:type="dxa"/>
            <w:noWrap w:val="0"/>
            <w:vAlign w:val="center"/>
          </w:tcPr>
          <w:p w14:paraId="18527E5F">
            <w:pPr>
              <w:tabs>
                <w:tab w:val="left" w:pos="6300"/>
              </w:tabs>
              <w:snapToGrid w:val="0"/>
              <w:spacing w:line="312" w:lineRule="auto"/>
              <w:jc w:val="center"/>
              <w:outlineLvl w:val="0"/>
              <w:rPr>
                <w:rFonts w:ascii="宋体" w:hAnsi="宋体" w:cs="宋体"/>
                <w:sz w:val="21"/>
                <w:szCs w:val="21"/>
              </w:rPr>
            </w:pPr>
          </w:p>
        </w:tc>
        <w:tc>
          <w:tcPr>
            <w:tcW w:w="2759" w:type="dxa"/>
            <w:noWrap w:val="0"/>
            <w:vAlign w:val="center"/>
          </w:tcPr>
          <w:p w14:paraId="405B5628">
            <w:pPr>
              <w:tabs>
                <w:tab w:val="left" w:pos="6300"/>
              </w:tabs>
              <w:snapToGrid w:val="0"/>
              <w:spacing w:line="312" w:lineRule="auto"/>
              <w:jc w:val="center"/>
              <w:outlineLvl w:val="0"/>
              <w:rPr>
                <w:rFonts w:ascii="宋体" w:hAnsi="宋体" w:cs="宋体"/>
                <w:sz w:val="21"/>
                <w:szCs w:val="21"/>
              </w:rPr>
            </w:pPr>
          </w:p>
        </w:tc>
        <w:tc>
          <w:tcPr>
            <w:tcW w:w="2067" w:type="dxa"/>
            <w:noWrap w:val="0"/>
            <w:vAlign w:val="center"/>
          </w:tcPr>
          <w:p w14:paraId="2C52CE34">
            <w:pPr>
              <w:tabs>
                <w:tab w:val="left" w:pos="6300"/>
              </w:tabs>
              <w:snapToGrid w:val="0"/>
              <w:spacing w:line="312" w:lineRule="auto"/>
              <w:jc w:val="center"/>
              <w:outlineLvl w:val="0"/>
              <w:rPr>
                <w:rFonts w:ascii="宋体" w:hAnsi="宋体" w:cs="宋体"/>
                <w:sz w:val="21"/>
                <w:szCs w:val="21"/>
              </w:rPr>
            </w:pPr>
          </w:p>
        </w:tc>
      </w:tr>
    </w:tbl>
    <w:p w14:paraId="07561CD2">
      <w:pPr>
        <w:spacing w:line="312" w:lineRule="auto"/>
        <w:ind w:firstLine="600" w:firstLineChars="250"/>
        <w:rPr>
          <w:rFonts w:ascii="宋体" w:hAnsi="宋体" w:cs="宋体"/>
          <w:sz w:val="24"/>
          <w:szCs w:val="28"/>
        </w:rPr>
      </w:pPr>
      <w:r>
        <w:rPr>
          <w:rFonts w:hint="eastAsia" w:ascii="宋体" w:hAnsi="宋体" w:cs="宋体"/>
          <w:sz w:val="24"/>
          <w:szCs w:val="28"/>
        </w:rPr>
        <w:t>供应商：                                      法人授权代表：</w:t>
      </w:r>
    </w:p>
    <w:p w14:paraId="1661A69B">
      <w:pPr>
        <w:spacing w:line="312" w:lineRule="auto"/>
        <w:rPr>
          <w:rFonts w:ascii="宋体" w:hAnsi="宋体" w:cs="宋体"/>
          <w:sz w:val="24"/>
          <w:szCs w:val="28"/>
        </w:rPr>
      </w:pPr>
      <w:r>
        <w:rPr>
          <w:rFonts w:hint="eastAsia" w:ascii="宋体" w:hAnsi="宋体" w:cs="宋体"/>
          <w:sz w:val="24"/>
          <w:szCs w:val="28"/>
        </w:rPr>
        <w:t xml:space="preserve">    </w:t>
      </w:r>
    </w:p>
    <w:p w14:paraId="0C4BD174">
      <w:pPr>
        <w:spacing w:line="312" w:lineRule="auto"/>
        <w:ind w:firstLine="720" w:firstLineChars="300"/>
        <w:rPr>
          <w:rFonts w:ascii="宋体" w:hAnsi="宋体" w:cs="宋体"/>
          <w:sz w:val="24"/>
          <w:szCs w:val="28"/>
        </w:rPr>
      </w:pPr>
      <w:r>
        <w:rPr>
          <w:rFonts w:hint="eastAsia" w:ascii="宋体" w:hAnsi="宋体" w:cs="宋体"/>
          <w:sz w:val="24"/>
          <w:szCs w:val="28"/>
        </w:rPr>
        <w:t>（供应商公章）                               （签字或盖章）</w:t>
      </w:r>
    </w:p>
    <w:p w14:paraId="2AF38109">
      <w:pPr>
        <w:tabs>
          <w:tab w:val="left" w:pos="6300"/>
        </w:tabs>
        <w:snapToGrid w:val="0"/>
        <w:spacing w:line="312" w:lineRule="auto"/>
        <w:ind w:firstLine="570"/>
        <w:rPr>
          <w:rFonts w:ascii="宋体" w:hAnsi="宋体" w:cs="宋体"/>
          <w:sz w:val="24"/>
        </w:rPr>
      </w:pPr>
      <w:r>
        <w:rPr>
          <w:rFonts w:hint="eastAsia" w:ascii="宋体" w:hAnsi="宋体" w:cs="宋体"/>
          <w:sz w:val="24"/>
          <w:szCs w:val="28"/>
        </w:rPr>
        <w:t xml:space="preserve">                                              年     月     日</w:t>
      </w:r>
    </w:p>
    <w:p w14:paraId="22E55243">
      <w:pPr>
        <w:tabs>
          <w:tab w:val="left" w:pos="6300"/>
        </w:tabs>
        <w:snapToGrid w:val="0"/>
        <w:spacing w:line="312" w:lineRule="auto"/>
        <w:ind w:firstLine="420" w:firstLineChars="200"/>
        <w:rPr>
          <w:rFonts w:ascii="宋体" w:hAnsi="宋体" w:cs="宋体"/>
          <w:sz w:val="21"/>
          <w:szCs w:val="21"/>
        </w:rPr>
      </w:pPr>
      <w:r>
        <w:rPr>
          <w:rFonts w:hint="eastAsia" w:ascii="宋体" w:hAnsi="宋体" w:cs="宋体"/>
          <w:sz w:val="21"/>
          <w:szCs w:val="21"/>
        </w:rPr>
        <w:t>注：</w:t>
      </w:r>
    </w:p>
    <w:p w14:paraId="2CDB2BDE">
      <w:pPr>
        <w:tabs>
          <w:tab w:val="left" w:pos="6300"/>
        </w:tabs>
        <w:snapToGrid w:val="0"/>
        <w:spacing w:line="312" w:lineRule="auto"/>
        <w:ind w:firstLine="420" w:firstLineChars="200"/>
        <w:rPr>
          <w:rFonts w:ascii="宋体" w:hAnsi="宋体" w:cs="宋体"/>
          <w:sz w:val="21"/>
          <w:szCs w:val="21"/>
        </w:rPr>
      </w:pPr>
      <w:r>
        <w:rPr>
          <w:rFonts w:hint="eastAsia" w:ascii="宋体" w:hAnsi="宋体" w:cs="宋体"/>
          <w:sz w:val="21"/>
          <w:szCs w:val="21"/>
        </w:rPr>
        <w:t>1、本表即为对本项目“第二篇  采购服务需求”中项目要求进行比较和响应；</w:t>
      </w:r>
    </w:p>
    <w:p w14:paraId="3B53012A">
      <w:pPr>
        <w:tabs>
          <w:tab w:val="left" w:pos="6300"/>
        </w:tabs>
        <w:snapToGrid w:val="0"/>
        <w:spacing w:line="312" w:lineRule="auto"/>
        <w:ind w:firstLine="420" w:firstLineChars="200"/>
        <w:rPr>
          <w:rFonts w:ascii="宋体" w:hAnsi="宋体" w:cs="宋体"/>
          <w:sz w:val="21"/>
          <w:szCs w:val="21"/>
        </w:rPr>
      </w:pPr>
      <w:r>
        <w:rPr>
          <w:rFonts w:hint="eastAsia" w:ascii="宋体" w:hAnsi="宋体" w:cs="宋体"/>
          <w:sz w:val="21"/>
          <w:szCs w:val="21"/>
        </w:rPr>
        <w:t>2、该表必须按照谈判采购文件要求逐条如实填写，根据响应情况在“差异说明”项填写正偏离或负偏离及原因，完全符合的填写“无差异”；</w:t>
      </w:r>
    </w:p>
    <w:p w14:paraId="241CB4D1">
      <w:pPr>
        <w:tabs>
          <w:tab w:val="left" w:pos="6300"/>
        </w:tabs>
        <w:snapToGrid w:val="0"/>
        <w:spacing w:line="312" w:lineRule="auto"/>
        <w:ind w:firstLine="420" w:firstLineChars="200"/>
        <w:rPr>
          <w:rFonts w:ascii="宋体" w:hAnsi="宋体" w:cs="宋体"/>
          <w:sz w:val="21"/>
          <w:szCs w:val="21"/>
        </w:rPr>
      </w:pPr>
      <w:r>
        <w:rPr>
          <w:rFonts w:hint="eastAsia" w:ascii="宋体" w:hAnsi="宋体" w:cs="宋体"/>
          <w:sz w:val="21"/>
          <w:szCs w:val="21"/>
        </w:rPr>
        <w:t>3、该表可扩展，并逐页签字或盖章；</w:t>
      </w:r>
    </w:p>
    <w:p w14:paraId="509F4526">
      <w:pPr>
        <w:tabs>
          <w:tab w:val="left" w:pos="6300"/>
        </w:tabs>
        <w:snapToGrid w:val="0"/>
        <w:spacing w:line="312" w:lineRule="auto"/>
        <w:ind w:firstLine="420" w:firstLineChars="200"/>
        <w:rPr>
          <w:rFonts w:ascii="宋体" w:hAnsi="宋体" w:cs="宋体"/>
          <w:sz w:val="21"/>
          <w:szCs w:val="21"/>
        </w:rPr>
      </w:pPr>
      <w:r>
        <w:rPr>
          <w:rFonts w:hint="eastAsia" w:ascii="宋体" w:hAnsi="宋体" w:cs="宋体"/>
          <w:sz w:val="21"/>
          <w:szCs w:val="21"/>
        </w:rPr>
        <w:t>4、可附相关技术支撑材料。（格式自定）</w:t>
      </w:r>
    </w:p>
    <w:p w14:paraId="59994896">
      <w:pPr>
        <w:tabs>
          <w:tab w:val="left" w:pos="6300"/>
        </w:tabs>
        <w:snapToGrid w:val="0"/>
        <w:spacing w:line="312" w:lineRule="auto"/>
        <w:ind w:firstLine="420" w:firstLineChars="200"/>
        <w:rPr>
          <w:rFonts w:ascii="宋体" w:hAnsi="宋体" w:cs="宋体"/>
          <w:sz w:val="21"/>
          <w:szCs w:val="21"/>
        </w:rPr>
      </w:pPr>
      <w:r>
        <w:rPr>
          <w:rFonts w:hint="eastAsia" w:ascii="宋体" w:hAnsi="宋体" w:cs="宋体"/>
          <w:sz w:val="21"/>
          <w:szCs w:val="21"/>
        </w:rPr>
        <w:t>5、若“响应情况”栏中仅填写“无偏离”或“有偏离”等内容而未作实质性参数描述，该供应商将失去成为成交供应商的资格，仅保留其合格供应商的身份。</w:t>
      </w:r>
    </w:p>
    <w:p w14:paraId="4438DF7C">
      <w:pPr>
        <w:tabs>
          <w:tab w:val="left" w:pos="6300"/>
        </w:tabs>
        <w:snapToGrid w:val="0"/>
        <w:spacing w:line="312" w:lineRule="auto"/>
        <w:ind w:firstLine="480" w:firstLineChars="200"/>
        <w:rPr>
          <w:rFonts w:ascii="宋体" w:hAnsi="宋体" w:cs="宋体"/>
          <w:sz w:val="24"/>
          <w:szCs w:val="24"/>
        </w:rPr>
      </w:pPr>
    </w:p>
    <w:p w14:paraId="2BF8B385">
      <w:pPr>
        <w:pStyle w:val="5"/>
        <w:spacing w:before="0" w:after="0" w:line="312" w:lineRule="auto"/>
        <w:rPr>
          <w:rFonts w:ascii="宋体" w:hAnsi="宋体" w:cs="宋体"/>
          <w:sz w:val="24"/>
          <w:szCs w:val="24"/>
        </w:rPr>
      </w:pPr>
      <w:r>
        <w:rPr>
          <w:rFonts w:hint="eastAsia" w:ascii="宋体" w:hAnsi="宋体" w:cs="宋体"/>
          <w:b/>
        </w:rPr>
        <w:br w:type="page"/>
      </w:r>
      <w:bookmarkStart w:id="126" w:name="_Toc5445"/>
      <w:bookmarkStart w:id="127" w:name="_Toc342913421"/>
      <w:bookmarkStart w:id="128" w:name="_Toc313888362"/>
      <w:bookmarkStart w:id="129" w:name="_Toc26096"/>
      <w:bookmarkStart w:id="130" w:name="_Toc313008358"/>
      <w:bookmarkStart w:id="131" w:name="_Toc9361"/>
      <w:r>
        <w:rPr>
          <w:rFonts w:hint="eastAsia" w:ascii="宋体" w:hAnsi="宋体" w:cs="宋体"/>
          <w:sz w:val="24"/>
          <w:szCs w:val="24"/>
        </w:rPr>
        <w:t>三、商务部分</w:t>
      </w:r>
      <w:bookmarkEnd w:id="126"/>
      <w:bookmarkEnd w:id="127"/>
      <w:bookmarkEnd w:id="128"/>
      <w:bookmarkEnd w:id="129"/>
      <w:bookmarkEnd w:id="130"/>
      <w:bookmarkEnd w:id="131"/>
    </w:p>
    <w:p w14:paraId="7CAEC206">
      <w:pPr>
        <w:snapToGrid w:val="0"/>
        <w:spacing w:line="360" w:lineRule="auto"/>
        <w:jc w:val="center"/>
        <w:rPr>
          <w:rFonts w:ascii="宋体" w:hAnsi="宋体" w:cs="宋体"/>
          <w:b/>
          <w:szCs w:val="28"/>
        </w:rPr>
      </w:pPr>
      <w:bookmarkStart w:id="132" w:name="_Toc283382459"/>
      <w:r>
        <w:rPr>
          <w:rFonts w:hint="eastAsia" w:ascii="宋体" w:hAnsi="宋体" w:cs="宋体"/>
          <w:b/>
          <w:szCs w:val="28"/>
        </w:rPr>
        <w:t>（一）商务响应偏离表</w:t>
      </w:r>
    </w:p>
    <w:p w14:paraId="5CAF73D3">
      <w:pPr>
        <w:snapToGrid w:val="0"/>
        <w:spacing w:line="360" w:lineRule="auto"/>
        <w:ind w:firstLine="465"/>
        <w:rPr>
          <w:rFonts w:ascii="宋体" w:hAnsi="宋体" w:cs="宋体"/>
          <w:sz w:val="21"/>
          <w:szCs w:val="21"/>
        </w:rPr>
      </w:pPr>
      <w:r>
        <w:rPr>
          <w:rFonts w:hint="eastAsia" w:ascii="宋体" w:hAnsi="宋体" w:cs="宋体"/>
          <w:sz w:val="21"/>
          <w:szCs w:val="21"/>
        </w:rPr>
        <w:t>对于谈判文件的商务要求，如有任何偏离请如实填写下表：</w:t>
      </w:r>
    </w:p>
    <w:tbl>
      <w:tblPr>
        <w:tblStyle w:val="58"/>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14:paraId="4034B1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0"/>
            <w:vAlign w:val="center"/>
          </w:tcPr>
          <w:p w14:paraId="06FD2208">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序号</w:t>
            </w:r>
          </w:p>
        </w:tc>
        <w:tc>
          <w:tcPr>
            <w:tcW w:w="3179" w:type="dxa"/>
            <w:noWrap w:val="0"/>
            <w:vAlign w:val="center"/>
          </w:tcPr>
          <w:p w14:paraId="60284596">
            <w:pPr>
              <w:tabs>
                <w:tab w:val="left" w:pos="6300"/>
              </w:tabs>
              <w:snapToGrid w:val="0"/>
              <w:spacing w:line="360" w:lineRule="auto"/>
              <w:jc w:val="center"/>
              <w:outlineLvl w:val="0"/>
              <w:rPr>
                <w:rFonts w:ascii="宋体" w:hAnsi="宋体" w:cs="宋体"/>
                <w:sz w:val="21"/>
                <w:szCs w:val="24"/>
              </w:rPr>
            </w:pPr>
            <w:r>
              <w:rPr>
                <w:rFonts w:ascii="宋体" w:hAnsi="宋体" w:cs="宋体"/>
                <w:sz w:val="21"/>
                <w:szCs w:val="24"/>
              </w:rPr>
              <w:t>谈判</w:t>
            </w:r>
            <w:r>
              <w:rPr>
                <w:rFonts w:hint="eastAsia" w:ascii="宋体" w:hAnsi="宋体" w:cs="宋体"/>
                <w:sz w:val="21"/>
                <w:szCs w:val="24"/>
              </w:rPr>
              <w:t>项目需求</w:t>
            </w:r>
          </w:p>
        </w:tc>
        <w:tc>
          <w:tcPr>
            <w:tcW w:w="2434" w:type="dxa"/>
            <w:noWrap w:val="0"/>
            <w:vAlign w:val="center"/>
          </w:tcPr>
          <w:p w14:paraId="24AB2D6B">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响应情况</w:t>
            </w:r>
          </w:p>
        </w:tc>
        <w:tc>
          <w:tcPr>
            <w:tcW w:w="2355" w:type="dxa"/>
            <w:noWrap w:val="0"/>
            <w:vAlign w:val="center"/>
          </w:tcPr>
          <w:p w14:paraId="5FFEC649">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偏离说明</w:t>
            </w:r>
          </w:p>
        </w:tc>
      </w:tr>
      <w:tr w14:paraId="34E7C1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14:paraId="3929DC46">
            <w:pPr>
              <w:tabs>
                <w:tab w:val="left" w:pos="6300"/>
              </w:tabs>
              <w:snapToGrid w:val="0"/>
              <w:spacing w:line="360" w:lineRule="auto"/>
              <w:jc w:val="center"/>
              <w:outlineLvl w:val="0"/>
              <w:rPr>
                <w:rFonts w:ascii="宋体" w:hAnsi="宋体" w:cs="宋体"/>
                <w:sz w:val="21"/>
                <w:szCs w:val="24"/>
              </w:rPr>
            </w:pPr>
          </w:p>
        </w:tc>
        <w:tc>
          <w:tcPr>
            <w:tcW w:w="3179" w:type="dxa"/>
            <w:noWrap w:val="0"/>
            <w:vAlign w:val="center"/>
          </w:tcPr>
          <w:p w14:paraId="7BB5A3BE">
            <w:pPr>
              <w:tabs>
                <w:tab w:val="left" w:pos="6300"/>
              </w:tabs>
              <w:snapToGrid w:val="0"/>
              <w:spacing w:line="360" w:lineRule="auto"/>
              <w:jc w:val="center"/>
              <w:outlineLvl w:val="0"/>
              <w:rPr>
                <w:rFonts w:ascii="宋体" w:hAnsi="宋体" w:cs="宋体"/>
                <w:sz w:val="21"/>
                <w:szCs w:val="24"/>
              </w:rPr>
            </w:pPr>
          </w:p>
        </w:tc>
        <w:tc>
          <w:tcPr>
            <w:tcW w:w="2434" w:type="dxa"/>
            <w:noWrap w:val="0"/>
            <w:vAlign w:val="center"/>
          </w:tcPr>
          <w:p w14:paraId="7257ECC8">
            <w:pPr>
              <w:tabs>
                <w:tab w:val="left" w:pos="6300"/>
              </w:tabs>
              <w:snapToGrid w:val="0"/>
              <w:spacing w:line="360" w:lineRule="auto"/>
              <w:jc w:val="center"/>
              <w:outlineLvl w:val="0"/>
              <w:rPr>
                <w:rFonts w:ascii="宋体" w:hAnsi="宋体" w:cs="宋体"/>
                <w:sz w:val="21"/>
                <w:szCs w:val="24"/>
              </w:rPr>
            </w:pPr>
          </w:p>
        </w:tc>
        <w:tc>
          <w:tcPr>
            <w:tcW w:w="2355" w:type="dxa"/>
            <w:noWrap w:val="0"/>
            <w:vAlign w:val="center"/>
          </w:tcPr>
          <w:p w14:paraId="08451B56">
            <w:pPr>
              <w:tabs>
                <w:tab w:val="left" w:pos="6300"/>
              </w:tabs>
              <w:snapToGrid w:val="0"/>
              <w:spacing w:line="360" w:lineRule="auto"/>
              <w:jc w:val="center"/>
              <w:outlineLvl w:val="0"/>
              <w:rPr>
                <w:rFonts w:ascii="宋体" w:hAnsi="宋体" w:cs="宋体"/>
                <w:sz w:val="21"/>
                <w:szCs w:val="24"/>
              </w:rPr>
            </w:pPr>
          </w:p>
        </w:tc>
      </w:tr>
      <w:tr w14:paraId="6F618C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14:paraId="50258787">
            <w:pPr>
              <w:tabs>
                <w:tab w:val="left" w:pos="6300"/>
              </w:tabs>
              <w:snapToGrid w:val="0"/>
              <w:spacing w:line="360" w:lineRule="auto"/>
              <w:jc w:val="center"/>
              <w:outlineLvl w:val="0"/>
              <w:rPr>
                <w:rFonts w:ascii="宋体" w:hAnsi="宋体" w:cs="宋体"/>
                <w:sz w:val="21"/>
                <w:szCs w:val="24"/>
              </w:rPr>
            </w:pPr>
          </w:p>
        </w:tc>
        <w:tc>
          <w:tcPr>
            <w:tcW w:w="3179" w:type="dxa"/>
            <w:noWrap w:val="0"/>
            <w:vAlign w:val="center"/>
          </w:tcPr>
          <w:p w14:paraId="6987A3EA">
            <w:pPr>
              <w:tabs>
                <w:tab w:val="left" w:pos="6300"/>
              </w:tabs>
              <w:snapToGrid w:val="0"/>
              <w:spacing w:line="360" w:lineRule="auto"/>
              <w:jc w:val="center"/>
              <w:outlineLvl w:val="0"/>
              <w:rPr>
                <w:rFonts w:ascii="宋体" w:hAnsi="宋体" w:cs="宋体"/>
                <w:sz w:val="21"/>
                <w:szCs w:val="24"/>
              </w:rPr>
            </w:pPr>
          </w:p>
        </w:tc>
        <w:tc>
          <w:tcPr>
            <w:tcW w:w="2434" w:type="dxa"/>
            <w:noWrap w:val="0"/>
            <w:vAlign w:val="center"/>
          </w:tcPr>
          <w:p w14:paraId="0DF68804">
            <w:pPr>
              <w:tabs>
                <w:tab w:val="left" w:pos="6300"/>
              </w:tabs>
              <w:snapToGrid w:val="0"/>
              <w:spacing w:line="360" w:lineRule="auto"/>
              <w:jc w:val="center"/>
              <w:outlineLvl w:val="0"/>
              <w:rPr>
                <w:rFonts w:ascii="宋体" w:hAnsi="宋体" w:cs="宋体"/>
                <w:sz w:val="21"/>
                <w:szCs w:val="24"/>
              </w:rPr>
            </w:pPr>
          </w:p>
        </w:tc>
        <w:tc>
          <w:tcPr>
            <w:tcW w:w="2355" w:type="dxa"/>
            <w:noWrap w:val="0"/>
            <w:vAlign w:val="center"/>
          </w:tcPr>
          <w:p w14:paraId="6099CA91">
            <w:pPr>
              <w:tabs>
                <w:tab w:val="left" w:pos="6300"/>
              </w:tabs>
              <w:snapToGrid w:val="0"/>
              <w:spacing w:line="360" w:lineRule="auto"/>
              <w:jc w:val="center"/>
              <w:outlineLvl w:val="0"/>
              <w:rPr>
                <w:rFonts w:ascii="宋体" w:hAnsi="宋体" w:cs="宋体"/>
                <w:sz w:val="21"/>
                <w:szCs w:val="24"/>
              </w:rPr>
            </w:pPr>
          </w:p>
        </w:tc>
      </w:tr>
      <w:tr w14:paraId="6F86FC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14:paraId="0D56C51B">
            <w:pPr>
              <w:tabs>
                <w:tab w:val="left" w:pos="6300"/>
              </w:tabs>
              <w:snapToGrid w:val="0"/>
              <w:spacing w:line="360" w:lineRule="auto"/>
              <w:jc w:val="center"/>
              <w:outlineLvl w:val="0"/>
              <w:rPr>
                <w:rFonts w:ascii="宋体" w:hAnsi="宋体" w:cs="宋体"/>
                <w:sz w:val="21"/>
                <w:szCs w:val="24"/>
              </w:rPr>
            </w:pPr>
          </w:p>
        </w:tc>
        <w:tc>
          <w:tcPr>
            <w:tcW w:w="3179" w:type="dxa"/>
            <w:noWrap w:val="0"/>
            <w:vAlign w:val="center"/>
          </w:tcPr>
          <w:p w14:paraId="4E4BC75D">
            <w:pPr>
              <w:tabs>
                <w:tab w:val="left" w:pos="6300"/>
              </w:tabs>
              <w:snapToGrid w:val="0"/>
              <w:spacing w:line="360" w:lineRule="auto"/>
              <w:jc w:val="center"/>
              <w:outlineLvl w:val="0"/>
              <w:rPr>
                <w:rFonts w:ascii="宋体" w:hAnsi="宋体" w:cs="宋体"/>
                <w:sz w:val="21"/>
                <w:szCs w:val="24"/>
              </w:rPr>
            </w:pPr>
          </w:p>
        </w:tc>
        <w:tc>
          <w:tcPr>
            <w:tcW w:w="2434" w:type="dxa"/>
            <w:noWrap w:val="0"/>
            <w:vAlign w:val="center"/>
          </w:tcPr>
          <w:p w14:paraId="6E8B2E62">
            <w:pPr>
              <w:tabs>
                <w:tab w:val="left" w:pos="6300"/>
              </w:tabs>
              <w:snapToGrid w:val="0"/>
              <w:spacing w:line="360" w:lineRule="auto"/>
              <w:jc w:val="center"/>
              <w:outlineLvl w:val="0"/>
              <w:rPr>
                <w:rFonts w:ascii="宋体" w:hAnsi="宋体" w:cs="宋体"/>
                <w:sz w:val="21"/>
                <w:szCs w:val="24"/>
              </w:rPr>
            </w:pPr>
          </w:p>
        </w:tc>
        <w:tc>
          <w:tcPr>
            <w:tcW w:w="2355" w:type="dxa"/>
            <w:noWrap w:val="0"/>
            <w:vAlign w:val="center"/>
          </w:tcPr>
          <w:p w14:paraId="362ECEFC">
            <w:pPr>
              <w:tabs>
                <w:tab w:val="left" w:pos="6300"/>
              </w:tabs>
              <w:snapToGrid w:val="0"/>
              <w:spacing w:line="360" w:lineRule="auto"/>
              <w:jc w:val="center"/>
              <w:outlineLvl w:val="0"/>
              <w:rPr>
                <w:rFonts w:ascii="宋体" w:hAnsi="宋体" w:cs="宋体"/>
                <w:sz w:val="21"/>
                <w:szCs w:val="24"/>
              </w:rPr>
            </w:pPr>
          </w:p>
        </w:tc>
      </w:tr>
      <w:tr w14:paraId="43BE00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14:paraId="5DAFC0CB">
            <w:pPr>
              <w:tabs>
                <w:tab w:val="left" w:pos="6300"/>
              </w:tabs>
              <w:snapToGrid w:val="0"/>
              <w:spacing w:line="360" w:lineRule="auto"/>
              <w:jc w:val="center"/>
              <w:outlineLvl w:val="0"/>
              <w:rPr>
                <w:rFonts w:ascii="宋体" w:hAnsi="宋体" w:cs="宋体"/>
                <w:sz w:val="21"/>
                <w:szCs w:val="24"/>
              </w:rPr>
            </w:pPr>
          </w:p>
        </w:tc>
        <w:tc>
          <w:tcPr>
            <w:tcW w:w="3179" w:type="dxa"/>
            <w:noWrap w:val="0"/>
            <w:vAlign w:val="center"/>
          </w:tcPr>
          <w:p w14:paraId="14D22A31">
            <w:pPr>
              <w:tabs>
                <w:tab w:val="left" w:pos="6300"/>
              </w:tabs>
              <w:snapToGrid w:val="0"/>
              <w:spacing w:line="360" w:lineRule="auto"/>
              <w:jc w:val="center"/>
              <w:outlineLvl w:val="0"/>
              <w:rPr>
                <w:rFonts w:ascii="宋体" w:hAnsi="宋体" w:cs="宋体"/>
                <w:sz w:val="21"/>
                <w:szCs w:val="24"/>
              </w:rPr>
            </w:pPr>
          </w:p>
        </w:tc>
        <w:tc>
          <w:tcPr>
            <w:tcW w:w="2434" w:type="dxa"/>
            <w:noWrap w:val="0"/>
            <w:vAlign w:val="center"/>
          </w:tcPr>
          <w:p w14:paraId="5369827C">
            <w:pPr>
              <w:tabs>
                <w:tab w:val="left" w:pos="6300"/>
              </w:tabs>
              <w:snapToGrid w:val="0"/>
              <w:spacing w:line="360" w:lineRule="auto"/>
              <w:jc w:val="center"/>
              <w:outlineLvl w:val="0"/>
              <w:rPr>
                <w:rFonts w:ascii="宋体" w:hAnsi="宋体" w:cs="宋体"/>
                <w:sz w:val="21"/>
                <w:szCs w:val="24"/>
              </w:rPr>
            </w:pPr>
          </w:p>
        </w:tc>
        <w:tc>
          <w:tcPr>
            <w:tcW w:w="2355" w:type="dxa"/>
            <w:noWrap w:val="0"/>
            <w:vAlign w:val="center"/>
          </w:tcPr>
          <w:p w14:paraId="629DA94E">
            <w:pPr>
              <w:tabs>
                <w:tab w:val="left" w:pos="6300"/>
              </w:tabs>
              <w:snapToGrid w:val="0"/>
              <w:spacing w:line="360" w:lineRule="auto"/>
              <w:jc w:val="center"/>
              <w:outlineLvl w:val="0"/>
              <w:rPr>
                <w:rFonts w:ascii="宋体" w:hAnsi="宋体" w:cs="宋体"/>
                <w:sz w:val="21"/>
                <w:szCs w:val="24"/>
              </w:rPr>
            </w:pPr>
          </w:p>
        </w:tc>
      </w:tr>
      <w:tr w14:paraId="51B72A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14:paraId="32F29CD4">
            <w:pPr>
              <w:tabs>
                <w:tab w:val="left" w:pos="6300"/>
              </w:tabs>
              <w:snapToGrid w:val="0"/>
              <w:spacing w:line="360" w:lineRule="auto"/>
              <w:jc w:val="center"/>
              <w:outlineLvl w:val="0"/>
              <w:rPr>
                <w:rFonts w:ascii="宋体" w:hAnsi="宋体" w:cs="宋体"/>
                <w:sz w:val="21"/>
                <w:szCs w:val="24"/>
              </w:rPr>
            </w:pPr>
          </w:p>
        </w:tc>
        <w:tc>
          <w:tcPr>
            <w:tcW w:w="3179" w:type="dxa"/>
            <w:noWrap w:val="0"/>
            <w:vAlign w:val="center"/>
          </w:tcPr>
          <w:p w14:paraId="3FCA9134">
            <w:pPr>
              <w:tabs>
                <w:tab w:val="left" w:pos="6300"/>
              </w:tabs>
              <w:snapToGrid w:val="0"/>
              <w:spacing w:line="360" w:lineRule="auto"/>
              <w:jc w:val="center"/>
              <w:outlineLvl w:val="0"/>
              <w:rPr>
                <w:rFonts w:ascii="宋体" w:hAnsi="宋体" w:cs="宋体"/>
                <w:sz w:val="21"/>
                <w:szCs w:val="24"/>
              </w:rPr>
            </w:pPr>
          </w:p>
        </w:tc>
        <w:tc>
          <w:tcPr>
            <w:tcW w:w="2434" w:type="dxa"/>
            <w:noWrap w:val="0"/>
            <w:vAlign w:val="center"/>
          </w:tcPr>
          <w:p w14:paraId="3AD9125E">
            <w:pPr>
              <w:tabs>
                <w:tab w:val="left" w:pos="6300"/>
              </w:tabs>
              <w:snapToGrid w:val="0"/>
              <w:spacing w:line="360" w:lineRule="auto"/>
              <w:jc w:val="center"/>
              <w:outlineLvl w:val="0"/>
              <w:rPr>
                <w:rFonts w:ascii="宋体" w:hAnsi="宋体" w:cs="宋体"/>
                <w:sz w:val="21"/>
                <w:szCs w:val="24"/>
              </w:rPr>
            </w:pPr>
          </w:p>
        </w:tc>
        <w:tc>
          <w:tcPr>
            <w:tcW w:w="2355" w:type="dxa"/>
            <w:noWrap w:val="0"/>
            <w:vAlign w:val="center"/>
          </w:tcPr>
          <w:p w14:paraId="1C414191">
            <w:pPr>
              <w:tabs>
                <w:tab w:val="left" w:pos="6300"/>
              </w:tabs>
              <w:snapToGrid w:val="0"/>
              <w:spacing w:line="360" w:lineRule="auto"/>
              <w:jc w:val="center"/>
              <w:outlineLvl w:val="0"/>
              <w:rPr>
                <w:rFonts w:ascii="宋体" w:hAnsi="宋体" w:cs="宋体"/>
                <w:sz w:val="21"/>
                <w:szCs w:val="24"/>
              </w:rPr>
            </w:pPr>
          </w:p>
        </w:tc>
      </w:tr>
      <w:tr w14:paraId="138D74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14:paraId="178AA81B">
            <w:pPr>
              <w:tabs>
                <w:tab w:val="left" w:pos="6300"/>
              </w:tabs>
              <w:snapToGrid w:val="0"/>
              <w:spacing w:line="360" w:lineRule="auto"/>
              <w:jc w:val="center"/>
              <w:outlineLvl w:val="0"/>
              <w:rPr>
                <w:rFonts w:ascii="宋体" w:hAnsi="宋体" w:cs="宋体"/>
                <w:sz w:val="21"/>
                <w:szCs w:val="24"/>
              </w:rPr>
            </w:pPr>
          </w:p>
        </w:tc>
        <w:tc>
          <w:tcPr>
            <w:tcW w:w="3179" w:type="dxa"/>
            <w:noWrap w:val="0"/>
            <w:vAlign w:val="center"/>
          </w:tcPr>
          <w:p w14:paraId="40BD43CC">
            <w:pPr>
              <w:tabs>
                <w:tab w:val="left" w:pos="6300"/>
              </w:tabs>
              <w:snapToGrid w:val="0"/>
              <w:spacing w:line="360" w:lineRule="auto"/>
              <w:jc w:val="center"/>
              <w:outlineLvl w:val="0"/>
              <w:rPr>
                <w:rFonts w:ascii="宋体" w:hAnsi="宋体" w:cs="宋体"/>
                <w:sz w:val="21"/>
                <w:szCs w:val="24"/>
              </w:rPr>
            </w:pPr>
          </w:p>
        </w:tc>
        <w:tc>
          <w:tcPr>
            <w:tcW w:w="2434" w:type="dxa"/>
            <w:noWrap w:val="0"/>
            <w:vAlign w:val="center"/>
          </w:tcPr>
          <w:p w14:paraId="37B4F7B3">
            <w:pPr>
              <w:tabs>
                <w:tab w:val="left" w:pos="6300"/>
              </w:tabs>
              <w:snapToGrid w:val="0"/>
              <w:spacing w:line="360" w:lineRule="auto"/>
              <w:jc w:val="center"/>
              <w:outlineLvl w:val="0"/>
              <w:rPr>
                <w:rFonts w:ascii="宋体" w:hAnsi="宋体" w:cs="宋体"/>
                <w:sz w:val="21"/>
                <w:szCs w:val="24"/>
              </w:rPr>
            </w:pPr>
          </w:p>
        </w:tc>
        <w:tc>
          <w:tcPr>
            <w:tcW w:w="2355" w:type="dxa"/>
            <w:noWrap w:val="0"/>
            <w:vAlign w:val="center"/>
          </w:tcPr>
          <w:p w14:paraId="55887B57">
            <w:pPr>
              <w:tabs>
                <w:tab w:val="left" w:pos="6300"/>
              </w:tabs>
              <w:snapToGrid w:val="0"/>
              <w:spacing w:line="360" w:lineRule="auto"/>
              <w:jc w:val="center"/>
              <w:outlineLvl w:val="0"/>
              <w:rPr>
                <w:rFonts w:ascii="宋体" w:hAnsi="宋体" w:cs="宋体"/>
                <w:sz w:val="21"/>
                <w:szCs w:val="24"/>
              </w:rPr>
            </w:pPr>
          </w:p>
        </w:tc>
      </w:tr>
    </w:tbl>
    <w:p w14:paraId="313C149D">
      <w:pPr>
        <w:snapToGrid w:val="0"/>
        <w:spacing w:line="360" w:lineRule="auto"/>
        <w:ind w:firstLine="465"/>
        <w:rPr>
          <w:rFonts w:ascii="宋体" w:hAnsi="宋体" w:cs="宋体"/>
          <w:sz w:val="24"/>
          <w:szCs w:val="24"/>
        </w:rPr>
      </w:pPr>
    </w:p>
    <w:p w14:paraId="60BAB7E9">
      <w:pPr>
        <w:spacing w:line="360" w:lineRule="auto"/>
        <w:ind w:firstLine="600" w:firstLineChars="250"/>
        <w:rPr>
          <w:rFonts w:ascii="宋体" w:hAnsi="宋体" w:cs="宋体"/>
          <w:sz w:val="24"/>
          <w:szCs w:val="28"/>
        </w:rPr>
      </w:pPr>
      <w:r>
        <w:rPr>
          <w:rFonts w:hint="eastAsia" w:ascii="宋体" w:hAnsi="宋体" w:cs="宋体"/>
          <w:sz w:val="24"/>
          <w:szCs w:val="28"/>
        </w:rPr>
        <w:t>供应商：                                      法人授权代表：</w:t>
      </w:r>
    </w:p>
    <w:p w14:paraId="1F2B2EAA">
      <w:pPr>
        <w:spacing w:line="360" w:lineRule="auto"/>
        <w:rPr>
          <w:rFonts w:ascii="宋体" w:hAnsi="宋体" w:cs="宋体"/>
          <w:sz w:val="24"/>
          <w:szCs w:val="28"/>
        </w:rPr>
      </w:pPr>
      <w:r>
        <w:rPr>
          <w:rFonts w:hint="eastAsia" w:ascii="宋体" w:hAnsi="宋体" w:cs="宋体"/>
          <w:sz w:val="24"/>
          <w:szCs w:val="28"/>
        </w:rPr>
        <w:t xml:space="preserve">    </w:t>
      </w:r>
    </w:p>
    <w:p w14:paraId="1FDD5BD7">
      <w:pPr>
        <w:spacing w:line="360" w:lineRule="auto"/>
        <w:ind w:firstLine="360" w:firstLineChars="150"/>
        <w:rPr>
          <w:rFonts w:ascii="宋体" w:hAnsi="宋体" w:cs="宋体"/>
          <w:sz w:val="24"/>
          <w:szCs w:val="28"/>
        </w:rPr>
      </w:pPr>
      <w:r>
        <w:rPr>
          <w:rFonts w:hint="eastAsia" w:ascii="宋体" w:hAnsi="宋体" w:cs="宋体"/>
          <w:sz w:val="24"/>
          <w:szCs w:val="28"/>
        </w:rPr>
        <w:t>（供应商公章）                                 （签字或盖章）</w:t>
      </w:r>
    </w:p>
    <w:p w14:paraId="2D3215AF">
      <w:pPr>
        <w:tabs>
          <w:tab w:val="left" w:pos="6300"/>
        </w:tabs>
        <w:snapToGrid w:val="0"/>
        <w:spacing w:line="360" w:lineRule="auto"/>
        <w:ind w:firstLine="570"/>
        <w:rPr>
          <w:rFonts w:ascii="宋体" w:hAnsi="宋体" w:cs="宋体"/>
          <w:sz w:val="24"/>
        </w:rPr>
      </w:pPr>
      <w:r>
        <w:rPr>
          <w:rFonts w:hint="eastAsia" w:ascii="宋体" w:hAnsi="宋体" w:cs="宋体"/>
          <w:sz w:val="24"/>
          <w:szCs w:val="28"/>
        </w:rPr>
        <w:t xml:space="preserve">                                            年     月     日</w:t>
      </w:r>
    </w:p>
    <w:p w14:paraId="40A74DD8">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注：</w:t>
      </w:r>
    </w:p>
    <w:p w14:paraId="5FDD80CB">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1、本表即为对本项目“第三篇 采购商务需求”中所列服务要求进行比较和响应；</w:t>
      </w:r>
    </w:p>
    <w:p w14:paraId="57CCD247">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2、该表必须按照</w:t>
      </w:r>
      <w:r>
        <w:rPr>
          <w:rFonts w:ascii="宋体" w:hAnsi="宋体" w:cs="宋体"/>
          <w:sz w:val="21"/>
          <w:szCs w:val="21"/>
        </w:rPr>
        <w:t>谈判采购</w:t>
      </w:r>
      <w:r>
        <w:rPr>
          <w:rFonts w:hint="eastAsia" w:ascii="宋体" w:hAnsi="宋体" w:cs="宋体"/>
          <w:sz w:val="21"/>
          <w:szCs w:val="21"/>
        </w:rPr>
        <w:t>要求逐条如实填写，根据响应情况在“差异说明”项填写正偏离或负偏离及原因，完全符合的填写“无差异”；</w:t>
      </w:r>
    </w:p>
    <w:p w14:paraId="29BD05A8">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3、该表可扩展，并逐页签字或盖章；</w:t>
      </w:r>
    </w:p>
    <w:p w14:paraId="183FF336">
      <w:pPr>
        <w:spacing w:line="312" w:lineRule="auto"/>
        <w:rPr>
          <w:rFonts w:ascii="宋体" w:hAnsi="宋体" w:cs="宋体"/>
          <w:sz w:val="24"/>
          <w:szCs w:val="24"/>
        </w:rPr>
      </w:pPr>
    </w:p>
    <w:p w14:paraId="3AC90E5E">
      <w:pPr>
        <w:spacing w:line="312" w:lineRule="auto"/>
        <w:ind w:firstLine="600" w:firstLineChars="250"/>
        <w:rPr>
          <w:rFonts w:ascii="宋体" w:hAnsi="宋体" w:cs="宋体"/>
          <w:sz w:val="24"/>
          <w:szCs w:val="24"/>
        </w:rPr>
      </w:pPr>
    </w:p>
    <w:p w14:paraId="5FB4FBAB">
      <w:pPr>
        <w:spacing w:line="312" w:lineRule="auto"/>
        <w:jc w:val="center"/>
        <w:rPr>
          <w:rFonts w:ascii="宋体" w:hAnsi="宋体" w:cs="宋体"/>
          <w:sz w:val="24"/>
          <w:szCs w:val="24"/>
        </w:rPr>
      </w:pPr>
      <w:r>
        <w:rPr>
          <w:rFonts w:hint="eastAsia" w:ascii="宋体" w:hAnsi="宋体" w:cs="宋体"/>
          <w:sz w:val="24"/>
          <w:szCs w:val="24"/>
        </w:rPr>
        <w:br w:type="page"/>
      </w:r>
      <w:r>
        <w:rPr>
          <w:rFonts w:hint="eastAsia" w:ascii="宋体" w:hAnsi="宋体" w:cs="宋体"/>
          <w:b/>
          <w:szCs w:val="28"/>
        </w:rPr>
        <w:t>（二）其他商务承诺</w:t>
      </w:r>
    </w:p>
    <w:p w14:paraId="49A347AA">
      <w:pPr>
        <w:pStyle w:val="5"/>
        <w:spacing w:before="0" w:after="0" w:line="312" w:lineRule="auto"/>
        <w:rPr>
          <w:rFonts w:ascii="宋体" w:hAnsi="宋体" w:cs="宋体"/>
        </w:rPr>
      </w:pPr>
      <w:r>
        <w:rPr>
          <w:rFonts w:hint="eastAsia" w:ascii="宋体" w:hAnsi="宋体" w:cs="宋体"/>
          <w:sz w:val="24"/>
          <w:szCs w:val="24"/>
        </w:rPr>
        <w:br w:type="page"/>
      </w:r>
      <w:bookmarkEnd w:id="132"/>
      <w:bookmarkStart w:id="133" w:name="_Toc313008359"/>
      <w:bookmarkStart w:id="134" w:name="_Toc313888363"/>
      <w:bookmarkStart w:id="135" w:name="_Toc8477"/>
      <w:bookmarkStart w:id="136" w:name="_Toc13012"/>
      <w:bookmarkStart w:id="137" w:name="_Toc342913422"/>
      <w:bookmarkStart w:id="138" w:name="_Toc5971"/>
      <w:r>
        <w:rPr>
          <w:rFonts w:hint="eastAsia" w:ascii="宋体" w:hAnsi="宋体" w:cs="宋体"/>
          <w:sz w:val="24"/>
          <w:szCs w:val="24"/>
        </w:rPr>
        <w:t>四、资格条件及其他</w:t>
      </w:r>
      <w:bookmarkEnd w:id="133"/>
      <w:bookmarkEnd w:id="134"/>
      <w:bookmarkEnd w:id="135"/>
      <w:bookmarkEnd w:id="136"/>
      <w:bookmarkEnd w:id="137"/>
      <w:bookmarkEnd w:id="138"/>
    </w:p>
    <w:p w14:paraId="1D2B0D64">
      <w:pPr>
        <w:pStyle w:val="31"/>
        <w:snapToGrid w:val="0"/>
        <w:spacing w:before="120" w:after="120" w:line="360" w:lineRule="auto"/>
        <w:ind w:firstLine="420" w:firstLineChars="200"/>
        <w:rPr>
          <w:rFonts w:hint="eastAsia" w:hAnsi="宋体"/>
          <w:szCs w:val="21"/>
        </w:rPr>
      </w:pPr>
      <w:r>
        <w:rPr>
          <w:rFonts w:hint="eastAsia" w:hAnsi="宋体"/>
          <w:szCs w:val="21"/>
        </w:rPr>
        <w:t>（一）供应商法人营业执照（副本）或事业单位法人证书（副本）（复印件加盖公章）</w:t>
      </w:r>
    </w:p>
    <w:p w14:paraId="74CA0CBD">
      <w:pPr>
        <w:pStyle w:val="31"/>
        <w:snapToGrid w:val="0"/>
        <w:spacing w:before="120" w:after="120" w:line="360" w:lineRule="auto"/>
        <w:ind w:firstLine="420" w:firstLineChars="200"/>
        <w:rPr>
          <w:rFonts w:hint="eastAsia" w:hAnsi="宋体"/>
          <w:szCs w:val="21"/>
        </w:rPr>
      </w:pPr>
    </w:p>
    <w:p w14:paraId="102D61E1">
      <w:pPr>
        <w:pStyle w:val="31"/>
        <w:snapToGrid w:val="0"/>
        <w:spacing w:before="120" w:after="120" w:line="360" w:lineRule="auto"/>
        <w:ind w:firstLine="420" w:firstLineChars="200"/>
        <w:rPr>
          <w:rFonts w:hint="eastAsia" w:hAnsi="宋体"/>
          <w:szCs w:val="21"/>
        </w:rPr>
      </w:pPr>
    </w:p>
    <w:p w14:paraId="66CDE8C3">
      <w:pPr>
        <w:pStyle w:val="31"/>
        <w:snapToGrid w:val="0"/>
        <w:spacing w:before="120" w:after="120" w:line="360" w:lineRule="auto"/>
        <w:ind w:firstLine="420" w:firstLineChars="200"/>
        <w:rPr>
          <w:rFonts w:hint="eastAsia" w:hAnsi="宋体"/>
          <w:szCs w:val="21"/>
        </w:rPr>
      </w:pPr>
    </w:p>
    <w:p w14:paraId="19DF92EC">
      <w:pPr>
        <w:pStyle w:val="31"/>
        <w:snapToGrid w:val="0"/>
        <w:spacing w:before="120" w:after="120" w:line="360" w:lineRule="auto"/>
        <w:ind w:firstLine="420" w:firstLineChars="200"/>
        <w:rPr>
          <w:rFonts w:hint="eastAsia" w:hAnsi="宋体"/>
          <w:szCs w:val="21"/>
        </w:rPr>
      </w:pPr>
    </w:p>
    <w:p w14:paraId="5C64E575">
      <w:pPr>
        <w:pStyle w:val="31"/>
        <w:snapToGrid w:val="0"/>
        <w:spacing w:before="120" w:after="120" w:line="360" w:lineRule="auto"/>
        <w:ind w:firstLine="420" w:firstLineChars="200"/>
        <w:rPr>
          <w:rFonts w:hint="eastAsia" w:hAnsi="宋体"/>
          <w:szCs w:val="21"/>
        </w:rPr>
      </w:pPr>
    </w:p>
    <w:p w14:paraId="094A3001">
      <w:pPr>
        <w:pStyle w:val="31"/>
        <w:snapToGrid w:val="0"/>
        <w:spacing w:before="120" w:after="120" w:line="360" w:lineRule="auto"/>
        <w:ind w:firstLine="420" w:firstLineChars="200"/>
        <w:rPr>
          <w:rFonts w:hint="eastAsia" w:hAnsi="宋体"/>
          <w:szCs w:val="21"/>
        </w:rPr>
      </w:pPr>
    </w:p>
    <w:p w14:paraId="1D5F6F4E">
      <w:pPr>
        <w:pStyle w:val="31"/>
        <w:snapToGrid w:val="0"/>
        <w:spacing w:before="120" w:after="120" w:line="360" w:lineRule="auto"/>
        <w:ind w:firstLine="420" w:firstLineChars="200"/>
        <w:rPr>
          <w:rFonts w:hint="eastAsia" w:hAnsi="宋体"/>
          <w:szCs w:val="21"/>
        </w:rPr>
      </w:pPr>
    </w:p>
    <w:p w14:paraId="7C7D376C">
      <w:pPr>
        <w:pStyle w:val="31"/>
        <w:snapToGrid w:val="0"/>
        <w:spacing w:before="120" w:after="120" w:line="360" w:lineRule="auto"/>
        <w:ind w:firstLine="420" w:firstLineChars="200"/>
        <w:rPr>
          <w:rFonts w:hint="eastAsia" w:hAnsi="宋体"/>
          <w:szCs w:val="21"/>
        </w:rPr>
      </w:pPr>
    </w:p>
    <w:p w14:paraId="63FCBA6A">
      <w:pPr>
        <w:pStyle w:val="31"/>
        <w:snapToGrid w:val="0"/>
        <w:spacing w:before="120" w:after="120" w:line="360" w:lineRule="auto"/>
        <w:ind w:firstLine="420" w:firstLineChars="200"/>
        <w:rPr>
          <w:rFonts w:hint="eastAsia" w:hAnsi="宋体"/>
          <w:szCs w:val="21"/>
        </w:rPr>
      </w:pPr>
    </w:p>
    <w:p w14:paraId="1E50F5EF">
      <w:pPr>
        <w:pStyle w:val="31"/>
        <w:snapToGrid w:val="0"/>
        <w:spacing w:before="120" w:after="120" w:line="360" w:lineRule="auto"/>
        <w:ind w:firstLine="420" w:firstLineChars="200"/>
        <w:rPr>
          <w:rFonts w:hint="eastAsia" w:hAnsi="宋体"/>
          <w:szCs w:val="21"/>
        </w:rPr>
      </w:pPr>
    </w:p>
    <w:p w14:paraId="33757153">
      <w:pPr>
        <w:pStyle w:val="31"/>
        <w:snapToGrid w:val="0"/>
        <w:spacing w:before="120" w:after="120" w:line="360" w:lineRule="auto"/>
        <w:ind w:firstLine="420" w:firstLineChars="200"/>
        <w:rPr>
          <w:rFonts w:hint="eastAsia" w:hAnsi="宋体"/>
          <w:szCs w:val="21"/>
        </w:rPr>
      </w:pPr>
    </w:p>
    <w:p w14:paraId="6463348D">
      <w:pPr>
        <w:pStyle w:val="31"/>
        <w:snapToGrid w:val="0"/>
        <w:spacing w:before="120" w:after="120" w:line="360" w:lineRule="auto"/>
        <w:ind w:firstLine="420" w:firstLineChars="200"/>
        <w:rPr>
          <w:rFonts w:hint="eastAsia" w:hAnsi="宋体"/>
          <w:szCs w:val="21"/>
        </w:rPr>
      </w:pPr>
    </w:p>
    <w:p w14:paraId="56307C10">
      <w:pPr>
        <w:pStyle w:val="31"/>
        <w:snapToGrid w:val="0"/>
        <w:spacing w:before="120" w:after="120" w:line="360" w:lineRule="auto"/>
        <w:ind w:firstLine="420" w:firstLineChars="200"/>
        <w:rPr>
          <w:rFonts w:hint="eastAsia" w:hAnsi="宋体"/>
          <w:szCs w:val="21"/>
        </w:rPr>
      </w:pPr>
    </w:p>
    <w:p w14:paraId="02CE8DD3">
      <w:pPr>
        <w:pStyle w:val="31"/>
        <w:snapToGrid w:val="0"/>
        <w:spacing w:before="120" w:after="120" w:line="360" w:lineRule="auto"/>
        <w:ind w:firstLine="420" w:firstLineChars="200"/>
        <w:rPr>
          <w:rFonts w:hint="eastAsia" w:hAnsi="宋体"/>
          <w:szCs w:val="21"/>
        </w:rPr>
      </w:pPr>
    </w:p>
    <w:p w14:paraId="0CB8FAA9">
      <w:pPr>
        <w:pStyle w:val="31"/>
        <w:snapToGrid w:val="0"/>
        <w:spacing w:before="120" w:after="120" w:line="360" w:lineRule="auto"/>
        <w:ind w:firstLine="420" w:firstLineChars="200"/>
        <w:rPr>
          <w:rFonts w:hint="eastAsia" w:hAnsi="宋体"/>
          <w:szCs w:val="21"/>
        </w:rPr>
      </w:pPr>
    </w:p>
    <w:p w14:paraId="6EB8C1D7">
      <w:pPr>
        <w:pStyle w:val="31"/>
        <w:snapToGrid w:val="0"/>
        <w:spacing w:before="120" w:after="120" w:line="360" w:lineRule="auto"/>
        <w:ind w:firstLine="420" w:firstLineChars="200"/>
        <w:rPr>
          <w:rFonts w:hint="eastAsia" w:hAnsi="宋体"/>
          <w:szCs w:val="21"/>
        </w:rPr>
      </w:pPr>
    </w:p>
    <w:p w14:paraId="68C52878">
      <w:pPr>
        <w:pStyle w:val="31"/>
        <w:snapToGrid w:val="0"/>
        <w:spacing w:before="120" w:after="120" w:line="360" w:lineRule="auto"/>
        <w:ind w:firstLine="420" w:firstLineChars="200"/>
        <w:rPr>
          <w:rFonts w:hint="eastAsia" w:hAnsi="宋体"/>
          <w:szCs w:val="21"/>
        </w:rPr>
      </w:pPr>
    </w:p>
    <w:p w14:paraId="6FC85606">
      <w:pPr>
        <w:pStyle w:val="31"/>
        <w:snapToGrid w:val="0"/>
        <w:spacing w:before="120" w:after="120" w:line="360" w:lineRule="auto"/>
        <w:ind w:firstLine="420" w:firstLineChars="200"/>
        <w:rPr>
          <w:rFonts w:hint="eastAsia" w:hAnsi="宋体"/>
          <w:szCs w:val="21"/>
        </w:rPr>
      </w:pPr>
    </w:p>
    <w:p w14:paraId="0E02EB74">
      <w:pPr>
        <w:pStyle w:val="31"/>
        <w:snapToGrid w:val="0"/>
        <w:spacing w:before="120" w:after="120" w:line="360" w:lineRule="auto"/>
        <w:ind w:firstLine="420" w:firstLineChars="200"/>
        <w:rPr>
          <w:rFonts w:hint="eastAsia" w:hAnsi="宋体"/>
          <w:szCs w:val="21"/>
        </w:rPr>
      </w:pPr>
    </w:p>
    <w:p w14:paraId="51178ABA">
      <w:pPr>
        <w:pStyle w:val="31"/>
        <w:snapToGrid w:val="0"/>
        <w:spacing w:before="120" w:after="120" w:line="360" w:lineRule="auto"/>
        <w:ind w:firstLine="420" w:firstLineChars="200"/>
        <w:rPr>
          <w:rFonts w:hint="eastAsia" w:hAnsi="宋体"/>
          <w:szCs w:val="21"/>
        </w:rPr>
      </w:pPr>
    </w:p>
    <w:p w14:paraId="540F5537">
      <w:pPr>
        <w:pStyle w:val="31"/>
        <w:snapToGrid w:val="0"/>
        <w:spacing w:before="120" w:after="120" w:line="360" w:lineRule="auto"/>
        <w:ind w:firstLine="420" w:firstLineChars="200"/>
        <w:rPr>
          <w:rFonts w:hint="eastAsia" w:hAnsi="宋体"/>
          <w:szCs w:val="21"/>
        </w:rPr>
      </w:pPr>
    </w:p>
    <w:p w14:paraId="550B3B5F">
      <w:pPr>
        <w:pStyle w:val="31"/>
        <w:snapToGrid w:val="0"/>
        <w:spacing w:before="120" w:after="120" w:line="360" w:lineRule="auto"/>
        <w:ind w:firstLine="420" w:firstLineChars="200"/>
        <w:rPr>
          <w:rFonts w:hint="eastAsia" w:hAnsi="宋体"/>
          <w:szCs w:val="21"/>
        </w:rPr>
      </w:pPr>
    </w:p>
    <w:p w14:paraId="60E85D79">
      <w:pPr>
        <w:pStyle w:val="31"/>
        <w:snapToGrid w:val="0"/>
        <w:spacing w:before="120" w:after="120" w:line="360" w:lineRule="auto"/>
        <w:ind w:firstLine="420" w:firstLineChars="200"/>
        <w:rPr>
          <w:rFonts w:hint="eastAsia" w:hAnsi="宋体"/>
          <w:szCs w:val="21"/>
        </w:rPr>
      </w:pPr>
    </w:p>
    <w:p w14:paraId="6424417C">
      <w:pPr>
        <w:pStyle w:val="31"/>
        <w:snapToGrid w:val="0"/>
        <w:spacing w:before="120" w:after="120" w:line="360" w:lineRule="auto"/>
        <w:ind w:firstLine="420" w:firstLineChars="200"/>
        <w:rPr>
          <w:rFonts w:hint="eastAsia" w:hAnsi="宋体"/>
          <w:szCs w:val="21"/>
        </w:rPr>
      </w:pPr>
    </w:p>
    <w:p w14:paraId="70A194DF">
      <w:pPr>
        <w:pStyle w:val="31"/>
        <w:snapToGrid w:val="0"/>
        <w:spacing w:before="120" w:after="120" w:line="360" w:lineRule="auto"/>
        <w:ind w:firstLine="420" w:firstLineChars="200"/>
        <w:rPr>
          <w:rFonts w:hint="eastAsia" w:hAnsi="宋体"/>
          <w:szCs w:val="21"/>
        </w:rPr>
      </w:pPr>
    </w:p>
    <w:p w14:paraId="2CBAA777">
      <w:pPr>
        <w:pStyle w:val="31"/>
        <w:snapToGrid w:val="0"/>
        <w:spacing w:before="120" w:after="120" w:line="360" w:lineRule="auto"/>
        <w:ind w:firstLine="420" w:firstLineChars="200"/>
        <w:rPr>
          <w:rFonts w:hint="eastAsia" w:hAnsi="宋体"/>
          <w:szCs w:val="21"/>
        </w:rPr>
      </w:pPr>
      <w:r>
        <w:rPr>
          <w:rFonts w:hint="eastAsia" w:hAnsi="宋体"/>
          <w:szCs w:val="21"/>
        </w:rPr>
        <w:t>（二）供应商法定代表人身份证明和法定代表人授权委托书（原件）</w:t>
      </w:r>
    </w:p>
    <w:p w14:paraId="258A4207">
      <w:pPr>
        <w:widowControl/>
        <w:spacing w:line="312" w:lineRule="auto"/>
        <w:jc w:val="center"/>
        <w:rPr>
          <w:rFonts w:ascii="宋体" w:hAnsi="宋体" w:cs="宋体"/>
          <w:b/>
          <w:bCs/>
          <w:color w:val="FF0000"/>
          <w:sz w:val="24"/>
          <w:szCs w:val="24"/>
        </w:rPr>
      </w:pPr>
      <w:r>
        <w:rPr>
          <w:rFonts w:hint="eastAsia" w:ascii="宋体" w:hAnsi="宋体" w:cs="宋体"/>
          <w:b/>
          <w:bCs/>
          <w:sz w:val="24"/>
          <w:szCs w:val="24"/>
        </w:rPr>
        <w:t>法定代表人身份证明书</w:t>
      </w:r>
    </w:p>
    <w:p w14:paraId="49730725">
      <w:pPr>
        <w:tabs>
          <w:tab w:val="left" w:pos="6300"/>
        </w:tabs>
        <w:snapToGrid w:val="0"/>
        <w:spacing w:line="312" w:lineRule="auto"/>
        <w:ind w:firstLine="570"/>
        <w:rPr>
          <w:rFonts w:ascii="宋体" w:hAnsi="宋体" w:cs="宋体"/>
          <w:sz w:val="24"/>
          <w:szCs w:val="24"/>
        </w:rPr>
      </w:pPr>
    </w:p>
    <w:p w14:paraId="78EB0AA0">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项目名称：</w:t>
      </w:r>
      <w:r>
        <w:rPr>
          <w:rFonts w:hint="eastAsia" w:ascii="宋体" w:hAnsi="宋体" w:cs="宋体"/>
          <w:sz w:val="21"/>
          <w:szCs w:val="21"/>
          <w:u w:val="single"/>
        </w:rPr>
        <w:t xml:space="preserve">                                                </w:t>
      </w:r>
    </w:p>
    <w:p w14:paraId="79B714A2">
      <w:pPr>
        <w:tabs>
          <w:tab w:val="left" w:pos="6300"/>
        </w:tabs>
        <w:snapToGrid w:val="0"/>
        <w:spacing w:line="360" w:lineRule="auto"/>
        <w:ind w:firstLine="570"/>
        <w:rPr>
          <w:rFonts w:ascii="宋体" w:hAnsi="宋体" w:cs="宋体"/>
          <w:sz w:val="21"/>
          <w:szCs w:val="21"/>
        </w:rPr>
      </w:pPr>
    </w:p>
    <w:p w14:paraId="7839032F">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ascii="宋体" w:hAnsi="宋体" w:cs="宋体"/>
          <w:sz w:val="21"/>
          <w:szCs w:val="21"/>
        </w:rPr>
        <w:t>（采购人名称）：</w:t>
      </w:r>
    </w:p>
    <w:p w14:paraId="0F7BC527">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（法定代表人姓名）在</w:t>
      </w:r>
      <w:r>
        <w:rPr>
          <w:rFonts w:hint="eastAsia" w:ascii="宋体" w:hAnsi="宋体" w:cs="宋体"/>
          <w:sz w:val="21"/>
          <w:szCs w:val="21"/>
          <w:u w:val="single"/>
        </w:rPr>
        <w:t xml:space="preserve">                      </w:t>
      </w:r>
      <w:r>
        <w:rPr>
          <w:rFonts w:hint="eastAsia" w:ascii="宋体" w:hAnsi="宋体" w:cs="宋体"/>
          <w:sz w:val="21"/>
          <w:szCs w:val="21"/>
        </w:rPr>
        <w:t>（供应商名称）任</w:t>
      </w:r>
      <w:r>
        <w:rPr>
          <w:rFonts w:hint="eastAsia" w:ascii="宋体" w:hAnsi="宋体" w:cs="宋体"/>
          <w:sz w:val="21"/>
          <w:szCs w:val="21"/>
          <w:u w:val="single"/>
        </w:rPr>
        <w:t xml:space="preserve">       </w:t>
      </w:r>
      <w:r>
        <w:rPr>
          <w:rFonts w:hint="eastAsia" w:ascii="宋体" w:hAnsi="宋体" w:cs="宋体"/>
          <w:sz w:val="21"/>
          <w:szCs w:val="21"/>
        </w:rPr>
        <w:t>（职务名称）职务，是（供应商名称）</w:t>
      </w:r>
      <w:r>
        <w:rPr>
          <w:rFonts w:hint="eastAsia" w:ascii="宋体" w:hAnsi="宋体" w:cs="宋体"/>
          <w:sz w:val="21"/>
          <w:szCs w:val="21"/>
          <w:u w:val="single"/>
        </w:rPr>
        <w:t xml:space="preserve">                </w:t>
      </w:r>
      <w:r>
        <w:rPr>
          <w:rFonts w:hint="eastAsia" w:ascii="宋体" w:hAnsi="宋体" w:cs="宋体"/>
          <w:sz w:val="21"/>
          <w:szCs w:val="21"/>
        </w:rPr>
        <w:t>的法定代表人。</w:t>
      </w:r>
    </w:p>
    <w:p w14:paraId="361C3BF1">
      <w:pPr>
        <w:tabs>
          <w:tab w:val="left" w:pos="6300"/>
        </w:tabs>
        <w:snapToGrid w:val="0"/>
        <w:spacing w:line="360" w:lineRule="auto"/>
        <w:ind w:firstLine="570"/>
        <w:rPr>
          <w:rFonts w:ascii="宋体" w:hAnsi="宋体" w:cs="宋体"/>
          <w:sz w:val="21"/>
          <w:szCs w:val="21"/>
        </w:rPr>
      </w:pPr>
    </w:p>
    <w:p w14:paraId="7189D58D">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特此证明。</w:t>
      </w:r>
    </w:p>
    <w:p w14:paraId="1893E7F9">
      <w:pPr>
        <w:tabs>
          <w:tab w:val="left" w:pos="6300"/>
        </w:tabs>
        <w:snapToGrid w:val="0"/>
        <w:spacing w:line="360" w:lineRule="auto"/>
        <w:ind w:firstLine="570"/>
        <w:rPr>
          <w:rFonts w:ascii="宋体" w:hAnsi="宋体" w:cs="宋体"/>
          <w:sz w:val="21"/>
          <w:szCs w:val="21"/>
        </w:rPr>
      </w:pPr>
    </w:p>
    <w:p w14:paraId="4C997DC0">
      <w:pPr>
        <w:tabs>
          <w:tab w:val="left" w:pos="6300"/>
        </w:tabs>
        <w:snapToGrid w:val="0"/>
        <w:spacing w:line="360" w:lineRule="auto"/>
        <w:ind w:firstLine="570"/>
        <w:rPr>
          <w:rFonts w:ascii="宋体" w:hAnsi="宋体" w:cs="宋体"/>
          <w:sz w:val="21"/>
          <w:szCs w:val="21"/>
        </w:rPr>
      </w:pPr>
    </w:p>
    <w:p w14:paraId="76D513A1">
      <w:pPr>
        <w:tabs>
          <w:tab w:val="left" w:pos="6300"/>
        </w:tabs>
        <w:snapToGrid w:val="0"/>
        <w:spacing w:line="360" w:lineRule="auto"/>
        <w:ind w:firstLine="570"/>
        <w:rPr>
          <w:rFonts w:ascii="宋体" w:hAnsi="宋体" w:cs="宋体"/>
          <w:sz w:val="21"/>
          <w:szCs w:val="21"/>
        </w:rPr>
      </w:pPr>
    </w:p>
    <w:p w14:paraId="6CCDBE56">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（供应商公章）</w:t>
      </w:r>
    </w:p>
    <w:p w14:paraId="011A7A1D">
      <w:pPr>
        <w:tabs>
          <w:tab w:val="left" w:pos="6300"/>
        </w:tabs>
        <w:snapToGrid w:val="0"/>
        <w:spacing w:line="360" w:lineRule="auto"/>
        <w:ind w:firstLine="570"/>
        <w:rPr>
          <w:rFonts w:ascii="宋体" w:hAnsi="宋体" w:cs="宋体"/>
          <w:sz w:val="21"/>
          <w:szCs w:val="21"/>
        </w:rPr>
      </w:pPr>
    </w:p>
    <w:p w14:paraId="522D2D32">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年   月   日</w:t>
      </w:r>
    </w:p>
    <w:p w14:paraId="4E921661">
      <w:pPr>
        <w:tabs>
          <w:tab w:val="left" w:pos="6300"/>
        </w:tabs>
        <w:snapToGrid w:val="0"/>
        <w:spacing w:line="312" w:lineRule="auto"/>
        <w:ind w:firstLine="570"/>
        <w:rPr>
          <w:rFonts w:ascii="宋体" w:hAnsi="宋体" w:cs="宋体"/>
          <w:sz w:val="21"/>
          <w:szCs w:val="21"/>
        </w:rPr>
      </w:pPr>
    </w:p>
    <w:p w14:paraId="43DDA1EF">
      <w:pPr>
        <w:tabs>
          <w:tab w:val="left" w:pos="6300"/>
        </w:tabs>
        <w:snapToGrid w:val="0"/>
        <w:spacing w:line="312" w:lineRule="auto"/>
        <w:ind w:firstLine="570"/>
        <w:rPr>
          <w:rFonts w:ascii="宋体" w:hAnsi="宋体" w:cs="宋体"/>
          <w:sz w:val="21"/>
          <w:szCs w:val="21"/>
        </w:rPr>
      </w:pPr>
      <w:r>
        <w:rPr>
          <w:rFonts w:hint="eastAsia" w:ascii="宋体" w:hAnsi="宋体" w:cs="宋体"/>
          <w:sz w:val="21"/>
          <w:szCs w:val="21"/>
        </w:rPr>
        <w:t>（附：法定代表人身份证正反面复印件）</w:t>
      </w:r>
    </w:p>
    <w:p w14:paraId="0E744D8C">
      <w:pPr>
        <w:tabs>
          <w:tab w:val="left" w:pos="6300"/>
        </w:tabs>
        <w:snapToGrid w:val="0"/>
        <w:spacing w:line="312" w:lineRule="auto"/>
        <w:ind w:firstLine="570"/>
        <w:rPr>
          <w:rFonts w:ascii="宋体" w:hAnsi="宋体" w:cs="宋体"/>
          <w:sz w:val="24"/>
        </w:rPr>
      </w:pPr>
    </w:p>
    <w:p w14:paraId="390D10BB">
      <w:pPr>
        <w:tabs>
          <w:tab w:val="left" w:pos="6300"/>
        </w:tabs>
        <w:snapToGrid w:val="0"/>
        <w:spacing w:line="312" w:lineRule="auto"/>
        <w:ind w:firstLine="570"/>
        <w:rPr>
          <w:rFonts w:ascii="宋体" w:hAnsi="宋体" w:cs="宋体"/>
          <w:sz w:val="24"/>
        </w:rPr>
      </w:pPr>
    </w:p>
    <w:p w14:paraId="0ED0C228">
      <w:pPr>
        <w:tabs>
          <w:tab w:val="left" w:pos="6300"/>
        </w:tabs>
        <w:snapToGrid w:val="0"/>
        <w:spacing w:line="312" w:lineRule="auto"/>
        <w:ind w:firstLine="570"/>
        <w:rPr>
          <w:rFonts w:ascii="宋体" w:hAnsi="宋体" w:cs="宋体"/>
          <w:sz w:val="24"/>
        </w:rPr>
      </w:pPr>
    </w:p>
    <w:p w14:paraId="3727FA90">
      <w:pPr>
        <w:tabs>
          <w:tab w:val="left" w:pos="6300"/>
        </w:tabs>
        <w:snapToGrid w:val="0"/>
        <w:spacing w:line="312" w:lineRule="auto"/>
        <w:ind w:firstLine="570"/>
        <w:rPr>
          <w:rFonts w:ascii="宋体" w:hAnsi="宋体" w:cs="宋体"/>
          <w:sz w:val="24"/>
        </w:rPr>
      </w:pPr>
    </w:p>
    <w:p w14:paraId="73ABEC30">
      <w:pPr>
        <w:tabs>
          <w:tab w:val="left" w:pos="6300"/>
        </w:tabs>
        <w:snapToGrid w:val="0"/>
        <w:spacing w:line="312" w:lineRule="auto"/>
        <w:ind w:firstLine="570"/>
        <w:rPr>
          <w:rFonts w:ascii="宋体" w:hAnsi="宋体" w:cs="宋体"/>
          <w:sz w:val="24"/>
        </w:rPr>
      </w:pPr>
    </w:p>
    <w:p w14:paraId="3A9BE43A">
      <w:pPr>
        <w:tabs>
          <w:tab w:val="left" w:pos="6300"/>
        </w:tabs>
        <w:snapToGrid w:val="0"/>
        <w:spacing w:line="312" w:lineRule="auto"/>
        <w:ind w:firstLine="570"/>
        <w:rPr>
          <w:rFonts w:ascii="宋体" w:hAnsi="宋体" w:cs="宋体"/>
          <w:sz w:val="24"/>
        </w:rPr>
      </w:pPr>
    </w:p>
    <w:p w14:paraId="026D443B">
      <w:pPr>
        <w:tabs>
          <w:tab w:val="left" w:pos="6300"/>
        </w:tabs>
        <w:snapToGrid w:val="0"/>
        <w:spacing w:line="312" w:lineRule="auto"/>
        <w:jc w:val="center"/>
        <w:rPr>
          <w:rFonts w:hint="eastAsia" w:ascii="宋体" w:hAnsi="宋体" w:cs="宋体"/>
          <w:b/>
          <w:bCs/>
          <w:sz w:val="24"/>
          <w:szCs w:val="24"/>
        </w:rPr>
      </w:pPr>
      <w:r>
        <w:rPr>
          <w:rFonts w:hint="eastAsia" w:ascii="宋体" w:hAnsi="宋体" w:cs="宋体"/>
        </w:rPr>
        <w:br w:type="column"/>
      </w:r>
      <w:r>
        <w:rPr>
          <w:rFonts w:hint="eastAsia" w:ascii="宋体" w:hAnsi="宋体" w:cs="宋体"/>
          <w:b/>
          <w:bCs/>
          <w:sz w:val="24"/>
          <w:szCs w:val="24"/>
        </w:rPr>
        <w:t>法定代表人授权委托书</w:t>
      </w:r>
    </w:p>
    <w:p w14:paraId="6A33A822">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w:t>
      </w:r>
    </w:p>
    <w:p w14:paraId="6EDFB51F">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项目名称：</w:t>
      </w:r>
      <w:r>
        <w:rPr>
          <w:rFonts w:hint="eastAsia" w:ascii="宋体" w:hAnsi="宋体" w:cs="宋体"/>
          <w:sz w:val="21"/>
          <w:szCs w:val="21"/>
          <w:u w:val="single"/>
        </w:rPr>
        <w:t xml:space="preserve">                                                </w:t>
      </w:r>
    </w:p>
    <w:p w14:paraId="478CA248">
      <w:pPr>
        <w:tabs>
          <w:tab w:val="left" w:pos="6300"/>
        </w:tabs>
        <w:snapToGrid w:val="0"/>
        <w:spacing w:line="360" w:lineRule="auto"/>
        <w:ind w:firstLine="570"/>
        <w:rPr>
          <w:rFonts w:ascii="宋体" w:hAnsi="宋体" w:cs="宋体"/>
          <w:sz w:val="21"/>
          <w:szCs w:val="21"/>
        </w:rPr>
      </w:pPr>
    </w:p>
    <w:p w14:paraId="731AEB46">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ascii="宋体" w:hAnsi="宋体" w:cs="宋体"/>
          <w:sz w:val="21"/>
          <w:szCs w:val="21"/>
        </w:rPr>
        <w:t>（采购人名称）：</w:t>
      </w:r>
    </w:p>
    <w:p w14:paraId="68C2B039">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（供应商法定代表人名称）是</w:t>
      </w:r>
      <w:r>
        <w:rPr>
          <w:rFonts w:hint="eastAsia" w:ascii="宋体" w:hAnsi="宋体" w:cs="宋体"/>
          <w:sz w:val="21"/>
          <w:szCs w:val="21"/>
          <w:u w:val="single"/>
        </w:rPr>
        <w:t xml:space="preserve">                    </w:t>
      </w:r>
      <w:r>
        <w:rPr>
          <w:rFonts w:hint="eastAsia" w:ascii="宋体" w:hAnsi="宋体" w:cs="宋体"/>
          <w:sz w:val="21"/>
          <w:szCs w:val="21"/>
        </w:rPr>
        <w:t>（供应商名称）的法定代表人，特授权</w:t>
      </w:r>
      <w:r>
        <w:rPr>
          <w:rFonts w:hint="eastAsia" w:ascii="宋体" w:hAnsi="宋体" w:cs="宋体"/>
          <w:sz w:val="21"/>
          <w:szCs w:val="21"/>
          <w:u w:val="single"/>
        </w:rPr>
        <w:t xml:space="preserve">              </w:t>
      </w:r>
      <w:r>
        <w:rPr>
          <w:rFonts w:hint="eastAsia" w:ascii="宋体" w:hAnsi="宋体" w:cs="宋体"/>
          <w:sz w:val="21"/>
          <w:szCs w:val="21"/>
        </w:rPr>
        <w:t>（被授权人姓名及身份证号码）代表我单位全权办理上述项目的谈判、签约等具体工作，并签署全部有关文件、协议及合同。</w:t>
      </w:r>
    </w:p>
    <w:p w14:paraId="27706E96">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我单位对被授权人的签字负全部责任。</w:t>
      </w:r>
    </w:p>
    <w:p w14:paraId="686CAA3F">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在撤消授权的书面通知以前，本授权书一直有效。被授权人在授权书有效期内签署的所有文件不因授权的撤消而失效。</w:t>
      </w:r>
    </w:p>
    <w:p w14:paraId="1A58CECF">
      <w:pPr>
        <w:tabs>
          <w:tab w:val="left" w:pos="6300"/>
        </w:tabs>
        <w:snapToGrid w:val="0"/>
        <w:spacing w:line="360" w:lineRule="auto"/>
        <w:ind w:firstLine="570"/>
        <w:rPr>
          <w:rFonts w:ascii="宋体" w:hAnsi="宋体" w:cs="宋体"/>
          <w:sz w:val="21"/>
          <w:szCs w:val="21"/>
        </w:rPr>
      </w:pPr>
    </w:p>
    <w:p w14:paraId="7B917751">
      <w:pPr>
        <w:tabs>
          <w:tab w:val="left" w:pos="6300"/>
        </w:tabs>
        <w:snapToGrid w:val="0"/>
        <w:spacing w:line="360" w:lineRule="auto"/>
        <w:ind w:firstLine="570"/>
        <w:rPr>
          <w:rFonts w:ascii="宋体" w:hAnsi="宋体" w:cs="宋体"/>
          <w:sz w:val="21"/>
          <w:szCs w:val="21"/>
        </w:rPr>
      </w:pPr>
    </w:p>
    <w:p w14:paraId="6F4B7BAC">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被授权人：                                 供应商法定代表人：</w:t>
      </w:r>
    </w:p>
    <w:p w14:paraId="7CF37DCD">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（签字或盖章）                                （签字或盖章）</w:t>
      </w:r>
    </w:p>
    <w:p w14:paraId="09928A19">
      <w:pPr>
        <w:tabs>
          <w:tab w:val="left" w:pos="6300"/>
        </w:tabs>
        <w:snapToGrid w:val="0"/>
        <w:spacing w:line="360" w:lineRule="auto"/>
        <w:ind w:firstLine="570"/>
        <w:rPr>
          <w:rFonts w:ascii="宋体" w:hAnsi="宋体" w:cs="宋体"/>
          <w:sz w:val="21"/>
          <w:szCs w:val="21"/>
        </w:rPr>
      </w:pPr>
    </w:p>
    <w:p w14:paraId="7DD93356">
      <w:pPr>
        <w:tabs>
          <w:tab w:val="left" w:pos="6300"/>
        </w:tabs>
        <w:snapToGrid w:val="0"/>
        <w:spacing w:line="360" w:lineRule="auto"/>
        <w:ind w:firstLine="570"/>
        <w:rPr>
          <w:rFonts w:ascii="宋体" w:hAnsi="宋体" w:cs="宋体"/>
          <w:sz w:val="21"/>
          <w:szCs w:val="21"/>
        </w:rPr>
      </w:pPr>
    </w:p>
    <w:p w14:paraId="211A8139">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（附：被授权人身份证正反面复印件）</w:t>
      </w:r>
    </w:p>
    <w:p w14:paraId="2181BCFA">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w:t>
      </w:r>
    </w:p>
    <w:p w14:paraId="7A55AF31">
      <w:pPr>
        <w:tabs>
          <w:tab w:val="left" w:pos="6300"/>
        </w:tabs>
        <w:snapToGrid w:val="0"/>
        <w:spacing w:line="360" w:lineRule="auto"/>
        <w:ind w:firstLine="570"/>
        <w:rPr>
          <w:rFonts w:ascii="宋体" w:hAnsi="宋体" w:cs="宋体"/>
          <w:sz w:val="21"/>
          <w:szCs w:val="21"/>
        </w:rPr>
      </w:pPr>
    </w:p>
    <w:p w14:paraId="5247C507">
      <w:pPr>
        <w:tabs>
          <w:tab w:val="left" w:pos="6300"/>
        </w:tabs>
        <w:snapToGrid w:val="0"/>
        <w:spacing w:line="360" w:lineRule="auto"/>
        <w:ind w:firstLine="570"/>
        <w:rPr>
          <w:rFonts w:ascii="宋体" w:hAnsi="宋体" w:cs="宋体"/>
          <w:sz w:val="21"/>
          <w:szCs w:val="21"/>
        </w:rPr>
      </w:pPr>
    </w:p>
    <w:p w14:paraId="03EADAB0">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（供应商公章）</w:t>
      </w:r>
    </w:p>
    <w:p w14:paraId="403C4E6D">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年   月   日</w:t>
      </w:r>
    </w:p>
    <w:p w14:paraId="6F94D361">
      <w:pPr>
        <w:pStyle w:val="31"/>
        <w:snapToGrid w:val="0"/>
        <w:spacing w:before="120" w:after="120" w:line="360" w:lineRule="auto"/>
        <w:ind w:firstLine="420" w:firstLineChars="200"/>
        <w:rPr>
          <w:rFonts w:hint="eastAsia" w:hAnsi="宋体"/>
          <w:szCs w:val="21"/>
        </w:rPr>
      </w:pPr>
    </w:p>
    <w:p w14:paraId="14297ED9">
      <w:pPr>
        <w:pStyle w:val="31"/>
        <w:snapToGrid w:val="0"/>
        <w:spacing w:before="120" w:after="120" w:line="360" w:lineRule="auto"/>
        <w:ind w:firstLine="420" w:firstLineChars="200"/>
        <w:rPr>
          <w:rFonts w:hint="eastAsia" w:hAnsi="宋体"/>
          <w:szCs w:val="21"/>
        </w:rPr>
      </w:pPr>
    </w:p>
    <w:p w14:paraId="5D06D849">
      <w:pPr>
        <w:pStyle w:val="31"/>
        <w:snapToGrid w:val="0"/>
        <w:spacing w:before="120" w:after="120" w:line="360" w:lineRule="auto"/>
        <w:ind w:firstLine="420" w:firstLineChars="200"/>
        <w:rPr>
          <w:rFonts w:hint="eastAsia" w:hAnsi="宋体"/>
          <w:szCs w:val="21"/>
        </w:rPr>
      </w:pPr>
    </w:p>
    <w:p w14:paraId="09A7CFFA">
      <w:pPr>
        <w:pStyle w:val="31"/>
        <w:snapToGrid w:val="0"/>
        <w:spacing w:before="120" w:after="120" w:line="360" w:lineRule="auto"/>
        <w:ind w:firstLine="420" w:firstLineChars="200"/>
        <w:rPr>
          <w:rFonts w:hint="eastAsia" w:hAnsi="宋体"/>
          <w:szCs w:val="21"/>
        </w:rPr>
      </w:pPr>
    </w:p>
    <w:p w14:paraId="5D918AE6">
      <w:pPr>
        <w:pStyle w:val="31"/>
        <w:snapToGrid w:val="0"/>
        <w:spacing w:before="120" w:after="120" w:line="360" w:lineRule="auto"/>
        <w:ind w:firstLine="420" w:firstLineChars="200"/>
        <w:rPr>
          <w:rFonts w:hint="eastAsia" w:hAnsi="宋体"/>
          <w:szCs w:val="21"/>
        </w:rPr>
      </w:pPr>
    </w:p>
    <w:p w14:paraId="30E0B43D">
      <w:pPr>
        <w:pStyle w:val="31"/>
        <w:snapToGrid w:val="0"/>
        <w:spacing w:before="120" w:after="120" w:line="360" w:lineRule="auto"/>
        <w:ind w:firstLine="420" w:firstLineChars="200"/>
        <w:rPr>
          <w:rFonts w:hint="eastAsia" w:hAnsi="宋体"/>
          <w:szCs w:val="21"/>
        </w:rPr>
      </w:pPr>
    </w:p>
    <w:p w14:paraId="1E99784F">
      <w:pPr>
        <w:pStyle w:val="31"/>
        <w:snapToGrid w:val="0"/>
        <w:spacing w:before="120" w:after="120" w:line="360" w:lineRule="auto"/>
        <w:ind w:firstLine="420" w:firstLineChars="200"/>
        <w:rPr>
          <w:rFonts w:hint="eastAsia" w:hAnsi="宋体"/>
          <w:szCs w:val="21"/>
        </w:rPr>
      </w:pPr>
    </w:p>
    <w:p w14:paraId="0505C8E0">
      <w:pPr>
        <w:pStyle w:val="31"/>
        <w:snapToGrid w:val="0"/>
        <w:spacing w:before="120" w:after="120" w:line="360" w:lineRule="auto"/>
        <w:ind w:firstLine="420" w:firstLineChars="200"/>
        <w:rPr>
          <w:rFonts w:hint="eastAsia" w:hAnsi="宋体"/>
          <w:szCs w:val="21"/>
        </w:rPr>
      </w:pPr>
    </w:p>
    <w:p w14:paraId="083496AA">
      <w:pPr>
        <w:pStyle w:val="31"/>
        <w:snapToGrid w:val="0"/>
        <w:spacing w:before="120" w:after="120" w:line="360" w:lineRule="auto"/>
        <w:ind w:firstLine="420" w:firstLineChars="200"/>
        <w:rPr>
          <w:rFonts w:hint="eastAsia" w:hAnsi="宋体"/>
          <w:szCs w:val="21"/>
        </w:rPr>
      </w:pPr>
    </w:p>
    <w:p w14:paraId="6779CCDD">
      <w:pPr>
        <w:pStyle w:val="31"/>
        <w:snapToGrid w:val="0"/>
        <w:spacing w:before="120" w:after="120" w:line="360" w:lineRule="auto"/>
        <w:ind w:firstLine="420" w:firstLineChars="200"/>
        <w:rPr>
          <w:rFonts w:hint="eastAsia" w:hAnsi="宋体"/>
          <w:szCs w:val="21"/>
        </w:rPr>
      </w:pPr>
      <w:r>
        <w:rPr>
          <w:rFonts w:hint="eastAsia" w:hAnsi="宋体"/>
          <w:szCs w:val="21"/>
        </w:rPr>
        <w:t>（三）</w:t>
      </w:r>
      <w:r>
        <w:rPr>
          <w:rFonts w:hint="eastAsia" w:hAnsi="宋体"/>
          <w:szCs w:val="21"/>
          <w:lang w:val="en-US" w:eastAsia="zh-CN"/>
        </w:rPr>
        <w:t>上</w:t>
      </w:r>
      <w:r>
        <w:rPr>
          <w:rFonts w:hint="eastAsia" w:hAnsi="宋体"/>
          <w:szCs w:val="21"/>
        </w:rPr>
        <w:t>一年度财务报告（复印件加盖公章，成立不满一年无需提供）</w:t>
      </w:r>
    </w:p>
    <w:p w14:paraId="3199D59D">
      <w:pPr>
        <w:pStyle w:val="31"/>
        <w:snapToGrid w:val="0"/>
        <w:spacing w:before="120" w:after="120" w:line="360" w:lineRule="auto"/>
        <w:ind w:firstLine="420" w:firstLineChars="200"/>
        <w:rPr>
          <w:rFonts w:hint="eastAsia" w:hAnsi="宋体"/>
          <w:szCs w:val="21"/>
        </w:rPr>
      </w:pPr>
    </w:p>
    <w:p w14:paraId="6EEDBC94">
      <w:pPr>
        <w:pStyle w:val="31"/>
        <w:snapToGrid w:val="0"/>
        <w:spacing w:before="120" w:after="120" w:line="360" w:lineRule="auto"/>
        <w:ind w:firstLine="420" w:firstLineChars="200"/>
        <w:rPr>
          <w:rFonts w:hint="eastAsia" w:hAnsi="宋体"/>
          <w:szCs w:val="21"/>
        </w:rPr>
      </w:pPr>
    </w:p>
    <w:p w14:paraId="1A4B4101">
      <w:pPr>
        <w:pStyle w:val="31"/>
        <w:snapToGrid w:val="0"/>
        <w:spacing w:before="120" w:after="120" w:line="360" w:lineRule="auto"/>
        <w:ind w:firstLine="420" w:firstLineChars="200"/>
        <w:rPr>
          <w:rFonts w:hint="eastAsia" w:hAnsi="宋体"/>
          <w:szCs w:val="21"/>
        </w:rPr>
      </w:pPr>
    </w:p>
    <w:p w14:paraId="08CB1BEE">
      <w:pPr>
        <w:pStyle w:val="31"/>
        <w:snapToGrid w:val="0"/>
        <w:spacing w:before="120" w:after="120" w:line="360" w:lineRule="auto"/>
        <w:ind w:firstLine="420" w:firstLineChars="200"/>
        <w:rPr>
          <w:rFonts w:hint="eastAsia" w:hAnsi="宋体"/>
          <w:szCs w:val="21"/>
        </w:rPr>
      </w:pPr>
    </w:p>
    <w:p w14:paraId="50A9CAE3">
      <w:pPr>
        <w:pStyle w:val="31"/>
        <w:snapToGrid w:val="0"/>
        <w:spacing w:before="120" w:after="120" w:line="360" w:lineRule="auto"/>
        <w:ind w:firstLine="420" w:firstLineChars="200"/>
        <w:rPr>
          <w:rFonts w:hint="eastAsia" w:hAnsi="宋体"/>
          <w:szCs w:val="21"/>
        </w:rPr>
      </w:pPr>
    </w:p>
    <w:p w14:paraId="522A662C">
      <w:pPr>
        <w:pStyle w:val="31"/>
        <w:snapToGrid w:val="0"/>
        <w:spacing w:before="120" w:after="120" w:line="360" w:lineRule="auto"/>
        <w:ind w:firstLine="420" w:firstLineChars="200"/>
        <w:rPr>
          <w:rFonts w:hint="eastAsia" w:hAnsi="宋体"/>
          <w:szCs w:val="21"/>
        </w:rPr>
      </w:pPr>
    </w:p>
    <w:p w14:paraId="743251E0">
      <w:pPr>
        <w:pStyle w:val="31"/>
        <w:snapToGrid w:val="0"/>
        <w:spacing w:before="120" w:after="120" w:line="360" w:lineRule="auto"/>
        <w:ind w:firstLine="420" w:firstLineChars="200"/>
        <w:rPr>
          <w:rFonts w:hint="eastAsia" w:hAnsi="宋体"/>
          <w:szCs w:val="21"/>
        </w:rPr>
      </w:pPr>
    </w:p>
    <w:p w14:paraId="1303D91B">
      <w:pPr>
        <w:pStyle w:val="31"/>
        <w:snapToGrid w:val="0"/>
        <w:spacing w:before="120" w:after="120" w:line="360" w:lineRule="auto"/>
        <w:ind w:firstLine="420" w:firstLineChars="200"/>
        <w:rPr>
          <w:rFonts w:hint="eastAsia" w:hAnsi="宋体"/>
          <w:szCs w:val="21"/>
        </w:rPr>
      </w:pPr>
    </w:p>
    <w:p w14:paraId="5D53B9B2">
      <w:pPr>
        <w:pStyle w:val="31"/>
        <w:snapToGrid w:val="0"/>
        <w:spacing w:before="120" w:after="120" w:line="360" w:lineRule="auto"/>
        <w:ind w:firstLine="420" w:firstLineChars="200"/>
        <w:rPr>
          <w:rFonts w:hint="eastAsia" w:hAnsi="宋体"/>
          <w:szCs w:val="21"/>
        </w:rPr>
      </w:pPr>
    </w:p>
    <w:p w14:paraId="2CF57F28">
      <w:pPr>
        <w:pStyle w:val="31"/>
        <w:snapToGrid w:val="0"/>
        <w:spacing w:before="120" w:after="120" w:line="360" w:lineRule="auto"/>
        <w:ind w:firstLine="420" w:firstLineChars="200"/>
        <w:rPr>
          <w:rFonts w:hint="eastAsia" w:hAnsi="宋体"/>
          <w:szCs w:val="21"/>
        </w:rPr>
      </w:pPr>
    </w:p>
    <w:p w14:paraId="36269AC3">
      <w:pPr>
        <w:pStyle w:val="31"/>
        <w:snapToGrid w:val="0"/>
        <w:spacing w:before="120" w:after="120" w:line="360" w:lineRule="auto"/>
        <w:ind w:firstLine="420" w:firstLineChars="200"/>
        <w:rPr>
          <w:rFonts w:hint="eastAsia" w:hAnsi="宋体"/>
          <w:szCs w:val="21"/>
        </w:rPr>
      </w:pPr>
    </w:p>
    <w:p w14:paraId="145900B0">
      <w:pPr>
        <w:pStyle w:val="31"/>
        <w:snapToGrid w:val="0"/>
        <w:spacing w:before="120" w:after="120" w:line="360" w:lineRule="auto"/>
        <w:ind w:firstLine="420" w:firstLineChars="200"/>
        <w:rPr>
          <w:rFonts w:hint="eastAsia" w:hAnsi="宋体"/>
          <w:szCs w:val="21"/>
        </w:rPr>
      </w:pPr>
    </w:p>
    <w:p w14:paraId="6EB11C43">
      <w:pPr>
        <w:pStyle w:val="31"/>
        <w:snapToGrid w:val="0"/>
        <w:spacing w:before="120" w:after="120" w:line="360" w:lineRule="auto"/>
        <w:ind w:firstLine="420" w:firstLineChars="200"/>
        <w:rPr>
          <w:rFonts w:hint="eastAsia" w:hAnsi="宋体"/>
          <w:szCs w:val="21"/>
        </w:rPr>
      </w:pPr>
    </w:p>
    <w:p w14:paraId="0FF5C228">
      <w:pPr>
        <w:pStyle w:val="31"/>
        <w:snapToGrid w:val="0"/>
        <w:spacing w:before="120" w:after="120" w:line="360" w:lineRule="auto"/>
        <w:ind w:firstLine="420" w:firstLineChars="200"/>
        <w:rPr>
          <w:rFonts w:hint="eastAsia" w:hAnsi="宋体"/>
          <w:szCs w:val="21"/>
        </w:rPr>
      </w:pPr>
    </w:p>
    <w:p w14:paraId="13C76401">
      <w:pPr>
        <w:pStyle w:val="31"/>
        <w:snapToGrid w:val="0"/>
        <w:spacing w:before="120" w:after="120" w:line="360" w:lineRule="auto"/>
        <w:ind w:firstLine="420" w:firstLineChars="200"/>
        <w:rPr>
          <w:rFonts w:hint="eastAsia" w:hAnsi="宋体"/>
          <w:szCs w:val="21"/>
        </w:rPr>
      </w:pPr>
    </w:p>
    <w:p w14:paraId="3A074DA8">
      <w:pPr>
        <w:pStyle w:val="31"/>
        <w:snapToGrid w:val="0"/>
        <w:spacing w:before="120" w:after="120" w:line="360" w:lineRule="auto"/>
        <w:ind w:firstLine="420" w:firstLineChars="200"/>
        <w:rPr>
          <w:rFonts w:hint="eastAsia" w:hAnsi="宋体"/>
          <w:szCs w:val="21"/>
        </w:rPr>
      </w:pPr>
    </w:p>
    <w:p w14:paraId="4D2E2704">
      <w:pPr>
        <w:pStyle w:val="31"/>
        <w:snapToGrid w:val="0"/>
        <w:spacing w:before="120" w:after="120" w:line="360" w:lineRule="auto"/>
        <w:ind w:firstLine="420" w:firstLineChars="200"/>
        <w:rPr>
          <w:rFonts w:hint="eastAsia" w:hAnsi="宋体"/>
          <w:szCs w:val="21"/>
        </w:rPr>
      </w:pPr>
    </w:p>
    <w:p w14:paraId="667A2151">
      <w:pPr>
        <w:pStyle w:val="31"/>
        <w:snapToGrid w:val="0"/>
        <w:spacing w:before="120" w:after="120" w:line="360" w:lineRule="auto"/>
        <w:ind w:firstLine="420" w:firstLineChars="200"/>
        <w:rPr>
          <w:rFonts w:hint="eastAsia" w:hAnsi="宋体"/>
          <w:szCs w:val="21"/>
        </w:rPr>
      </w:pPr>
    </w:p>
    <w:p w14:paraId="01B3F8D4">
      <w:pPr>
        <w:pStyle w:val="31"/>
        <w:snapToGrid w:val="0"/>
        <w:spacing w:before="120" w:after="120" w:line="360" w:lineRule="auto"/>
        <w:ind w:firstLine="420" w:firstLineChars="200"/>
        <w:rPr>
          <w:rFonts w:hint="eastAsia" w:hAnsi="宋体"/>
          <w:szCs w:val="21"/>
        </w:rPr>
      </w:pPr>
    </w:p>
    <w:p w14:paraId="5FDB862B">
      <w:pPr>
        <w:pStyle w:val="31"/>
        <w:snapToGrid w:val="0"/>
        <w:spacing w:before="120" w:after="120" w:line="360" w:lineRule="auto"/>
        <w:ind w:firstLine="420" w:firstLineChars="200"/>
        <w:rPr>
          <w:rFonts w:hint="eastAsia" w:hAnsi="宋体"/>
          <w:szCs w:val="21"/>
        </w:rPr>
      </w:pPr>
    </w:p>
    <w:p w14:paraId="1F21C7E0">
      <w:pPr>
        <w:pStyle w:val="31"/>
        <w:snapToGrid w:val="0"/>
        <w:spacing w:before="120" w:after="120" w:line="360" w:lineRule="auto"/>
        <w:ind w:firstLine="420" w:firstLineChars="200"/>
        <w:rPr>
          <w:rFonts w:hint="eastAsia" w:hAnsi="宋体"/>
          <w:szCs w:val="21"/>
        </w:rPr>
      </w:pPr>
    </w:p>
    <w:p w14:paraId="160E3BAE">
      <w:pPr>
        <w:pStyle w:val="31"/>
        <w:snapToGrid w:val="0"/>
        <w:spacing w:before="120" w:after="120" w:line="360" w:lineRule="auto"/>
        <w:ind w:firstLine="420" w:firstLineChars="200"/>
        <w:rPr>
          <w:rFonts w:hint="eastAsia" w:hAnsi="宋体"/>
          <w:szCs w:val="21"/>
        </w:rPr>
      </w:pPr>
    </w:p>
    <w:p w14:paraId="43892EAC">
      <w:pPr>
        <w:pStyle w:val="31"/>
        <w:snapToGrid w:val="0"/>
        <w:spacing w:before="120" w:after="120" w:line="360" w:lineRule="auto"/>
        <w:ind w:firstLine="420" w:firstLineChars="200"/>
        <w:rPr>
          <w:rFonts w:hint="eastAsia" w:hAnsi="宋体"/>
          <w:szCs w:val="21"/>
        </w:rPr>
      </w:pPr>
    </w:p>
    <w:p w14:paraId="2046F69B">
      <w:pPr>
        <w:pStyle w:val="31"/>
        <w:snapToGrid w:val="0"/>
        <w:spacing w:before="120" w:after="120" w:line="360" w:lineRule="auto"/>
        <w:ind w:firstLine="420" w:firstLineChars="200"/>
        <w:rPr>
          <w:rFonts w:hint="eastAsia" w:hAnsi="宋体"/>
          <w:szCs w:val="21"/>
        </w:rPr>
      </w:pPr>
    </w:p>
    <w:p w14:paraId="7AA0C670">
      <w:pPr>
        <w:pStyle w:val="31"/>
        <w:snapToGrid w:val="0"/>
        <w:spacing w:before="120" w:after="120" w:line="360" w:lineRule="auto"/>
        <w:ind w:firstLine="420" w:firstLineChars="200"/>
        <w:rPr>
          <w:rFonts w:hint="eastAsia" w:hAnsi="宋体"/>
          <w:szCs w:val="21"/>
        </w:rPr>
      </w:pPr>
    </w:p>
    <w:p w14:paraId="4BB29725">
      <w:pPr>
        <w:pStyle w:val="31"/>
        <w:snapToGrid w:val="0"/>
        <w:spacing w:before="120" w:after="120" w:line="360" w:lineRule="auto"/>
        <w:ind w:firstLine="420" w:firstLineChars="200"/>
        <w:rPr>
          <w:rFonts w:hint="eastAsia" w:hAnsi="宋体"/>
          <w:szCs w:val="21"/>
        </w:rPr>
      </w:pPr>
    </w:p>
    <w:p w14:paraId="22D89A1C">
      <w:pPr>
        <w:pStyle w:val="31"/>
        <w:snapToGrid w:val="0"/>
        <w:spacing w:before="120" w:after="120" w:line="360" w:lineRule="auto"/>
        <w:ind w:firstLine="420" w:firstLineChars="200"/>
        <w:rPr>
          <w:rFonts w:hint="eastAsia" w:hAnsi="宋体"/>
          <w:szCs w:val="21"/>
        </w:rPr>
      </w:pPr>
      <w:r>
        <w:rPr>
          <w:rFonts w:hint="eastAsia" w:hAnsi="宋体"/>
          <w:szCs w:val="21"/>
        </w:rPr>
        <w:t>（四）供应商提供诚信声明（原件）</w:t>
      </w:r>
    </w:p>
    <w:p w14:paraId="53FAF3BD">
      <w:pPr>
        <w:tabs>
          <w:tab w:val="left" w:pos="6300"/>
        </w:tabs>
        <w:snapToGrid w:val="0"/>
        <w:spacing w:line="312" w:lineRule="auto"/>
        <w:jc w:val="center"/>
        <w:rPr>
          <w:rFonts w:hint="eastAsia" w:ascii="宋体" w:hAnsi="宋体" w:cs="宋体"/>
          <w:b/>
          <w:bCs/>
          <w:sz w:val="24"/>
          <w:szCs w:val="24"/>
        </w:rPr>
      </w:pPr>
      <w:r>
        <w:rPr>
          <w:rFonts w:hint="eastAsia" w:ascii="宋体" w:hAnsi="宋体" w:cs="宋体"/>
          <w:b/>
          <w:bCs/>
          <w:sz w:val="24"/>
          <w:szCs w:val="24"/>
        </w:rPr>
        <w:t>书面声明</w:t>
      </w:r>
    </w:p>
    <w:p w14:paraId="2510E70A">
      <w:pPr>
        <w:tabs>
          <w:tab w:val="left" w:pos="6300"/>
        </w:tabs>
        <w:snapToGrid w:val="0"/>
        <w:spacing w:line="312" w:lineRule="auto"/>
        <w:ind w:firstLine="570"/>
        <w:rPr>
          <w:rFonts w:ascii="宋体" w:hAnsi="宋体" w:cs="宋体"/>
          <w:sz w:val="24"/>
          <w:szCs w:val="24"/>
        </w:rPr>
      </w:pPr>
    </w:p>
    <w:p w14:paraId="4BB26BCD">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项目名称：</w:t>
      </w:r>
      <w:r>
        <w:rPr>
          <w:rFonts w:hint="eastAsia" w:ascii="宋体" w:hAnsi="宋体" w:cs="宋体"/>
          <w:sz w:val="21"/>
          <w:szCs w:val="21"/>
          <w:u w:val="single"/>
        </w:rPr>
        <w:t xml:space="preserve">                                                </w:t>
      </w:r>
    </w:p>
    <w:p w14:paraId="3CBD4CDB">
      <w:pPr>
        <w:tabs>
          <w:tab w:val="left" w:pos="6300"/>
        </w:tabs>
        <w:snapToGrid w:val="0"/>
        <w:spacing w:line="360" w:lineRule="auto"/>
        <w:ind w:firstLine="570"/>
        <w:rPr>
          <w:rFonts w:ascii="宋体" w:hAnsi="宋体" w:cs="宋体"/>
          <w:sz w:val="21"/>
          <w:szCs w:val="21"/>
        </w:rPr>
      </w:pPr>
    </w:p>
    <w:p w14:paraId="74556844">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ascii="宋体" w:hAnsi="宋体" w:cs="宋体"/>
          <w:sz w:val="21"/>
          <w:szCs w:val="21"/>
        </w:rPr>
        <w:t>（采购人名称）：</w:t>
      </w:r>
    </w:p>
    <w:p w14:paraId="39E0055B">
      <w:pPr>
        <w:tabs>
          <w:tab w:val="left" w:pos="6300"/>
        </w:tabs>
        <w:snapToGrid w:val="0"/>
        <w:spacing w:line="360" w:lineRule="auto"/>
        <w:ind w:firstLine="420" w:firstLineChars="200"/>
        <w:rPr>
          <w:rFonts w:ascii="宋体" w:hAnsi="宋体" w:cs="宋体"/>
          <w:sz w:val="21"/>
          <w:szCs w:val="21"/>
        </w:rPr>
      </w:pPr>
      <w:bookmarkStart w:id="139" w:name="_Hlk528596054"/>
      <w:r>
        <w:rPr>
          <w:rFonts w:hint="eastAsia" w:ascii="宋体" w:hAnsi="宋体" w:cs="宋体"/>
          <w:sz w:val="21"/>
          <w:szCs w:val="21"/>
          <w:u w:val="single"/>
        </w:rPr>
        <w:t xml:space="preserve">                      </w:t>
      </w:r>
      <w:r>
        <w:rPr>
          <w:rFonts w:hint="eastAsia" w:ascii="宋体" w:hAnsi="宋体" w:cs="宋体"/>
          <w:sz w:val="21"/>
          <w:szCs w:val="21"/>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bookmarkEnd w:id="139"/>
      <w:r>
        <w:rPr>
          <w:rFonts w:hint="eastAsia" w:ascii="宋体" w:hAnsi="宋体" w:cs="宋体"/>
          <w:sz w:val="21"/>
          <w:szCs w:val="21"/>
        </w:rPr>
        <w:t>。</w:t>
      </w:r>
    </w:p>
    <w:p w14:paraId="65E78B2A">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特此声明。</w:t>
      </w:r>
    </w:p>
    <w:p w14:paraId="4E02B5FA">
      <w:pPr>
        <w:tabs>
          <w:tab w:val="left" w:pos="6300"/>
        </w:tabs>
        <w:snapToGrid w:val="0"/>
        <w:spacing w:line="360" w:lineRule="auto"/>
        <w:ind w:firstLine="570"/>
        <w:rPr>
          <w:rFonts w:ascii="宋体" w:hAnsi="宋体" w:cs="宋体"/>
          <w:sz w:val="21"/>
          <w:szCs w:val="21"/>
        </w:rPr>
      </w:pPr>
    </w:p>
    <w:p w14:paraId="1B3CB75C">
      <w:pPr>
        <w:tabs>
          <w:tab w:val="left" w:pos="6300"/>
        </w:tabs>
        <w:snapToGrid w:val="0"/>
        <w:spacing w:line="360" w:lineRule="auto"/>
        <w:ind w:firstLine="570"/>
        <w:rPr>
          <w:rFonts w:ascii="宋体" w:hAnsi="宋体" w:cs="宋体"/>
          <w:sz w:val="21"/>
          <w:szCs w:val="21"/>
        </w:rPr>
      </w:pPr>
    </w:p>
    <w:p w14:paraId="04753212">
      <w:pPr>
        <w:tabs>
          <w:tab w:val="left" w:pos="6300"/>
        </w:tabs>
        <w:snapToGrid w:val="0"/>
        <w:spacing w:line="360" w:lineRule="auto"/>
        <w:ind w:firstLine="570"/>
        <w:rPr>
          <w:rFonts w:ascii="宋体" w:hAnsi="宋体" w:cs="宋体"/>
          <w:sz w:val="21"/>
          <w:szCs w:val="21"/>
        </w:rPr>
      </w:pPr>
    </w:p>
    <w:p w14:paraId="2F403366">
      <w:pPr>
        <w:tabs>
          <w:tab w:val="left" w:pos="6300"/>
        </w:tabs>
        <w:snapToGrid w:val="0"/>
        <w:spacing w:line="360" w:lineRule="auto"/>
        <w:ind w:right="424" w:firstLine="570"/>
        <w:jc w:val="right"/>
        <w:rPr>
          <w:rFonts w:ascii="宋体" w:hAnsi="宋体" w:cs="宋体"/>
          <w:sz w:val="21"/>
          <w:szCs w:val="21"/>
        </w:rPr>
      </w:pPr>
      <w:r>
        <w:rPr>
          <w:rFonts w:hint="eastAsia" w:ascii="宋体" w:hAnsi="宋体" w:cs="宋体"/>
          <w:sz w:val="21"/>
          <w:szCs w:val="21"/>
        </w:rPr>
        <w:t>（供应商公章）</w:t>
      </w:r>
    </w:p>
    <w:p w14:paraId="12399F85">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年   月   日</w:t>
      </w:r>
    </w:p>
    <w:p w14:paraId="687C198F">
      <w:pPr>
        <w:pStyle w:val="31"/>
        <w:snapToGrid w:val="0"/>
        <w:spacing w:before="120" w:after="120" w:line="360" w:lineRule="auto"/>
        <w:ind w:firstLine="420" w:firstLineChars="200"/>
        <w:rPr>
          <w:rFonts w:hint="eastAsia" w:hAnsi="宋体"/>
          <w:szCs w:val="21"/>
        </w:rPr>
      </w:pPr>
      <w:r>
        <w:rPr>
          <w:rFonts w:hint="eastAsia" w:hAnsi="宋体" w:cs="宋体"/>
        </w:rPr>
        <w:br w:type="page"/>
      </w:r>
      <w:r>
        <w:rPr>
          <w:rFonts w:hint="eastAsia" w:hAnsi="宋体"/>
          <w:szCs w:val="21"/>
        </w:rPr>
        <w:t>（五）近三个月内任意一个月依法纳税的缴款凭证（复印件加盖投标人公章）（投标人依法享受缓缴、免缴的提供相关证明材料）</w:t>
      </w:r>
    </w:p>
    <w:p w14:paraId="12CB9BFF">
      <w:pPr>
        <w:pStyle w:val="31"/>
        <w:snapToGrid w:val="0"/>
        <w:spacing w:before="120" w:after="120" w:line="360" w:lineRule="auto"/>
        <w:ind w:firstLine="420" w:firstLineChars="200"/>
        <w:rPr>
          <w:rFonts w:hint="eastAsia" w:hAnsi="宋体"/>
          <w:szCs w:val="21"/>
        </w:rPr>
      </w:pPr>
    </w:p>
    <w:p w14:paraId="1B925B3D">
      <w:pPr>
        <w:pStyle w:val="31"/>
        <w:snapToGrid w:val="0"/>
        <w:spacing w:before="120" w:after="120" w:line="360" w:lineRule="auto"/>
        <w:ind w:firstLine="420" w:firstLineChars="200"/>
        <w:rPr>
          <w:rFonts w:hint="eastAsia" w:hAnsi="宋体"/>
          <w:szCs w:val="21"/>
        </w:rPr>
      </w:pPr>
      <w:r>
        <w:rPr>
          <w:rFonts w:hint="eastAsia" w:hAnsi="宋体"/>
          <w:szCs w:val="21"/>
        </w:rPr>
        <w:t>（六）近三个月内任意一个月缴纳职工社会保障资金的缴款凭证或缴款证明)（投标人依法享受缓缴、免缴的提供相关证明材料）</w:t>
      </w:r>
    </w:p>
    <w:p w14:paraId="008E1254">
      <w:pPr>
        <w:pStyle w:val="31"/>
        <w:snapToGrid w:val="0"/>
        <w:spacing w:before="120" w:after="120" w:line="360" w:lineRule="auto"/>
        <w:ind w:firstLine="420" w:firstLineChars="200"/>
        <w:rPr>
          <w:rFonts w:hint="eastAsia" w:hAnsi="宋体"/>
          <w:szCs w:val="21"/>
        </w:rPr>
      </w:pPr>
    </w:p>
    <w:p w14:paraId="396B4419">
      <w:pPr>
        <w:pStyle w:val="31"/>
        <w:snapToGrid w:val="0"/>
        <w:spacing w:before="120" w:after="120" w:line="360" w:lineRule="auto"/>
        <w:ind w:firstLine="420" w:firstLineChars="200"/>
        <w:rPr>
          <w:rFonts w:hint="eastAsia" w:hAnsi="宋体"/>
          <w:szCs w:val="21"/>
        </w:rPr>
      </w:pPr>
      <w:r>
        <w:rPr>
          <w:rFonts w:hint="eastAsia" w:hAnsi="宋体"/>
          <w:szCs w:val="21"/>
        </w:rPr>
        <w:t>（七）供应商提供信用中国网站（www.creditchina.gov.cn）以下内容的查询结果网页打印件并加盖供应商公章（查询信息为供应商名称）</w:t>
      </w:r>
    </w:p>
    <w:p w14:paraId="721B3BEB">
      <w:pPr>
        <w:pStyle w:val="31"/>
        <w:snapToGrid w:val="0"/>
        <w:spacing w:before="120" w:after="120" w:line="360" w:lineRule="auto"/>
        <w:ind w:firstLine="420" w:firstLineChars="200"/>
        <w:rPr>
          <w:rFonts w:hint="eastAsia" w:hAnsi="宋体"/>
          <w:szCs w:val="21"/>
        </w:rPr>
      </w:pPr>
      <w:r>
        <w:rPr>
          <w:rFonts w:hint="eastAsia" w:hAnsi="宋体"/>
          <w:szCs w:val="21"/>
        </w:rPr>
        <w:t>1.“信用信息”查询结果；</w:t>
      </w:r>
    </w:p>
    <w:p w14:paraId="2DC26A82">
      <w:pPr>
        <w:pStyle w:val="31"/>
        <w:snapToGrid w:val="0"/>
        <w:spacing w:before="120" w:after="120" w:line="360" w:lineRule="auto"/>
        <w:ind w:firstLine="420" w:firstLineChars="200"/>
        <w:rPr>
          <w:rFonts w:hint="eastAsia" w:hAnsi="宋体"/>
          <w:szCs w:val="21"/>
        </w:rPr>
      </w:pPr>
      <w:r>
        <w:rPr>
          <w:rFonts w:hint="eastAsia" w:hAnsi="宋体"/>
          <w:szCs w:val="21"/>
        </w:rPr>
        <w:t>2.“失信被执行人”查询结果；</w:t>
      </w:r>
    </w:p>
    <w:p w14:paraId="583D106E">
      <w:pPr>
        <w:pStyle w:val="31"/>
        <w:snapToGrid w:val="0"/>
        <w:spacing w:before="120" w:after="120" w:line="360" w:lineRule="auto"/>
        <w:ind w:firstLine="420" w:firstLineChars="200"/>
        <w:rPr>
          <w:rFonts w:hint="eastAsia" w:hAnsi="宋体"/>
          <w:szCs w:val="21"/>
        </w:rPr>
      </w:pPr>
      <w:r>
        <w:rPr>
          <w:rFonts w:hint="eastAsia" w:hAnsi="宋体"/>
          <w:szCs w:val="21"/>
        </w:rPr>
        <w:t>3.“重大税收违法案件当事人名单”查询结果；</w:t>
      </w:r>
    </w:p>
    <w:p w14:paraId="566CD2F3">
      <w:pPr>
        <w:pStyle w:val="31"/>
        <w:snapToGrid w:val="0"/>
        <w:spacing w:before="120" w:after="120" w:line="360" w:lineRule="auto"/>
        <w:ind w:firstLine="420" w:firstLineChars="200"/>
        <w:rPr>
          <w:rFonts w:hint="eastAsia" w:hAnsi="宋体"/>
          <w:szCs w:val="21"/>
        </w:rPr>
      </w:pPr>
    </w:p>
    <w:p w14:paraId="34E14AA1">
      <w:pPr>
        <w:pStyle w:val="31"/>
        <w:snapToGrid w:val="0"/>
        <w:spacing w:before="120" w:after="120" w:line="360" w:lineRule="auto"/>
        <w:ind w:firstLine="420" w:firstLineChars="200"/>
        <w:rPr>
          <w:rFonts w:hint="eastAsia" w:hAnsi="宋体"/>
          <w:szCs w:val="21"/>
        </w:rPr>
      </w:pPr>
      <w:r>
        <w:rPr>
          <w:rFonts w:hint="eastAsia" w:hAnsi="宋体"/>
          <w:szCs w:val="21"/>
        </w:rPr>
        <w:t>（八）供应商提供中国政府采购网（www.ccgp.gov.cn）“政府采购严重违法失信行为记录名单”查询结果，提供查询结果网页打印件并加盖供应商公章（查询信息为供应商名称）</w:t>
      </w:r>
    </w:p>
    <w:p w14:paraId="70DD29B3">
      <w:pPr>
        <w:pStyle w:val="31"/>
        <w:snapToGrid w:val="0"/>
        <w:spacing w:before="120" w:after="120" w:line="360" w:lineRule="auto"/>
        <w:ind w:firstLine="420" w:firstLineChars="200"/>
        <w:rPr>
          <w:rFonts w:hint="eastAsia" w:hAnsi="宋体"/>
          <w:szCs w:val="21"/>
        </w:rPr>
      </w:pPr>
    </w:p>
    <w:p w14:paraId="344EC18F">
      <w:pPr>
        <w:pStyle w:val="31"/>
        <w:numPr>
          <w:ilvl w:val="0"/>
          <w:numId w:val="14"/>
        </w:numPr>
        <w:snapToGrid w:val="0"/>
        <w:spacing w:before="120" w:after="120" w:line="360" w:lineRule="auto"/>
        <w:ind w:firstLine="420" w:firstLineChars="200"/>
        <w:rPr>
          <w:rFonts w:hint="eastAsia" w:hAnsi="宋体" w:eastAsia="宋体" w:cs="Times New Roman"/>
          <w:szCs w:val="21"/>
        </w:rPr>
      </w:pPr>
      <w:r>
        <w:rPr>
          <w:rFonts w:hint="eastAsia" w:hAnsi="宋体" w:eastAsia="宋体" w:cs="Times New Roman"/>
          <w:szCs w:val="21"/>
        </w:rPr>
        <w:t>特定资格条件：</w:t>
      </w:r>
    </w:p>
    <w:p w14:paraId="56336841">
      <w:pPr>
        <w:pStyle w:val="31"/>
        <w:snapToGrid w:val="0"/>
        <w:spacing w:before="120" w:after="120" w:line="360" w:lineRule="auto"/>
        <w:ind w:firstLine="420" w:firstLineChars="200"/>
        <w:rPr>
          <w:rFonts w:hint="eastAsia" w:ascii="宋体" w:hAnsi="宋体" w:eastAsia="宋体" w:cs="Times New Roman"/>
          <w:szCs w:val="21"/>
        </w:rPr>
      </w:pPr>
      <w:r>
        <w:rPr>
          <w:rFonts w:hint="eastAsia" w:ascii="宋体" w:hAnsi="宋体" w:eastAsia="宋体" w:cs="Times New Roman"/>
          <w:szCs w:val="21"/>
          <w:lang w:val="en-US" w:eastAsia="zh-CN"/>
        </w:rPr>
        <w:t>1.拟派项目负责人具备一级注册造价工程师资格(安装工程)，提供证书复印件加盖公章以及供应商为其缴纳的投标截止日前1个月的养老保险缴费证明（新成立企业距投标截止日不足30日的，可不提供社保证明材料，以企业营业执照成立日期为准），否则相关人员不予认可。</w:t>
      </w:r>
    </w:p>
    <w:p w14:paraId="36E18B16">
      <w:pPr>
        <w:pStyle w:val="31"/>
        <w:numPr>
          <w:ilvl w:val="0"/>
          <w:numId w:val="0"/>
        </w:numPr>
        <w:snapToGrid w:val="0"/>
        <w:spacing w:before="120" w:after="120" w:line="360" w:lineRule="auto"/>
        <w:rPr>
          <w:rFonts w:hint="eastAsia" w:hAnsi="宋体" w:eastAsia="宋体" w:cs="Times New Roman"/>
          <w:szCs w:val="21"/>
        </w:rPr>
      </w:pPr>
    </w:p>
    <w:p w14:paraId="2569E056">
      <w:pPr>
        <w:tabs>
          <w:tab w:val="left" w:pos="6300"/>
        </w:tabs>
        <w:snapToGrid w:val="0"/>
        <w:spacing w:line="312" w:lineRule="auto"/>
        <w:ind w:firstLine="570"/>
        <w:rPr>
          <w:rFonts w:ascii="宋体" w:hAnsi="宋体" w:cs="宋体"/>
        </w:rPr>
      </w:pPr>
    </w:p>
    <w:p w14:paraId="7B5ED726">
      <w:pPr>
        <w:pStyle w:val="5"/>
        <w:spacing w:before="0" w:after="0" w:line="312" w:lineRule="auto"/>
        <w:rPr>
          <w:rFonts w:hint="eastAsia" w:ascii="宋体" w:hAnsi="宋体" w:eastAsia="宋体" w:cs="宋体"/>
          <w:sz w:val="24"/>
          <w:szCs w:val="24"/>
          <w:lang w:eastAsia="zh-CN"/>
        </w:rPr>
      </w:pPr>
      <w:bookmarkStart w:id="140" w:name="_Toc24008"/>
      <w:bookmarkStart w:id="141" w:name="_Toc18286"/>
      <w:bookmarkStart w:id="142" w:name="_Toc14422"/>
      <w:bookmarkStart w:id="143" w:name="_Toc24583"/>
      <w:r>
        <w:rPr>
          <w:rFonts w:hint="eastAsia" w:ascii="宋体" w:hAnsi="宋体" w:eastAsia="宋体" w:cs="宋体"/>
          <w:b/>
          <w:sz w:val="24"/>
          <w:szCs w:val="24"/>
        </w:rPr>
        <w:t>五、其他应提供的资料</w:t>
      </w:r>
      <w:bookmarkEnd w:id="140"/>
      <w:bookmarkEnd w:id="141"/>
      <w:bookmarkEnd w:id="142"/>
      <w:bookmarkEnd w:id="143"/>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如有</w:t>
      </w:r>
      <w:r>
        <w:rPr>
          <w:rFonts w:hint="eastAsia" w:ascii="宋体" w:hAnsi="宋体" w:eastAsia="宋体" w:cs="宋体"/>
          <w:b/>
          <w:sz w:val="24"/>
          <w:szCs w:val="24"/>
          <w:lang w:eastAsia="zh-CN"/>
        </w:rPr>
        <w:t>）</w:t>
      </w:r>
    </w:p>
    <w:p w14:paraId="79452FB8">
      <w:pPr>
        <w:pStyle w:val="31"/>
        <w:snapToGrid w:val="0"/>
        <w:spacing w:before="120" w:after="120" w:line="360" w:lineRule="auto"/>
        <w:ind w:firstLine="420" w:firstLineChars="200"/>
        <w:rPr>
          <w:rFonts w:hint="eastAsia" w:hAnsi="宋体"/>
          <w:szCs w:val="21"/>
        </w:rPr>
      </w:pPr>
      <w:r>
        <w:rPr>
          <w:rFonts w:hint="eastAsia" w:hAnsi="宋体"/>
          <w:szCs w:val="21"/>
        </w:rPr>
        <w:t>（一）其他资料</w:t>
      </w:r>
    </w:p>
    <w:p w14:paraId="66663818">
      <w:pPr>
        <w:pStyle w:val="31"/>
        <w:snapToGrid w:val="0"/>
        <w:spacing w:before="120" w:after="120" w:line="360" w:lineRule="auto"/>
        <w:ind w:firstLine="420" w:firstLineChars="200"/>
        <w:rPr>
          <w:rFonts w:hAnsi="宋体" w:cs="宋体"/>
          <w:sz w:val="24"/>
          <w:szCs w:val="24"/>
        </w:rPr>
      </w:pPr>
      <w:r>
        <w:rPr>
          <w:rFonts w:hint="eastAsia" w:hAnsi="宋体"/>
          <w:szCs w:val="21"/>
        </w:rPr>
        <w:t>1、其他与项目有关的资料（自附）：供应商总体情况介绍、其他与本项目有关的资料等。</w:t>
      </w:r>
    </w:p>
    <w:sectPr>
      <w:headerReference r:id="rId12" w:type="default"/>
      <w:footerReference r:id="rId13" w:type="default"/>
      <w:pgSz w:w="11907" w:h="16840"/>
      <w:pgMar w:top="1134" w:right="1191" w:bottom="1134" w:left="1304" w:header="851" w:footer="992" w:gutter="0"/>
      <w:pgBorders>
        <w:top w:val="none" w:sz="0" w:space="0"/>
        <w:left w:val="none" w:sz="0" w:space="0"/>
        <w:bottom w:val="none" w:sz="0" w:space="0"/>
        <w:right w:val="none" w:sz="0" w:space="0"/>
      </w:pgBorders>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49E39D7">
    <w:pPr>
      <w:pStyle w:val="36"/>
      <w:framePr w:wrap="around" w:vAnchor="text" w:hAnchor="margin" w:xAlign="center" w:y="1"/>
      <w:rPr>
        <w:rStyle w:val="62"/>
      </w:rPr>
    </w:pPr>
    <w:r>
      <w:fldChar w:fldCharType="begin"/>
    </w:r>
    <w:r>
      <w:rPr>
        <w:rStyle w:val="62"/>
      </w:rPr>
      <w:instrText xml:space="preserve">PAGE  </w:instrText>
    </w:r>
    <w:r>
      <w:fldChar w:fldCharType="end"/>
    </w:r>
  </w:p>
  <w:p w14:paraId="397F77FB">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175BE7E">
    <w:pPr>
      <w:pStyle w:val="36"/>
      <w:framePr w:wrap="around" w:vAnchor="text" w:hAnchor="margin" w:xAlign="center" w:y="1"/>
      <w:rPr>
        <w:rStyle w:val="62"/>
      </w:rPr>
    </w:pPr>
  </w:p>
  <w:p w14:paraId="3C898EA8">
    <w:pPr>
      <w:pStyle w:val="36"/>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C623A1D">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0934ED">
    <w:pPr>
      <w:pStyle w:val="3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3" name="文本框 9"/>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wps:spPr>
                    <wps:txbx>
                      <w:txbxContent>
                        <w:p w14:paraId="2F10828F">
                          <w:pPr>
                            <w:pStyle w:val="36"/>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qRS7NAAAAADAQAADwAAAAAAAAABACAAAAAiAAAAZHJzL2Rvd25y&#10;ZXYueG1sUEsBAhQAFAAAAAgAh07iQHjNlpDNAQAAlwMAAA4AAAAAAAAAAQAgAAAAHwEAAGRycy9l&#10;Mm9Eb2MueG1sUEsFBgAAAAAGAAYAWQEAAF4FAAAAAA==&#10;">
              <v:fill on="f" focussize="0,0"/>
              <v:stroke on="f"/>
              <v:imagedata o:title=""/>
              <o:lock v:ext="edit" aspectratio="f"/>
              <v:textbox inset="0mm,0mm,0mm,0mm" style="mso-fit-shape-to-text:t;">
                <w:txbxContent>
                  <w:p w14:paraId="2F10828F">
                    <w:pPr>
                      <w:pStyle w:val="3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6307E21">
    <w:pPr>
      <w:pStyle w:val="36"/>
      <w:rPr>
        <w:rFonts w:ascii="宋体" w:hAnsi="宋体"/>
        <w:sz w:val="21"/>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wps:spPr>
                    <wps:txbx>
                      <w:txbxContent>
                        <w:p w14:paraId="1BCC5BCA">
                          <w:pPr>
                            <w:pStyle w:val="36"/>
                          </w:pPr>
                          <w:r>
                            <w:t xml:space="preserve">— </w:t>
                          </w:r>
                          <w:r>
                            <w:fldChar w:fldCharType="begin"/>
                          </w:r>
                          <w:r>
                            <w:instrText xml:space="preserve"> PAGE  \* MERGEFORMAT </w:instrText>
                          </w:r>
                          <w:r>
                            <w:fldChar w:fldCharType="separate"/>
                          </w:r>
                          <w:r>
                            <w:t>3</w:t>
                          </w:r>
                          <w:r>
                            <w:fldChar w:fldCharType="end"/>
                          </w:r>
                          <w:r>
                            <w:t xml:space="preserve"> —</w:t>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qRS7NAAAAADAQAADwAAAAAAAAABACAAAAAiAAAAZHJzL2Rvd25y&#10;ZXYueG1sUEsBAhQAFAAAAAgAh07iQIGIFhDNAQAAmAMAAA4AAAAAAAAAAQAgAAAAHwEAAGRycy9l&#10;Mm9Eb2MueG1sUEsFBgAAAAAGAAYAWQEAAF4FAAAAAA==&#10;">
              <v:fill on="f" focussize="0,0"/>
              <v:stroke on="f"/>
              <v:imagedata o:title=""/>
              <o:lock v:ext="edit" aspectratio="f"/>
              <v:textbox inset="0mm,0mm,0mm,0mm" style="mso-fit-shape-to-text:t;">
                <w:txbxContent>
                  <w:p w14:paraId="1BCC5BCA">
                    <w:pPr>
                      <w:pStyle w:val="36"/>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392B5C6">
    <w:pPr>
      <w:pStyle w:val="36"/>
      <w:framePr w:wrap="around" w:vAnchor="text" w:hAnchor="margin" w:xAlign="center" w:y="1"/>
      <w:rPr>
        <w:rStyle w:val="62"/>
      </w:rPr>
    </w:pPr>
    <w:r>
      <w:fldChar w:fldCharType="begin"/>
    </w:r>
    <w:r>
      <w:rPr>
        <w:rStyle w:val="62"/>
      </w:rPr>
      <w:instrText xml:space="preserve">PAGE  </w:instrText>
    </w:r>
    <w:r>
      <w:fldChar w:fldCharType="end"/>
    </w:r>
  </w:p>
  <w:p w14:paraId="6295B286">
    <w:pPr>
      <w:pStyle w:val="3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715F002">
    <w:pPr>
      <w:pStyle w:val="36"/>
      <w:ind w:left="426" w:hanging="420"/>
      <w:rPr>
        <w:rFonts w:ascii="宋体" w:hAnsi="宋体"/>
        <w:sz w:val="21"/>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wps:spPr>
                    <wps:txbx>
                      <w:txbxContent>
                        <w:p w14:paraId="52E660B9">
                          <w:pPr>
                            <w:pStyle w:val="36"/>
                          </w:pPr>
                          <w:r>
                            <w:t xml:space="preserve">— </w:t>
                          </w:r>
                          <w:r>
                            <w:fldChar w:fldCharType="begin"/>
                          </w:r>
                          <w:r>
                            <w:instrText xml:space="preserve"> PAGE  \* MERGEFORMAT </w:instrText>
                          </w:r>
                          <w:r>
                            <w:fldChar w:fldCharType="separate"/>
                          </w:r>
                          <w:r>
                            <w:t>20</w:t>
                          </w:r>
                          <w:r>
                            <w:fldChar w:fldCharType="end"/>
                          </w:r>
                          <w:r>
                            <w:t xml:space="preserve"> —</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KkUuzQAAAAAwEAAA8AAAAAAAAAAQAgAAAAIgAAAGRycy9kb3du&#10;cmV2LnhtbFBLAQIUABQAAAAIAIdO4kCMkTOlzgEAAJgDAAAOAAAAAAAAAAEAIAAAAB8BAABkcnMv&#10;ZTJvRG9jLnhtbFBLBQYAAAAABgAGAFkBAABfBQAAAAA=&#10;">
              <v:fill on="f" focussize="0,0"/>
              <v:stroke on="f"/>
              <v:imagedata o:title=""/>
              <o:lock v:ext="edit" aspectratio="f"/>
              <v:textbox inset="0mm,0mm,0mm,0mm" style="mso-fit-shape-to-text:t;">
                <w:txbxContent>
                  <w:p w14:paraId="52E660B9">
                    <w:pPr>
                      <w:pStyle w:val="36"/>
                    </w:pPr>
                    <w:r>
                      <w:t xml:space="preserve">— </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0DC731">
    <w:pPr>
      <w:pStyle w:val="3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47650" cy="131445"/>
              <wp:effectExtent l="0" t="0" r="0" b="0"/>
              <wp:wrapNone/>
              <wp:docPr id="6" name="文本框 15"/>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a:noFill/>
                      </a:ln>
                    </wps:spPr>
                    <wps:txbx>
                      <w:txbxContent>
                        <w:p w14:paraId="65F43B60">
                          <w:pPr>
                            <w:pStyle w:val="36"/>
                          </w:pPr>
                          <w:r>
                            <w:t xml:space="preserve">— </w:t>
                          </w:r>
                          <w:r>
                            <w:fldChar w:fldCharType="begin"/>
                          </w:r>
                          <w:r>
                            <w:instrText xml:space="preserve"> PAGE  \* MERGEFORMAT </w:instrText>
                          </w:r>
                          <w:r>
                            <w:fldChar w:fldCharType="separate"/>
                          </w:r>
                          <w:r>
                            <w:t>23</w:t>
                          </w:r>
                          <w:r>
                            <w:fldChar w:fldCharType="end"/>
                          </w:r>
                          <w:r>
                            <w:t xml:space="preserve"> —</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0.35pt;width:19.5pt;mso-position-horizontal:center;mso-position-horizontal-relative:margin;mso-wrap-style:none;z-index:251662336;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sUjg0AAAAAMBAAAPAAAAAAAAAAEAIAAAACIAAABkcnMvZG93&#10;bnJldi54bWxQSwECFAAUAAAACACHTuJAPe28ms8BAACYAwAADgAAAAAAAAABACAAAAAfAQAAZHJz&#10;L2Uyb0RvYy54bWxQSwUGAAAAAAYABgBZAQAAYAUAAAAA&#10;">
              <v:fill on="f" focussize="0,0"/>
              <v:stroke on="f"/>
              <v:imagedata o:title=""/>
              <o:lock v:ext="edit" aspectratio="f"/>
              <v:textbox inset="0mm,0mm,0mm,0mm" style="mso-fit-shape-to-text:t;">
                <w:txbxContent>
                  <w:p w14:paraId="65F43B60">
                    <w:pPr>
                      <w:pStyle w:val="36"/>
                    </w:pPr>
                    <w:r>
                      <w:t xml:space="preserve">— </w:t>
                    </w:r>
                    <w:r>
                      <w:fldChar w:fldCharType="begin"/>
                    </w:r>
                    <w:r>
                      <w:instrText xml:space="preserve"> PAGE  \* MERGEFORMAT </w:instrText>
                    </w:r>
                    <w:r>
                      <w:fldChar w:fldCharType="separate"/>
                    </w:r>
                    <w:r>
                      <w:t>23</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6656D8D">
    <w:pPr>
      <w:pStyle w:val="37"/>
      <w:pBdr>
        <w:bottom w:val="none" w:color="auto" w:sz="0" w:space="1"/>
      </w:pBdr>
      <w:jc w:val="both"/>
      <w:rPr>
        <w:rFonts w:hint="eastAsia" w:ascii="宋体" w:hAnsi="宋体" w:cs="宋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90EBE9">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DECB34E">
    <w:pPr>
      <w:pStyle w:val="3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CA854"/>
    <w:multiLevelType w:val="singleLevel"/>
    <w:tmpl w:val="D61CA854"/>
    <w:lvl w:ilvl="0" w:tentative="0">
      <w:start w:val="9"/>
      <w:numFmt w:val="chineseCounting"/>
      <w:suff w:val="nothing"/>
      <w:lvlText w:val="（%1）"/>
      <w:lvlJc w:val="left"/>
      <w:rPr>
        <w:rFonts w:hint="eastAsia"/>
      </w:rPr>
    </w:lvl>
  </w:abstractNum>
  <w:abstractNum w:abstractNumId="1">
    <w:nsid w:val="00000001"/>
    <w:multiLevelType w:val="multilevel"/>
    <w:tmpl w:val="00000001"/>
    <w:lvl w:ilvl="0" w:tentative="0">
      <w:start w:val="1"/>
      <w:numFmt w:val="bullet"/>
      <w:pStyle w:val="206"/>
      <w:lvlText w:val=""/>
      <w:lvlJc w:val="left"/>
      <w:pPr>
        <w:tabs>
          <w:tab w:val="left" w:pos="1697"/>
        </w:tabs>
        <w:ind w:left="1697" w:hanging="420"/>
      </w:pPr>
      <w:rPr>
        <w:rFonts w:hint="default" w:ascii="Wingdings" w:hAnsi="Wingdings"/>
      </w:rPr>
    </w:lvl>
    <w:lvl w:ilvl="1" w:tentative="0">
      <w:start w:val="1"/>
      <w:numFmt w:val="lowerLetter"/>
      <w:lvlText w:val="%2)"/>
      <w:lvlJc w:val="left"/>
      <w:pPr>
        <w:tabs>
          <w:tab w:val="left" w:pos="1550"/>
        </w:tabs>
        <w:ind w:left="1550" w:hanging="420"/>
      </w:pPr>
    </w:lvl>
    <w:lvl w:ilvl="2" w:tentative="0">
      <w:start w:val="1"/>
      <w:numFmt w:val="decimal"/>
      <w:lvlText w:val="%3、"/>
      <w:lvlJc w:val="left"/>
      <w:pPr>
        <w:tabs>
          <w:tab w:val="left" w:pos="1910"/>
        </w:tabs>
        <w:ind w:left="1910" w:hanging="360"/>
      </w:pPr>
      <w:rPr>
        <w:rFonts w:hint="eastAsia"/>
      </w:rPr>
    </w:lvl>
    <w:lvl w:ilvl="3" w:tentative="0">
      <w:start w:val="1"/>
      <w:numFmt w:val="bullet"/>
      <w:lvlText w:val=""/>
      <w:lvlJc w:val="left"/>
      <w:pPr>
        <w:tabs>
          <w:tab w:val="left" w:pos="2390"/>
        </w:tabs>
        <w:ind w:left="2390" w:hanging="420"/>
      </w:pPr>
      <w:rPr>
        <w:rFonts w:hint="default" w:ascii="Wingdings" w:hAnsi="Wingdings"/>
      </w:rPr>
    </w:lvl>
    <w:lvl w:ilvl="4" w:tentative="0">
      <w:start w:val="1"/>
      <w:numFmt w:val="lowerLetter"/>
      <w:lvlText w:val="%5)"/>
      <w:lvlJc w:val="left"/>
      <w:pPr>
        <w:tabs>
          <w:tab w:val="left" w:pos="2810"/>
        </w:tabs>
        <w:ind w:left="2810" w:hanging="420"/>
      </w:pPr>
    </w:lvl>
    <w:lvl w:ilvl="5" w:tentative="0">
      <w:start w:val="1"/>
      <w:numFmt w:val="lowerRoman"/>
      <w:lvlText w:val="%6."/>
      <w:lvlJc w:val="right"/>
      <w:pPr>
        <w:tabs>
          <w:tab w:val="left" w:pos="3230"/>
        </w:tabs>
        <w:ind w:left="3230" w:hanging="420"/>
      </w:pPr>
    </w:lvl>
    <w:lvl w:ilvl="6" w:tentative="0">
      <w:start w:val="1"/>
      <w:numFmt w:val="decimal"/>
      <w:lvlText w:val="%7."/>
      <w:lvlJc w:val="left"/>
      <w:pPr>
        <w:tabs>
          <w:tab w:val="left" w:pos="3650"/>
        </w:tabs>
        <w:ind w:left="3650" w:hanging="420"/>
      </w:pPr>
    </w:lvl>
    <w:lvl w:ilvl="7" w:tentative="0">
      <w:start w:val="1"/>
      <w:numFmt w:val="lowerLetter"/>
      <w:lvlText w:val="%8)"/>
      <w:lvlJc w:val="left"/>
      <w:pPr>
        <w:tabs>
          <w:tab w:val="left" w:pos="4070"/>
        </w:tabs>
        <w:ind w:left="4070" w:hanging="420"/>
      </w:pPr>
    </w:lvl>
    <w:lvl w:ilvl="8" w:tentative="0">
      <w:start w:val="1"/>
      <w:numFmt w:val="lowerRoman"/>
      <w:lvlText w:val="%9."/>
      <w:lvlJc w:val="right"/>
      <w:pPr>
        <w:tabs>
          <w:tab w:val="left" w:pos="4490"/>
        </w:tabs>
        <w:ind w:left="4490" w:hanging="420"/>
      </w:pPr>
    </w:lvl>
  </w:abstractNum>
  <w:abstractNum w:abstractNumId="2">
    <w:nsid w:val="00000002"/>
    <w:multiLevelType w:val="singleLevel"/>
    <w:tmpl w:val="00000002"/>
    <w:lvl w:ilvl="0" w:tentative="0">
      <w:start w:val="1"/>
      <w:numFmt w:val="bullet"/>
      <w:pStyle w:val="144"/>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9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155"/>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211"/>
      <w:suff w:val="nothing"/>
      <w:lvlText w:val="附　录　%1"/>
      <w:lvlJc w:val="left"/>
      <w:pPr>
        <w:ind w:left="0" w:firstLine="0"/>
      </w:pPr>
      <w:rPr>
        <w:rFonts w:hint="eastAsia" w:ascii="黑体" w:hAnsi="Times New Roman" w:eastAsia="黑体"/>
        <w:b w:val="0"/>
        <w:i w:val="0"/>
        <w:sz w:val="21"/>
      </w:rPr>
    </w:lvl>
    <w:lvl w:ilvl="1" w:tentative="0">
      <w:start w:val="1"/>
      <w:numFmt w:val="decimal"/>
      <w:pStyle w:val="16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8">
    <w:nsid w:val="00000011"/>
    <w:multiLevelType w:val="singleLevel"/>
    <w:tmpl w:val="00000011"/>
    <w:lvl w:ilvl="0" w:tentative="0">
      <w:start w:val="1"/>
      <w:numFmt w:val="decimal"/>
      <w:pStyle w:val="14"/>
      <w:lvlText w:val="%1."/>
      <w:lvlJc w:val="left"/>
      <w:pPr>
        <w:tabs>
          <w:tab w:val="left" w:pos="425"/>
        </w:tabs>
        <w:ind w:left="425" w:hanging="425"/>
      </w:pPr>
      <w:rPr>
        <w:rFonts w:hint="default"/>
      </w:rPr>
    </w:lvl>
  </w:abstractNum>
  <w:abstractNum w:abstractNumId="9">
    <w:nsid w:val="00000012"/>
    <w:multiLevelType w:val="multilevel"/>
    <w:tmpl w:val="00000012"/>
    <w:lvl w:ilvl="0" w:tentative="0">
      <w:start w:val="1"/>
      <w:numFmt w:val="bullet"/>
      <w:pStyle w:val="164"/>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1">
    <w:nsid w:val="00000014"/>
    <w:multiLevelType w:val="singleLevel"/>
    <w:tmpl w:val="00000014"/>
    <w:lvl w:ilvl="0" w:tentative="0">
      <w:start w:val="1"/>
      <w:numFmt w:val="decimal"/>
      <w:pStyle w:val="242"/>
      <w:lvlText w:val="%1)"/>
      <w:lvlJc w:val="left"/>
      <w:pPr>
        <w:tabs>
          <w:tab w:val="left" w:pos="425"/>
        </w:tabs>
        <w:ind w:left="425" w:hanging="425"/>
      </w:pPr>
      <w:rPr>
        <w:rFonts w:hint="eastAsia"/>
      </w:rPr>
    </w:lvl>
  </w:abstractNum>
  <w:abstractNum w:abstractNumId="12">
    <w:nsid w:val="00000015"/>
    <w:multiLevelType w:val="multilevel"/>
    <w:tmpl w:val="00000015"/>
    <w:lvl w:ilvl="0" w:tentative="0">
      <w:start w:val="1"/>
      <w:numFmt w:val="chineseCountingThousand"/>
      <w:pStyle w:val="19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0567552"/>
    <w:multiLevelType w:val="singleLevel"/>
    <w:tmpl w:val="60567552"/>
    <w:lvl w:ilvl="0" w:tentative="0">
      <w:start w:val="2"/>
      <w:numFmt w:val="chineseCounting"/>
      <w:suff w:val="space"/>
      <w:lvlText w:val="第%1篇"/>
      <w:lvlJc w:val="left"/>
      <w:rPr>
        <w:rFonts w:hint="eastAsia"/>
      </w:rPr>
    </w:lvl>
  </w:abstractNum>
  <w:num w:numId="1">
    <w:abstractNumId w:val="8"/>
  </w:num>
  <w:num w:numId="2">
    <w:abstractNumId w:val="4"/>
  </w:num>
  <w:num w:numId="3">
    <w:abstractNumId w:val="10"/>
  </w:num>
  <w:num w:numId="4">
    <w:abstractNumId w:val="2"/>
  </w:num>
  <w:num w:numId="5">
    <w:abstractNumId w:val="7"/>
  </w:num>
  <w:num w:numId="6">
    <w:abstractNumId w:val="5"/>
  </w:num>
  <w:num w:numId="7">
    <w:abstractNumId w:val="9"/>
  </w:num>
  <w:num w:numId="8">
    <w:abstractNumId w:val="6"/>
  </w:num>
  <w:num w:numId="9">
    <w:abstractNumId w:val="12"/>
  </w:num>
  <w:num w:numId="10">
    <w:abstractNumId w:val="3"/>
  </w:num>
  <w:num w:numId="11">
    <w:abstractNumId w:val="1"/>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ZmMyYzg4YTZkMGMyMjc5YzRmYTEyYjI4NjYyY2UifQ=="/>
  </w:docVars>
  <w:rsids>
    <w:rsidRoot w:val="00172A27"/>
    <w:rsid w:val="000144C9"/>
    <w:rsid w:val="0002088C"/>
    <w:rsid w:val="0002391C"/>
    <w:rsid w:val="00023E7B"/>
    <w:rsid w:val="00032CA0"/>
    <w:rsid w:val="00033DAB"/>
    <w:rsid w:val="000370BC"/>
    <w:rsid w:val="00042D13"/>
    <w:rsid w:val="00052C61"/>
    <w:rsid w:val="00056A6E"/>
    <w:rsid w:val="0006478B"/>
    <w:rsid w:val="0008422C"/>
    <w:rsid w:val="000E232C"/>
    <w:rsid w:val="00111DCD"/>
    <w:rsid w:val="0011647C"/>
    <w:rsid w:val="00116BB6"/>
    <w:rsid w:val="00117275"/>
    <w:rsid w:val="001173E3"/>
    <w:rsid w:val="001306AD"/>
    <w:rsid w:val="001435CF"/>
    <w:rsid w:val="0015070D"/>
    <w:rsid w:val="0015525F"/>
    <w:rsid w:val="00156A4A"/>
    <w:rsid w:val="00165915"/>
    <w:rsid w:val="00166EEA"/>
    <w:rsid w:val="00172A27"/>
    <w:rsid w:val="001765E3"/>
    <w:rsid w:val="00192985"/>
    <w:rsid w:val="001A3E64"/>
    <w:rsid w:val="001E66E0"/>
    <w:rsid w:val="001F74AE"/>
    <w:rsid w:val="001F7FE2"/>
    <w:rsid w:val="00211D93"/>
    <w:rsid w:val="002122FC"/>
    <w:rsid w:val="0021327B"/>
    <w:rsid w:val="0021508E"/>
    <w:rsid w:val="0021595A"/>
    <w:rsid w:val="00223B9B"/>
    <w:rsid w:val="0022691C"/>
    <w:rsid w:val="002676B6"/>
    <w:rsid w:val="002676F5"/>
    <w:rsid w:val="00297EC4"/>
    <w:rsid w:val="002B0676"/>
    <w:rsid w:val="002B2872"/>
    <w:rsid w:val="002C7EDF"/>
    <w:rsid w:val="002F2847"/>
    <w:rsid w:val="002F5C86"/>
    <w:rsid w:val="00313FC6"/>
    <w:rsid w:val="00314FE1"/>
    <w:rsid w:val="00316DF3"/>
    <w:rsid w:val="00327C04"/>
    <w:rsid w:val="00330491"/>
    <w:rsid w:val="003332D6"/>
    <w:rsid w:val="003453EB"/>
    <w:rsid w:val="003609C0"/>
    <w:rsid w:val="003876E3"/>
    <w:rsid w:val="003878EB"/>
    <w:rsid w:val="00390355"/>
    <w:rsid w:val="003A0967"/>
    <w:rsid w:val="003B48D3"/>
    <w:rsid w:val="003E69B4"/>
    <w:rsid w:val="003E7CAB"/>
    <w:rsid w:val="003F65B5"/>
    <w:rsid w:val="003F7078"/>
    <w:rsid w:val="00421287"/>
    <w:rsid w:val="0043243B"/>
    <w:rsid w:val="00460545"/>
    <w:rsid w:val="00495D1A"/>
    <w:rsid w:val="0049754E"/>
    <w:rsid w:val="004A1198"/>
    <w:rsid w:val="004A2061"/>
    <w:rsid w:val="004B4D5B"/>
    <w:rsid w:val="004C55B8"/>
    <w:rsid w:val="005106F8"/>
    <w:rsid w:val="00531162"/>
    <w:rsid w:val="00537A61"/>
    <w:rsid w:val="00544AC9"/>
    <w:rsid w:val="0055266E"/>
    <w:rsid w:val="0055762B"/>
    <w:rsid w:val="00562F84"/>
    <w:rsid w:val="00570954"/>
    <w:rsid w:val="00574003"/>
    <w:rsid w:val="00575C69"/>
    <w:rsid w:val="00580744"/>
    <w:rsid w:val="00585037"/>
    <w:rsid w:val="005A4457"/>
    <w:rsid w:val="005C530A"/>
    <w:rsid w:val="005C7A84"/>
    <w:rsid w:val="005E2FE8"/>
    <w:rsid w:val="005F22A3"/>
    <w:rsid w:val="005F79DA"/>
    <w:rsid w:val="00601CCD"/>
    <w:rsid w:val="00625F79"/>
    <w:rsid w:val="00643888"/>
    <w:rsid w:val="006452FB"/>
    <w:rsid w:val="0065313C"/>
    <w:rsid w:val="00664DC0"/>
    <w:rsid w:val="00667DF3"/>
    <w:rsid w:val="006802F3"/>
    <w:rsid w:val="006A2801"/>
    <w:rsid w:val="006A3401"/>
    <w:rsid w:val="006C353F"/>
    <w:rsid w:val="006C7CD3"/>
    <w:rsid w:val="00702E6E"/>
    <w:rsid w:val="00723BC4"/>
    <w:rsid w:val="00731090"/>
    <w:rsid w:val="00733681"/>
    <w:rsid w:val="007347F6"/>
    <w:rsid w:val="007442A0"/>
    <w:rsid w:val="00755658"/>
    <w:rsid w:val="00773049"/>
    <w:rsid w:val="00791D34"/>
    <w:rsid w:val="007A3A16"/>
    <w:rsid w:val="007A7224"/>
    <w:rsid w:val="007E13BD"/>
    <w:rsid w:val="007E1D36"/>
    <w:rsid w:val="007F2A53"/>
    <w:rsid w:val="007F6160"/>
    <w:rsid w:val="00854CC0"/>
    <w:rsid w:val="00854ED3"/>
    <w:rsid w:val="00872901"/>
    <w:rsid w:val="008825DA"/>
    <w:rsid w:val="008B1A71"/>
    <w:rsid w:val="008C5022"/>
    <w:rsid w:val="008D2ECF"/>
    <w:rsid w:val="009261F0"/>
    <w:rsid w:val="009302D1"/>
    <w:rsid w:val="00936197"/>
    <w:rsid w:val="00940646"/>
    <w:rsid w:val="009415FC"/>
    <w:rsid w:val="0094320F"/>
    <w:rsid w:val="009570EF"/>
    <w:rsid w:val="00962AED"/>
    <w:rsid w:val="009710AF"/>
    <w:rsid w:val="0097589B"/>
    <w:rsid w:val="0099728C"/>
    <w:rsid w:val="009A317C"/>
    <w:rsid w:val="009A770F"/>
    <w:rsid w:val="009B4011"/>
    <w:rsid w:val="009C273F"/>
    <w:rsid w:val="009E62CD"/>
    <w:rsid w:val="00A06259"/>
    <w:rsid w:val="00A11C1A"/>
    <w:rsid w:val="00A3078D"/>
    <w:rsid w:val="00A468EA"/>
    <w:rsid w:val="00A56F1E"/>
    <w:rsid w:val="00A614CD"/>
    <w:rsid w:val="00A9133B"/>
    <w:rsid w:val="00AB43D9"/>
    <w:rsid w:val="00AC755D"/>
    <w:rsid w:val="00AD1322"/>
    <w:rsid w:val="00AF3E34"/>
    <w:rsid w:val="00B000A7"/>
    <w:rsid w:val="00B01F29"/>
    <w:rsid w:val="00B3337A"/>
    <w:rsid w:val="00B35C45"/>
    <w:rsid w:val="00B43355"/>
    <w:rsid w:val="00B60CC0"/>
    <w:rsid w:val="00B60F1F"/>
    <w:rsid w:val="00B71FB9"/>
    <w:rsid w:val="00B730A8"/>
    <w:rsid w:val="00B822B2"/>
    <w:rsid w:val="00BA1F2C"/>
    <w:rsid w:val="00BB3E0F"/>
    <w:rsid w:val="00BB3F7A"/>
    <w:rsid w:val="00BC4CA6"/>
    <w:rsid w:val="00BD5A39"/>
    <w:rsid w:val="00BF23A8"/>
    <w:rsid w:val="00BF771D"/>
    <w:rsid w:val="00C04F19"/>
    <w:rsid w:val="00C14479"/>
    <w:rsid w:val="00C2692D"/>
    <w:rsid w:val="00C34570"/>
    <w:rsid w:val="00C909A2"/>
    <w:rsid w:val="00CB395B"/>
    <w:rsid w:val="00CC15A7"/>
    <w:rsid w:val="00CC4F85"/>
    <w:rsid w:val="00CD410E"/>
    <w:rsid w:val="00CD444E"/>
    <w:rsid w:val="00CE3FEA"/>
    <w:rsid w:val="00D15185"/>
    <w:rsid w:val="00D21D58"/>
    <w:rsid w:val="00D226A5"/>
    <w:rsid w:val="00D2377C"/>
    <w:rsid w:val="00D40159"/>
    <w:rsid w:val="00D944A5"/>
    <w:rsid w:val="00DA4850"/>
    <w:rsid w:val="00DC7C1D"/>
    <w:rsid w:val="00DD1CC4"/>
    <w:rsid w:val="00DF02E6"/>
    <w:rsid w:val="00DF5E2D"/>
    <w:rsid w:val="00E34500"/>
    <w:rsid w:val="00E40564"/>
    <w:rsid w:val="00E43949"/>
    <w:rsid w:val="00E45B7C"/>
    <w:rsid w:val="00E46A0A"/>
    <w:rsid w:val="00E54E2D"/>
    <w:rsid w:val="00E670E8"/>
    <w:rsid w:val="00E863F1"/>
    <w:rsid w:val="00E96B6D"/>
    <w:rsid w:val="00ED4643"/>
    <w:rsid w:val="00F10101"/>
    <w:rsid w:val="00F17974"/>
    <w:rsid w:val="00F24DFF"/>
    <w:rsid w:val="00F2703F"/>
    <w:rsid w:val="00F32E10"/>
    <w:rsid w:val="00F5127F"/>
    <w:rsid w:val="00F7512F"/>
    <w:rsid w:val="00F92716"/>
    <w:rsid w:val="00FA041E"/>
    <w:rsid w:val="00FA6A47"/>
    <w:rsid w:val="00FC7767"/>
    <w:rsid w:val="00FD14FB"/>
    <w:rsid w:val="00FD2167"/>
    <w:rsid w:val="017D32B0"/>
    <w:rsid w:val="018C1C52"/>
    <w:rsid w:val="01D85E85"/>
    <w:rsid w:val="020A78AE"/>
    <w:rsid w:val="022F74E1"/>
    <w:rsid w:val="024308EB"/>
    <w:rsid w:val="02C61858"/>
    <w:rsid w:val="035905CE"/>
    <w:rsid w:val="038651EB"/>
    <w:rsid w:val="039C5328"/>
    <w:rsid w:val="04B667CF"/>
    <w:rsid w:val="05041D5F"/>
    <w:rsid w:val="055C5E4F"/>
    <w:rsid w:val="060A0D89"/>
    <w:rsid w:val="06967BD0"/>
    <w:rsid w:val="06C947A0"/>
    <w:rsid w:val="06F12DC1"/>
    <w:rsid w:val="07035F04"/>
    <w:rsid w:val="07153E89"/>
    <w:rsid w:val="073A38EF"/>
    <w:rsid w:val="07B471FE"/>
    <w:rsid w:val="084F060B"/>
    <w:rsid w:val="08927FAD"/>
    <w:rsid w:val="08D538D0"/>
    <w:rsid w:val="08ED3546"/>
    <w:rsid w:val="097C1F9D"/>
    <w:rsid w:val="0A0A1FA6"/>
    <w:rsid w:val="0B1F693B"/>
    <w:rsid w:val="0B6902FF"/>
    <w:rsid w:val="0B7F5D75"/>
    <w:rsid w:val="0BEB5FF1"/>
    <w:rsid w:val="0C0E4A1B"/>
    <w:rsid w:val="0C647ACF"/>
    <w:rsid w:val="0C7926E7"/>
    <w:rsid w:val="0CDC7B8B"/>
    <w:rsid w:val="0DBA05C0"/>
    <w:rsid w:val="0E746F7B"/>
    <w:rsid w:val="0EE91AED"/>
    <w:rsid w:val="0EFE3F6B"/>
    <w:rsid w:val="0F1B237D"/>
    <w:rsid w:val="0F366671"/>
    <w:rsid w:val="0F587009"/>
    <w:rsid w:val="10400CDE"/>
    <w:rsid w:val="104024CA"/>
    <w:rsid w:val="10545A22"/>
    <w:rsid w:val="11146F5F"/>
    <w:rsid w:val="113D35D8"/>
    <w:rsid w:val="115F59AD"/>
    <w:rsid w:val="116B3295"/>
    <w:rsid w:val="120B50C0"/>
    <w:rsid w:val="12767ED2"/>
    <w:rsid w:val="13946135"/>
    <w:rsid w:val="14290F74"/>
    <w:rsid w:val="14A800EA"/>
    <w:rsid w:val="14C8459B"/>
    <w:rsid w:val="14CD02AF"/>
    <w:rsid w:val="15AA7E92"/>
    <w:rsid w:val="15DC540F"/>
    <w:rsid w:val="16A9383D"/>
    <w:rsid w:val="177D33AF"/>
    <w:rsid w:val="180E0BE2"/>
    <w:rsid w:val="19561BC7"/>
    <w:rsid w:val="198D3D53"/>
    <w:rsid w:val="1A6E148E"/>
    <w:rsid w:val="1AE4474F"/>
    <w:rsid w:val="1B453BC2"/>
    <w:rsid w:val="1BCF2401"/>
    <w:rsid w:val="1C0E01AF"/>
    <w:rsid w:val="1C1E0BFB"/>
    <w:rsid w:val="1C4F66FE"/>
    <w:rsid w:val="1CA13BAF"/>
    <w:rsid w:val="1D091A1C"/>
    <w:rsid w:val="1D53688A"/>
    <w:rsid w:val="1DCD471E"/>
    <w:rsid w:val="1EB134FB"/>
    <w:rsid w:val="1ED0122D"/>
    <w:rsid w:val="1F77686D"/>
    <w:rsid w:val="20A025BE"/>
    <w:rsid w:val="21727E67"/>
    <w:rsid w:val="219722D3"/>
    <w:rsid w:val="21D27BAA"/>
    <w:rsid w:val="227E248B"/>
    <w:rsid w:val="22A53EBB"/>
    <w:rsid w:val="22B23719"/>
    <w:rsid w:val="23AD08E7"/>
    <w:rsid w:val="23E3398E"/>
    <w:rsid w:val="243E7272"/>
    <w:rsid w:val="24461040"/>
    <w:rsid w:val="24C46B9D"/>
    <w:rsid w:val="2513691E"/>
    <w:rsid w:val="251B66B7"/>
    <w:rsid w:val="25546A8B"/>
    <w:rsid w:val="25AF179B"/>
    <w:rsid w:val="25B37DF9"/>
    <w:rsid w:val="25EE2AE8"/>
    <w:rsid w:val="260B319C"/>
    <w:rsid w:val="266A16A4"/>
    <w:rsid w:val="26771F17"/>
    <w:rsid w:val="26834A1B"/>
    <w:rsid w:val="268A58A2"/>
    <w:rsid w:val="268F5191"/>
    <w:rsid w:val="26E8081A"/>
    <w:rsid w:val="274550A0"/>
    <w:rsid w:val="27C53B33"/>
    <w:rsid w:val="282E6701"/>
    <w:rsid w:val="28957E13"/>
    <w:rsid w:val="297B5B80"/>
    <w:rsid w:val="29D11A3A"/>
    <w:rsid w:val="2A030CE1"/>
    <w:rsid w:val="2A6E773C"/>
    <w:rsid w:val="2A9A00C1"/>
    <w:rsid w:val="2B1413DA"/>
    <w:rsid w:val="2BEF7F55"/>
    <w:rsid w:val="2C1F022E"/>
    <w:rsid w:val="2C2F2BD3"/>
    <w:rsid w:val="2C5D5807"/>
    <w:rsid w:val="2C7E51C0"/>
    <w:rsid w:val="2CB1247B"/>
    <w:rsid w:val="2CCF04B2"/>
    <w:rsid w:val="2D4C45D7"/>
    <w:rsid w:val="2D983C89"/>
    <w:rsid w:val="2E071DE4"/>
    <w:rsid w:val="2E0E3CE3"/>
    <w:rsid w:val="2EB536D8"/>
    <w:rsid w:val="2EB86D24"/>
    <w:rsid w:val="2F0F0A9F"/>
    <w:rsid w:val="2F4E7B55"/>
    <w:rsid w:val="2F63097A"/>
    <w:rsid w:val="2FD47B8E"/>
    <w:rsid w:val="2FF22A40"/>
    <w:rsid w:val="301A5EE8"/>
    <w:rsid w:val="30710BD4"/>
    <w:rsid w:val="30CD4548"/>
    <w:rsid w:val="30DB6CFA"/>
    <w:rsid w:val="31AE4275"/>
    <w:rsid w:val="31EA1E9F"/>
    <w:rsid w:val="321C75CA"/>
    <w:rsid w:val="32404663"/>
    <w:rsid w:val="3245751A"/>
    <w:rsid w:val="32462E34"/>
    <w:rsid w:val="326351F9"/>
    <w:rsid w:val="32BF0681"/>
    <w:rsid w:val="32D21E2F"/>
    <w:rsid w:val="32DC241C"/>
    <w:rsid w:val="330E5DD3"/>
    <w:rsid w:val="334E3776"/>
    <w:rsid w:val="339E298D"/>
    <w:rsid w:val="33BD69FA"/>
    <w:rsid w:val="34592C26"/>
    <w:rsid w:val="345C0ED4"/>
    <w:rsid w:val="35445C76"/>
    <w:rsid w:val="354B6FA3"/>
    <w:rsid w:val="35C114D4"/>
    <w:rsid w:val="35C42453"/>
    <w:rsid w:val="35EA010B"/>
    <w:rsid w:val="36463B94"/>
    <w:rsid w:val="36BC3F36"/>
    <w:rsid w:val="37AC0ABD"/>
    <w:rsid w:val="393E7D92"/>
    <w:rsid w:val="3986537C"/>
    <w:rsid w:val="39D961DF"/>
    <w:rsid w:val="3A2F3241"/>
    <w:rsid w:val="3AFD746E"/>
    <w:rsid w:val="3B255741"/>
    <w:rsid w:val="3B740963"/>
    <w:rsid w:val="3CE43812"/>
    <w:rsid w:val="3D182F2B"/>
    <w:rsid w:val="3D2008B6"/>
    <w:rsid w:val="3DD82F3F"/>
    <w:rsid w:val="3DDB349C"/>
    <w:rsid w:val="3E735094"/>
    <w:rsid w:val="3EDE6333"/>
    <w:rsid w:val="3F6031EC"/>
    <w:rsid w:val="3FBA1879"/>
    <w:rsid w:val="3FCC01FF"/>
    <w:rsid w:val="3FDD26ED"/>
    <w:rsid w:val="3FFD5592"/>
    <w:rsid w:val="40052F96"/>
    <w:rsid w:val="40752CC7"/>
    <w:rsid w:val="4090365D"/>
    <w:rsid w:val="40BE01CA"/>
    <w:rsid w:val="40F305BE"/>
    <w:rsid w:val="41055832"/>
    <w:rsid w:val="411B1F4A"/>
    <w:rsid w:val="41434B73"/>
    <w:rsid w:val="42F64730"/>
    <w:rsid w:val="432446D4"/>
    <w:rsid w:val="432F4DFF"/>
    <w:rsid w:val="43A36181"/>
    <w:rsid w:val="43EF36A3"/>
    <w:rsid w:val="443D48B7"/>
    <w:rsid w:val="44FF5255"/>
    <w:rsid w:val="452F330E"/>
    <w:rsid w:val="45404F42"/>
    <w:rsid w:val="45FB04BF"/>
    <w:rsid w:val="46742C51"/>
    <w:rsid w:val="46C13A46"/>
    <w:rsid w:val="46FA5318"/>
    <w:rsid w:val="47F06CEB"/>
    <w:rsid w:val="4AA03036"/>
    <w:rsid w:val="4AA62C09"/>
    <w:rsid w:val="4B4406C4"/>
    <w:rsid w:val="4B4D35D5"/>
    <w:rsid w:val="4B7778F3"/>
    <w:rsid w:val="4C29069F"/>
    <w:rsid w:val="4D400844"/>
    <w:rsid w:val="4D453363"/>
    <w:rsid w:val="4DD66EA5"/>
    <w:rsid w:val="4E341F62"/>
    <w:rsid w:val="4E6B1900"/>
    <w:rsid w:val="4E710F72"/>
    <w:rsid w:val="4E966209"/>
    <w:rsid w:val="4E99569F"/>
    <w:rsid w:val="4F0A0E0E"/>
    <w:rsid w:val="4F2F63FC"/>
    <w:rsid w:val="4F524E97"/>
    <w:rsid w:val="501A3962"/>
    <w:rsid w:val="50F00329"/>
    <w:rsid w:val="514633BC"/>
    <w:rsid w:val="51EB0478"/>
    <w:rsid w:val="52524082"/>
    <w:rsid w:val="527517B2"/>
    <w:rsid w:val="530736A8"/>
    <w:rsid w:val="537868FE"/>
    <w:rsid w:val="53CA50A0"/>
    <w:rsid w:val="54735E7A"/>
    <w:rsid w:val="568B5EAB"/>
    <w:rsid w:val="56963F64"/>
    <w:rsid w:val="56BD1266"/>
    <w:rsid w:val="56D15DD1"/>
    <w:rsid w:val="5744774C"/>
    <w:rsid w:val="57F640BE"/>
    <w:rsid w:val="57F86260"/>
    <w:rsid w:val="581D1822"/>
    <w:rsid w:val="58354DBE"/>
    <w:rsid w:val="5898534D"/>
    <w:rsid w:val="58B134B0"/>
    <w:rsid w:val="591F6666"/>
    <w:rsid w:val="59821BA2"/>
    <w:rsid w:val="59B542E6"/>
    <w:rsid w:val="5A013052"/>
    <w:rsid w:val="5A7A0545"/>
    <w:rsid w:val="5A9515D1"/>
    <w:rsid w:val="5B022F52"/>
    <w:rsid w:val="5B6634E0"/>
    <w:rsid w:val="5C354C8E"/>
    <w:rsid w:val="5C58551F"/>
    <w:rsid w:val="5D635F29"/>
    <w:rsid w:val="5D6D7EAD"/>
    <w:rsid w:val="5DFA39B8"/>
    <w:rsid w:val="60030797"/>
    <w:rsid w:val="60261C5A"/>
    <w:rsid w:val="60791F08"/>
    <w:rsid w:val="60987BF5"/>
    <w:rsid w:val="61B529F2"/>
    <w:rsid w:val="628229ED"/>
    <w:rsid w:val="62D17DD9"/>
    <w:rsid w:val="62D213D1"/>
    <w:rsid w:val="639635F7"/>
    <w:rsid w:val="64531CDA"/>
    <w:rsid w:val="65B63AC4"/>
    <w:rsid w:val="65D11E9E"/>
    <w:rsid w:val="65E762E3"/>
    <w:rsid w:val="66544FA9"/>
    <w:rsid w:val="66F83B86"/>
    <w:rsid w:val="67066054"/>
    <w:rsid w:val="67095D94"/>
    <w:rsid w:val="679410E2"/>
    <w:rsid w:val="67B15328"/>
    <w:rsid w:val="68071BA7"/>
    <w:rsid w:val="68223002"/>
    <w:rsid w:val="692A1A46"/>
    <w:rsid w:val="693C5894"/>
    <w:rsid w:val="694E3F32"/>
    <w:rsid w:val="69760037"/>
    <w:rsid w:val="699F29DF"/>
    <w:rsid w:val="69D97BBF"/>
    <w:rsid w:val="6A837C0B"/>
    <w:rsid w:val="6AD7534E"/>
    <w:rsid w:val="6BC60D28"/>
    <w:rsid w:val="6C1D2299"/>
    <w:rsid w:val="6C2414DB"/>
    <w:rsid w:val="6C7F4D55"/>
    <w:rsid w:val="6D0D7C60"/>
    <w:rsid w:val="6D3D2D7A"/>
    <w:rsid w:val="6D88378A"/>
    <w:rsid w:val="6DA73C10"/>
    <w:rsid w:val="6E2711F5"/>
    <w:rsid w:val="6E7C34AC"/>
    <w:rsid w:val="6E9B6AF5"/>
    <w:rsid w:val="6F2E3EBD"/>
    <w:rsid w:val="6F6736D1"/>
    <w:rsid w:val="6FC36CFC"/>
    <w:rsid w:val="6FD42A0B"/>
    <w:rsid w:val="6FD96115"/>
    <w:rsid w:val="6FEF1BCC"/>
    <w:rsid w:val="7097589D"/>
    <w:rsid w:val="709B41F3"/>
    <w:rsid w:val="70F82882"/>
    <w:rsid w:val="710B04A5"/>
    <w:rsid w:val="71107D1F"/>
    <w:rsid w:val="72EA6F57"/>
    <w:rsid w:val="72EB0A43"/>
    <w:rsid w:val="733D3545"/>
    <w:rsid w:val="73552752"/>
    <w:rsid w:val="735719EC"/>
    <w:rsid w:val="73DA2545"/>
    <w:rsid w:val="73F55FED"/>
    <w:rsid w:val="73F70A42"/>
    <w:rsid w:val="742720BD"/>
    <w:rsid w:val="746E571A"/>
    <w:rsid w:val="74861947"/>
    <w:rsid w:val="748E5765"/>
    <w:rsid w:val="74B84955"/>
    <w:rsid w:val="74BB2D5A"/>
    <w:rsid w:val="74E80ADD"/>
    <w:rsid w:val="751E519F"/>
    <w:rsid w:val="75526DEB"/>
    <w:rsid w:val="75632B2E"/>
    <w:rsid w:val="75DF4163"/>
    <w:rsid w:val="76DB3120"/>
    <w:rsid w:val="781841AF"/>
    <w:rsid w:val="78334EB8"/>
    <w:rsid w:val="788D60F9"/>
    <w:rsid w:val="78DE75CC"/>
    <w:rsid w:val="79264EDC"/>
    <w:rsid w:val="7927265A"/>
    <w:rsid w:val="79534C4C"/>
    <w:rsid w:val="7A493D6B"/>
    <w:rsid w:val="7A821A17"/>
    <w:rsid w:val="7AAA5EBA"/>
    <w:rsid w:val="7ABA0E87"/>
    <w:rsid w:val="7B214D90"/>
    <w:rsid w:val="7B2C1BF9"/>
    <w:rsid w:val="7B6F2CBD"/>
    <w:rsid w:val="7B7B3883"/>
    <w:rsid w:val="7C1E1BC0"/>
    <w:rsid w:val="7C4F65AF"/>
    <w:rsid w:val="7D40373A"/>
    <w:rsid w:val="7D6A5DFF"/>
    <w:rsid w:val="7DBD122E"/>
    <w:rsid w:val="7DC66335"/>
    <w:rsid w:val="7DFF08A9"/>
    <w:rsid w:val="7E084B0E"/>
    <w:rsid w:val="7E0E7211"/>
    <w:rsid w:val="7E584A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autoRedefine/>
    <w:qFormat/>
    <w:uiPriority w:val="0"/>
    <w:pPr>
      <w:keepNext/>
      <w:snapToGrid w:val="0"/>
      <w:spacing w:line="360" w:lineRule="atLeast"/>
      <w:outlineLvl w:val="0"/>
    </w:pPr>
    <w:rPr>
      <w:rFonts w:ascii="宋体"/>
    </w:rPr>
  </w:style>
  <w:style w:type="paragraph" w:styleId="4">
    <w:name w:val="heading 2"/>
    <w:basedOn w:val="1"/>
    <w:next w:val="1"/>
    <w:link w:val="69"/>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70"/>
    <w:autoRedefine/>
    <w:qFormat/>
    <w:uiPriority w:val="0"/>
    <w:pPr>
      <w:keepNext/>
      <w:keepLines/>
      <w:spacing w:before="260" w:after="260" w:line="413" w:lineRule="auto"/>
      <w:outlineLvl w:val="2"/>
    </w:pPr>
    <w:rPr>
      <w:sz w:val="32"/>
    </w:rPr>
  </w:style>
  <w:style w:type="paragraph" w:styleId="6">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7">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autoRedefine/>
    <w:unhideWhenUsed/>
    <w:qFormat/>
    <w:uiPriority w:val="1"/>
  </w:style>
  <w:style w:type="table" w:default="1" w:styleId="58">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rFonts w:ascii="仿宋_GB2312" w:eastAsia="仿宋_GB2312"/>
      <w:sz w:val="32"/>
    </w:rPr>
  </w:style>
  <w:style w:type="paragraph" w:styleId="12">
    <w:name w:val="List 3"/>
    <w:basedOn w:val="1"/>
    <w:autoRedefine/>
    <w:qFormat/>
    <w:uiPriority w:val="0"/>
    <w:pPr>
      <w:adjustRightInd w:val="0"/>
      <w:snapToGrid w:val="0"/>
      <w:spacing w:line="360" w:lineRule="auto"/>
      <w:ind w:left="100" w:leftChars="400" w:hanging="200" w:hangingChars="200"/>
    </w:pPr>
    <w:rPr>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numPr>
        <w:ilvl w:val="0"/>
        <w:numId w:val="1"/>
      </w:numPr>
      <w:tabs>
        <w:tab w:val="left" w:pos="780"/>
        <w:tab w:val="clear" w:pos="425"/>
      </w:tabs>
      <w:spacing w:line="360" w:lineRule="auto"/>
    </w:pPr>
    <w:rPr>
      <w:sz w:val="24"/>
    </w:rPr>
  </w:style>
  <w:style w:type="paragraph" w:styleId="15">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autoRedefine/>
    <w:qFormat/>
    <w:uiPriority w:val="0"/>
    <w:pPr>
      <w:adjustRightInd w:val="0"/>
      <w:snapToGrid w:val="0"/>
      <w:spacing w:line="360" w:lineRule="auto"/>
      <w:ind w:firstLine="420"/>
    </w:pPr>
    <w:rPr>
      <w:sz w:val="24"/>
    </w:rPr>
  </w:style>
  <w:style w:type="paragraph" w:styleId="17">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autoRedefine/>
    <w:qFormat/>
    <w:uiPriority w:val="0"/>
    <w:pPr>
      <w:shd w:val="clear" w:color="auto" w:fill="000080"/>
    </w:pPr>
  </w:style>
  <w:style w:type="paragraph" w:styleId="19">
    <w:name w:val="toa heading"/>
    <w:basedOn w:val="1"/>
    <w:next w:val="1"/>
    <w:autoRedefine/>
    <w:qFormat/>
    <w:uiPriority w:val="0"/>
    <w:pPr>
      <w:spacing w:before="120"/>
    </w:pPr>
    <w:rPr>
      <w:rFonts w:ascii="Arial" w:hAnsi="Arial"/>
      <w:sz w:val="24"/>
    </w:rPr>
  </w:style>
  <w:style w:type="paragraph" w:styleId="20">
    <w:name w:val="annotation text"/>
    <w:basedOn w:val="1"/>
    <w:link w:val="71"/>
    <w:autoRedefine/>
    <w:qFormat/>
    <w:uiPriority w:val="0"/>
    <w:pPr>
      <w:adjustRightInd w:val="0"/>
      <w:spacing w:line="360" w:lineRule="atLeast"/>
      <w:jc w:val="left"/>
      <w:textAlignment w:val="baseline"/>
    </w:pPr>
    <w:rPr>
      <w:sz w:val="24"/>
    </w:rPr>
  </w:style>
  <w:style w:type="paragraph" w:styleId="21">
    <w:name w:val="Body Text 3"/>
    <w:basedOn w:val="1"/>
    <w:autoRedefine/>
    <w:qFormat/>
    <w:uiPriority w:val="0"/>
    <w:pPr>
      <w:adjustRightInd w:val="0"/>
      <w:snapToGrid w:val="0"/>
      <w:spacing w:after="120" w:line="360" w:lineRule="auto"/>
    </w:pPr>
    <w:rPr>
      <w:sz w:val="16"/>
    </w:rPr>
  </w:style>
  <w:style w:type="paragraph" w:styleId="22">
    <w:name w:val="List Bullet 3"/>
    <w:basedOn w:val="1"/>
    <w:autoRedefine/>
    <w:qFormat/>
    <w:uiPriority w:val="0"/>
    <w:pPr>
      <w:numPr>
        <w:ilvl w:val="0"/>
        <w:numId w:val="2"/>
      </w:numPr>
      <w:adjustRightInd w:val="0"/>
      <w:snapToGrid w:val="0"/>
      <w:spacing w:line="360" w:lineRule="auto"/>
    </w:pPr>
    <w:rPr>
      <w:sz w:val="24"/>
    </w:rPr>
  </w:style>
  <w:style w:type="paragraph" w:styleId="23">
    <w:name w:val="Body Text Indent"/>
    <w:basedOn w:val="1"/>
    <w:next w:val="24"/>
    <w:link w:val="72"/>
    <w:autoRedefine/>
    <w:qFormat/>
    <w:uiPriority w:val="0"/>
    <w:pPr>
      <w:spacing w:line="700" w:lineRule="exact"/>
      <w:ind w:left="960"/>
    </w:pPr>
    <w:rPr>
      <w:sz w:val="44"/>
    </w:rPr>
  </w:style>
  <w:style w:type="paragraph" w:styleId="24">
    <w:name w:val="envelope return"/>
    <w:basedOn w:val="1"/>
    <w:autoRedefine/>
    <w:qFormat/>
    <w:uiPriority w:val="0"/>
    <w:pPr>
      <w:snapToGrid w:val="0"/>
    </w:pPr>
    <w:rPr>
      <w:rFonts w:ascii="Arial" w:hAnsi="Arial"/>
    </w:rPr>
  </w:style>
  <w:style w:type="paragraph" w:styleId="25">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6">
    <w:name w:val="List 2"/>
    <w:basedOn w:val="1"/>
    <w:autoRedefine/>
    <w:qFormat/>
    <w:uiPriority w:val="0"/>
    <w:pPr>
      <w:adjustRightInd w:val="0"/>
      <w:snapToGrid w:val="0"/>
      <w:spacing w:line="360" w:lineRule="auto"/>
      <w:ind w:left="100" w:leftChars="200" w:hanging="200" w:hangingChars="200"/>
    </w:pPr>
    <w:rPr>
      <w:sz w:val="24"/>
    </w:rPr>
  </w:style>
  <w:style w:type="paragraph" w:styleId="27">
    <w:name w:val="List Continue"/>
    <w:basedOn w:val="1"/>
    <w:autoRedefine/>
    <w:qFormat/>
    <w:uiPriority w:val="0"/>
    <w:pPr>
      <w:adjustRightInd w:val="0"/>
      <w:snapToGrid w:val="0"/>
      <w:spacing w:after="120" w:line="360" w:lineRule="auto"/>
      <w:ind w:left="420" w:leftChars="200"/>
    </w:pPr>
    <w:rPr>
      <w:sz w:val="24"/>
    </w:rPr>
  </w:style>
  <w:style w:type="paragraph" w:styleId="28">
    <w:name w:val="List Bullet 2"/>
    <w:basedOn w:val="1"/>
    <w:autoRedefine/>
    <w:qFormat/>
    <w:uiPriority w:val="0"/>
    <w:pPr>
      <w:numPr>
        <w:ilvl w:val="0"/>
        <w:numId w:val="3"/>
      </w:numPr>
      <w:adjustRightInd w:val="0"/>
      <w:snapToGrid w:val="0"/>
      <w:spacing w:line="360" w:lineRule="auto"/>
    </w:pPr>
    <w:rPr>
      <w:sz w:val="24"/>
    </w:rPr>
  </w:style>
  <w:style w:type="paragraph" w:styleId="29">
    <w:name w:val="toc 5"/>
    <w:basedOn w:val="1"/>
    <w:next w:val="1"/>
    <w:autoRedefine/>
    <w:qFormat/>
    <w:uiPriority w:val="0"/>
    <w:pPr>
      <w:ind w:left="1680" w:leftChars="800"/>
    </w:pPr>
  </w:style>
  <w:style w:type="paragraph" w:styleId="30">
    <w:name w:val="toc 3"/>
    <w:basedOn w:val="1"/>
    <w:next w:val="1"/>
    <w:autoRedefine/>
    <w:qFormat/>
    <w:uiPriority w:val="39"/>
    <w:pPr>
      <w:ind w:left="840" w:leftChars="400"/>
    </w:pPr>
  </w:style>
  <w:style w:type="paragraph" w:styleId="31">
    <w:name w:val="Plain Text"/>
    <w:basedOn w:val="1"/>
    <w:link w:val="73"/>
    <w:autoRedefine/>
    <w:qFormat/>
    <w:uiPriority w:val="0"/>
    <w:rPr>
      <w:rFonts w:ascii="宋体" w:hAnsi="Courier New"/>
      <w:sz w:val="21"/>
    </w:rPr>
  </w:style>
  <w:style w:type="paragraph" w:styleId="32">
    <w:name w:val="toc 8"/>
    <w:basedOn w:val="1"/>
    <w:next w:val="1"/>
    <w:autoRedefine/>
    <w:qFormat/>
    <w:uiPriority w:val="0"/>
    <w:pPr>
      <w:ind w:left="2940" w:leftChars="1400"/>
    </w:pPr>
  </w:style>
  <w:style w:type="paragraph" w:styleId="33">
    <w:name w:val="Date"/>
    <w:basedOn w:val="1"/>
    <w:next w:val="1"/>
    <w:link w:val="74"/>
    <w:autoRedefine/>
    <w:qFormat/>
    <w:uiPriority w:val="0"/>
  </w:style>
  <w:style w:type="paragraph" w:styleId="34">
    <w:name w:val="Body Text Indent 2"/>
    <w:basedOn w:val="1"/>
    <w:link w:val="75"/>
    <w:autoRedefine/>
    <w:qFormat/>
    <w:uiPriority w:val="0"/>
    <w:pPr>
      <w:snapToGrid w:val="0"/>
      <w:spacing w:line="560" w:lineRule="atLeast"/>
      <w:ind w:firstLine="540"/>
    </w:pPr>
  </w:style>
  <w:style w:type="paragraph" w:styleId="35">
    <w:name w:val="Balloon Text"/>
    <w:basedOn w:val="1"/>
    <w:autoRedefine/>
    <w:qFormat/>
    <w:uiPriority w:val="0"/>
    <w:rPr>
      <w:sz w:val="18"/>
    </w:rPr>
  </w:style>
  <w:style w:type="paragraph" w:styleId="36">
    <w:name w:val="footer"/>
    <w:basedOn w:val="1"/>
    <w:link w:val="76"/>
    <w:autoRedefine/>
    <w:qFormat/>
    <w:uiPriority w:val="0"/>
    <w:pPr>
      <w:tabs>
        <w:tab w:val="center" w:pos="4153"/>
        <w:tab w:val="right" w:pos="8306"/>
      </w:tabs>
      <w:snapToGrid w:val="0"/>
      <w:jc w:val="left"/>
    </w:pPr>
    <w:rPr>
      <w:sz w:val="18"/>
    </w:rPr>
  </w:style>
  <w:style w:type="paragraph" w:styleId="37">
    <w:name w:val="header"/>
    <w:basedOn w:val="1"/>
    <w:link w:val="77"/>
    <w:autoRedefine/>
    <w:qFormat/>
    <w:uiPriority w:val="99"/>
    <w:pPr>
      <w:pBdr>
        <w:bottom w:val="single" w:color="auto" w:sz="6" w:space="1"/>
      </w:pBdr>
      <w:tabs>
        <w:tab w:val="center" w:pos="4153"/>
        <w:tab w:val="right" w:pos="8306"/>
      </w:tabs>
      <w:snapToGrid w:val="0"/>
      <w:jc w:val="center"/>
    </w:pPr>
    <w:rPr>
      <w:sz w:val="18"/>
    </w:rPr>
  </w:style>
  <w:style w:type="paragraph" w:styleId="38">
    <w:name w:val="toc 1"/>
    <w:basedOn w:val="1"/>
    <w:next w:val="1"/>
    <w:autoRedefine/>
    <w:qFormat/>
    <w:uiPriority w:val="0"/>
    <w:pPr>
      <w:spacing w:line="180" w:lineRule="auto"/>
      <w:jc w:val="center"/>
    </w:pPr>
    <w:rPr>
      <w:sz w:val="30"/>
    </w:rPr>
  </w:style>
  <w:style w:type="paragraph" w:styleId="39">
    <w:name w:val="List Continue 4"/>
    <w:basedOn w:val="1"/>
    <w:autoRedefine/>
    <w:qFormat/>
    <w:uiPriority w:val="0"/>
    <w:pPr>
      <w:adjustRightInd w:val="0"/>
      <w:snapToGrid w:val="0"/>
      <w:spacing w:after="120" w:line="360" w:lineRule="auto"/>
      <w:ind w:left="1680" w:leftChars="800"/>
    </w:pPr>
    <w:rPr>
      <w:sz w:val="24"/>
    </w:rPr>
  </w:style>
  <w:style w:type="paragraph" w:styleId="40">
    <w:name w:val="toc 4"/>
    <w:basedOn w:val="1"/>
    <w:next w:val="1"/>
    <w:autoRedefine/>
    <w:qFormat/>
    <w:uiPriority w:val="0"/>
    <w:pPr>
      <w:ind w:left="1260" w:leftChars="600"/>
    </w:pPr>
  </w:style>
  <w:style w:type="paragraph" w:styleId="41">
    <w:name w:val="footnote text"/>
    <w:basedOn w:val="1"/>
    <w:link w:val="78"/>
    <w:autoRedefine/>
    <w:qFormat/>
    <w:uiPriority w:val="0"/>
    <w:pPr>
      <w:spacing w:line="360" w:lineRule="auto"/>
    </w:pPr>
    <w:rPr>
      <w:sz w:val="18"/>
    </w:rPr>
  </w:style>
  <w:style w:type="paragraph" w:styleId="42">
    <w:name w:val="toc 6"/>
    <w:basedOn w:val="1"/>
    <w:next w:val="1"/>
    <w:autoRedefine/>
    <w:qFormat/>
    <w:uiPriority w:val="0"/>
    <w:pPr>
      <w:ind w:left="2100" w:leftChars="1000"/>
    </w:pPr>
  </w:style>
  <w:style w:type="paragraph" w:styleId="43">
    <w:name w:val="List 5"/>
    <w:basedOn w:val="1"/>
    <w:autoRedefine/>
    <w:qFormat/>
    <w:uiPriority w:val="0"/>
    <w:pPr>
      <w:adjustRightInd w:val="0"/>
      <w:snapToGrid w:val="0"/>
      <w:spacing w:line="360" w:lineRule="auto"/>
      <w:ind w:left="100" w:leftChars="800" w:hanging="200" w:hangingChars="200"/>
    </w:pPr>
    <w:rPr>
      <w:sz w:val="24"/>
    </w:rPr>
  </w:style>
  <w:style w:type="paragraph" w:styleId="44">
    <w:name w:val="Body Text Indent 3"/>
    <w:basedOn w:val="1"/>
    <w:autoRedefine/>
    <w:qFormat/>
    <w:uiPriority w:val="0"/>
    <w:pPr>
      <w:spacing w:line="360" w:lineRule="auto"/>
      <w:ind w:firstLine="632"/>
    </w:pPr>
    <w:rPr>
      <w:rFonts w:ascii="黑体" w:eastAsia="黑体"/>
    </w:rPr>
  </w:style>
  <w:style w:type="paragraph" w:styleId="45">
    <w:name w:val="table of figures"/>
    <w:basedOn w:val="1"/>
    <w:next w:val="1"/>
    <w:autoRedefine/>
    <w:qFormat/>
    <w:uiPriority w:val="0"/>
    <w:pPr>
      <w:tabs>
        <w:tab w:val="right" w:leader="dot" w:pos="8640"/>
      </w:tabs>
      <w:spacing w:line="360" w:lineRule="auto"/>
      <w:ind w:left="400" w:hanging="400"/>
    </w:pPr>
    <w:rPr>
      <w:sz w:val="24"/>
    </w:rPr>
  </w:style>
  <w:style w:type="paragraph" w:styleId="46">
    <w:name w:val="toc 2"/>
    <w:basedOn w:val="1"/>
    <w:next w:val="1"/>
    <w:autoRedefine/>
    <w:qFormat/>
    <w:uiPriority w:val="39"/>
    <w:pPr>
      <w:ind w:left="420" w:leftChars="200"/>
    </w:pPr>
  </w:style>
  <w:style w:type="paragraph" w:styleId="47">
    <w:name w:val="toc 9"/>
    <w:basedOn w:val="1"/>
    <w:next w:val="1"/>
    <w:autoRedefine/>
    <w:qFormat/>
    <w:uiPriority w:val="0"/>
    <w:pPr>
      <w:ind w:left="3360" w:leftChars="1600"/>
    </w:pPr>
  </w:style>
  <w:style w:type="paragraph" w:styleId="48">
    <w:name w:val="Body Text 2"/>
    <w:basedOn w:val="1"/>
    <w:autoRedefine/>
    <w:qFormat/>
    <w:uiPriority w:val="0"/>
    <w:pPr>
      <w:adjustRightInd w:val="0"/>
      <w:snapToGrid w:val="0"/>
      <w:spacing w:after="120" w:line="480" w:lineRule="auto"/>
    </w:pPr>
    <w:rPr>
      <w:sz w:val="24"/>
    </w:rPr>
  </w:style>
  <w:style w:type="paragraph" w:styleId="49">
    <w:name w:val="List 4"/>
    <w:basedOn w:val="1"/>
    <w:autoRedefine/>
    <w:qFormat/>
    <w:uiPriority w:val="0"/>
    <w:pPr>
      <w:adjustRightInd w:val="0"/>
      <w:snapToGrid w:val="0"/>
      <w:spacing w:line="360" w:lineRule="auto"/>
      <w:ind w:left="100" w:leftChars="600" w:hanging="200" w:hangingChars="200"/>
    </w:pPr>
    <w:rPr>
      <w:sz w:val="24"/>
    </w:rPr>
  </w:style>
  <w:style w:type="paragraph" w:styleId="50">
    <w:name w:val="List Continue 2"/>
    <w:basedOn w:val="1"/>
    <w:autoRedefine/>
    <w:qFormat/>
    <w:uiPriority w:val="0"/>
    <w:pPr>
      <w:adjustRightInd w:val="0"/>
      <w:snapToGrid w:val="0"/>
      <w:spacing w:after="120" w:line="360" w:lineRule="auto"/>
      <w:ind w:left="840" w:leftChars="400"/>
    </w:pPr>
    <w:rPr>
      <w:sz w:val="24"/>
    </w:rPr>
  </w:style>
  <w:style w:type="paragraph" w:styleId="51">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autoRedefine/>
    <w:qFormat/>
    <w:uiPriority w:val="0"/>
    <w:pPr>
      <w:adjustRightInd w:val="0"/>
      <w:snapToGrid w:val="0"/>
      <w:spacing w:after="120" w:line="360" w:lineRule="auto"/>
      <w:ind w:left="1260" w:leftChars="600"/>
    </w:pPr>
    <w:rPr>
      <w:sz w:val="24"/>
    </w:rPr>
  </w:style>
  <w:style w:type="paragraph" w:styleId="53">
    <w:name w:val="index 1"/>
    <w:basedOn w:val="1"/>
    <w:next w:val="1"/>
    <w:autoRedefine/>
    <w:qFormat/>
    <w:uiPriority w:val="0"/>
    <w:pPr>
      <w:adjustRightInd w:val="0"/>
      <w:spacing w:line="240" w:lineRule="atLeast"/>
      <w:textAlignment w:val="baseline"/>
    </w:pPr>
    <w:rPr>
      <w:rFonts w:ascii="宋体"/>
      <w:kern w:val="0"/>
      <w:sz w:val="21"/>
    </w:rPr>
  </w:style>
  <w:style w:type="paragraph" w:styleId="54">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0"/>
    <w:next w:val="20"/>
    <w:link w:val="79"/>
    <w:autoRedefine/>
    <w:qFormat/>
    <w:uiPriority w:val="0"/>
    <w:pPr>
      <w:adjustRightInd/>
      <w:spacing w:line="240" w:lineRule="auto"/>
      <w:textAlignment w:val="auto"/>
    </w:pPr>
  </w:style>
  <w:style w:type="paragraph" w:styleId="56">
    <w:name w:val="Body Text First Indent"/>
    <w:basedOn w:val="1"/>
    <w:autoRedefine/>
    <w:qFormat/>
    <w:uiPriority w:val="0"/>
    <w:pPr>
      <w:spacing w:line="360" w:lineRule="auto"/>
      <w:ind w:firstLine="420"/>
    </w:pPr>
    <w:rPr>
      <w:rFonts w:ascii="宋体" w:hAnsi="宋体"/>
      <w:sz w:val="24"/>
    </w:rPr>
  </w:style>
  <w:style w:type="paragraph" w:styleId="57">
    <w:name w:val="Body Text First Indent 2"/>
    <w:basedOn w:val="23"/>
    <w:next w:val="1"/>
    <w:link w:val="80"/>
    <w:autoRedefine/>
    <w:qFormat/>
    <w:uiPriority w:val="0"/>
    <w:pPr>
      <w:spacing w:after="120" w:line="240" w:lineRule="auto"/>
      <w:ind w:left="420" w:leftChars="200" w:firstLine="420" w:firstLineChars="200"/>
    </w:pPr>
  </w:style>
  <w:style w:type="table" w:styleId="59">
    <w:name w:val="Table Grid"/>
    <w:basedOn w:val="58"/>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basedOn w:val="60"/>
    <w:autoRedefine/>
    <w:qFormat/>
    <w:uiPriority w:val="22"/>
    <w:rPr>
      <w:b/>
    </w:rPr>
  </w:style>
  <w:style w:type="character" w:styleId="62">
    <w:name w:val="page number"/>
    <w:autoRedefine/>
    <w:qFormat/>
    <w:uiPriority w:val="0"/>
  </w:style>
  <w:style w:type="character" w:styleId="63">
    <w:name w:val="FollowedHyperlink"/>
    <w:autoRedefine/>
    <w:qFormat/>
    <w:uiPriority w:val="0"/>
    <w:rPr>
      <w:color w:val="333333"/>
      <w:u w:val="none"/>
    </w:rPr>
  </w:style>
  <w:style w:type="character" w:styleId="64">
    <w:name w:val="Emphasis"/>
    <w:autoRedefine/>
    <w:qFormat/>
    <w:uiPriority w:val="0"/>
    <w:rPr>
      <w:i/>
    </w:rPr>
  </w:style>
  <w:style w:type="character" w:styleId="65">
    <w:name w:val="Hyperlink"/>
    <w:autoRedefine/>
    <w:qFormat/>
    <w:uiPriority w:val="99"/>
    <w:rPr>
      <w:color w:val="333333"/>
      <w:u w:val="none"/>
    </w:rPr>
  </w:style>
  <w:style w:type="character" w:styleId="66">
    <w:name w:val="annotation reference"/>
    <w:autoRedefine/>
    <w:qFormat/>
    <w:uiPriority w:val="0"/>
    <w:rPr>
      <w:sz w:val="21"/>
      <w:szCs w:val="21"/>
    </w:rPr>
  </w:style>
  <w:style w:type="character" w:styleId="67">
    <w:name w:val="footnote reference"/>
    <w:autoRedefine/>
    <w:qFormat/>
    <w:uiPriority w:val="0"/>
    <w:rPr>
      <w:position w:val="6"/>
      <w:sz w:val="14"/>
      <w:vertAlign w:val="superscript"/>
    </w:rPr>
  </w:style>
  <w:style w:type="paragraph" w:customStyle="1" w:styleId="68">
    <w:name w:val="样式 正文缩进 + 首行缩进:  2 字符"/>
    <w:basedOn w:val="16"/>
    <w:autoRedefine/>
    <w:qFormat/>
    <w:uiPriority w:val="0"/>
    <w:pPr>
      <w:spacing w:line="360" w:lineRule="auto"/>
      <w:ind w:firstLine="200"/>
    </w:pPr>
    <w:rPr>
      <w:rFonts w:ascii="宋体" w:hAnsi="宋体" w:eastAsia="宋体" w:cs="宋体"/>
      <w:sz w:val="24"/>
      <w:szCs w:val="22"/>
    </w:rPr>
  </w:style>
  <w:style w:type="character" w:customStyle="1" w:styleId="69">
    <w:name w:val="标题 2 字符1"/>
    <w:link w:val="4"/>
    <w:autoRedefine/>
    <w:qFormat/>
    <w:uiPriority w:val="0"/>
    <w:rPr>
      <w:rFonts w:ascii="Arial" w:hAnsi="Arial" w:eastAsia="黑体"/>
      <w:b/>
      <w:kern w:val="2"/>
      <w:sz w:val="32"/>
    </w:rPr>
  </w:style>
  <w:style w:type="character" w:customStyle="1" w:styleId="70">
    <w:name w:val="标题 3 字符1"/>
    <w:link w:val="5"/>
    <w:autoRedefine/>
    <w:qFormat/>
    <w:uiPriority w:val="0"/>
    <w:rPr>
      <w:rFonts w:eastAsia="宋体"/>
      <w:b/>
      <w:kern w:val="2"/>
      <w:sz w:val="32"/>
      <w:lang w:val="en-US" w:eastAsia="zh-CN"/>
    </w:rPr>
  </w:style>
  <w:style w:type="character" w:customStyle="1" w:styleId="71">
    <w:name w:val="批注文字 字符1"/>
    <w:link w:val="20"/>
    <w:autoRedefine/>
    <w:qFormat/>
    <w:uiPriority w:val="0"/>
    <w:rPr>
      <w:sz w:val="24"/>
    </w:rPr>
  </w:style>
  <w:style w:type="character" w:customStyle="1" w:styleId="72">
    <w:name w:val="正文文本缩进 字符"/>
    <w:link w:val="23"/>
    <w:autoRedefine/>
    <w:qFormat/>
    <w:uiPriority w:val="0"/>
    <w:rPr>
      <w:kern w:val="2"/>
      <w:sz w:val="44"/>
    </w:rPr>
  </w:style>
  <w:style w:type="character" w:customStyle="1" w:styleId="73">
    <w:name w:val="纯文本 字符"/>
    <w:link w:val="31"/>
    <w:autoRedefine/>
    <w:qFormat/>
    <w:locked/>
    <w:uiPriority w:val="99"/>
    <w:rPr>
      <w:rFonts w:ascii="宋体" w:hAnsi="Courier New"/>
      <w:kern w:val="2"/>
      <w:sz w:val="21"/>
    </w:rPr>
  </w:style>
  <w:style w:type="character" w:customStyle="1" w:styleId="74">
    <w:name w:val="日期 字符"/>
    <w:link w:val="33"/>
    <w:autoRedefine/>
    <w:qFormat/>
    <w:uiPriority w:val="0"/>
    <w:rPr>
      <w:kern w:val="2"/>
      <w:sz w:val="28"/>
    </w:rPr>
  </w:style>
  <w:style w:type="character" w:customStyle="1" w:styleId="75">
    <w:name w:val="正文文本缩进 2 字符"/>
    <w:link w:val="34"/>
    <w:autoRedefine/>
    <w:qFormat/>
    <w:uiPriority w:val="0"/>
    <w:rPr>
      <w:kern w:val="2"/>
      <w:sz w:val="28"/>
    </w:rPr>
  </w:style>
  <w:style w:type="character" w:customStyle="1" w:styleId="76">
    <w:name w:val="页脚 字符"/>
    <w:link w:val="36"/>
    <w:autoRedefine/>
    <w:qFormat/>
    <w:uiPriority w:val="99"/>
    <w:rPr>
      <w:kern w:val="2"/>
      <w:sz w:val="18"/>
    </w:rPr>
  </w:style>
  <w:style w:type="character" w:customStyle="1" w:styleId="77">
    <w:name w:val="页眉 字符"/>
    <w:link w:val="37"/>
    <w:autoRedefine/>
    <w:qFormat/>
    <w:uiPriority w:val="99"/>
    <w:rPr>
      <w:kern w:val="2"/>
      <w:sz w:val="18"/>
    </w:rPr>
  </w:style>
  <w:style w:type="character" w:customStyle="1" w:styleId="78">
    <w:name w:val="脚注文本 字符"/>
    <w:link w:val="41"/>
    <w:autoRedefine/>
    <w:qFormat/>
    <w:uiPriority w:val="0"/>
    <w:rPr>
      <w:kern w:val="2"/>
      <w:sz w:val="18"/>
    </w:rPr>
  </w:style>
  <w:style w:type="character" w:customStyle="1" w:styleId="79">
    <w:name w:val="批注主题 字符"/>
    <w:link w:val="55"/>
    <w:autoRedefine/>
    <w:qFormat/>
    <w:uiPriority w:val="0"/>
    <w:rPr>
      <w:sz w:val="24"/>
    </w:rPr>
  </w:style>
  <w:style w:type="character" w:customStyle="1" w:styleId="80">
    <w:name w:val="正文文本首行缩进 2 字符"/>
    <w:link w:val="57"/>
    <w:autoRedefine/>
    <w:qFormat/>
    <w:uiPriority w:val="0"/>
    <w:rPr>
      <w:kern w:val="2"/>
      <w:sz w:val="44"/>
    </w:rPr>
  </w:style>
  <w:style w:type="paragraph" w:customStyle="1" w:styleId="81">
    <w:name w:val="正文1"/>
    <w:basedOn w:val="1"/>
    <w:autoRedefine/>
    <w:qFormat/>
    <w:uiPriority w:val="0"/>
    <w:pPr>
      <w:spacing w:line="300" w:lineRule="auto"/>
      <w:ind w:firstLine="200" w:firstLineChars="200"/>
    </w:pPr>
    <w:rPr>
      <w:sz w:val="24"/>
    </w:rPr>
  </w:style>
  <w:style w:type="paragraph" w:customStyle="1" w:styleId="82">
    <w:name w:val="正文（缩进）"/>
    <w:basedOn w:val="1"/>
    <w:next w:val="1"/>
    <w:autoRedefine/>
    <w:qFormat/>
    <w:uiPriority w:val="0"/>
    <w:pPr>
      <w:spacing w:before="156" w:after="156"/>
      <w:ind w:firstLine="480" w:firstLineChars="200"/>
    </w:pPr>
  </w:style>
  <w:style w:type="character" w:customStyle="1" w:styleId="83">
    <w:name w:val="Char Char Char Char Char Char Char Char Char"/>
    <w:autoRedefine/>
    <w:qFormat/>
    <w:uiPriority w:val="0"/>
    <w:rPr>
      <w:rFonts w:ascii="宋体" w:hAnsi="宋体" w:eastAsia="宋体"/>
      <w:kern w:val="2"/>
      <w:sz w:val="24"/>
      <w:lang w:val="en-US" w:eastAsia="zh-CN" w:bidi="ar-SA"/>
    </w:rPr>
  </w:style>
  <w:style w:type="character" w:customStyle="1" w:styleId="84">
    <w:name w:val="未命名11"/>
    <w:autoRedefine/>
    <w:qFormat/>
    <w:uiPriority w:val="0"/>
    <w:rPr>
      <w:color w:val="77FFFF"/>
      <w:sz w:val="24"/>
    </w:rPr>
  </w:style>
  <w:style w:type="character" w:customStyle="1" w:styleId="85">
    <w:name w:val="正文 + 三号 Char"/>
    <w:autoRedefine/>
    <w:qFormat/>
    <w:uiPriority w:val="0"/>
    <w:rPr>
      <w:rFonts w:eastAsia="宋体"/>
      <w:kern w:val="2"/>
      <w:sz w:val="21"/>
      <w:lang w:val="en-US" w:eastAsia="zh-CN"/>
    </w:rPr>
  </w:style>
  <w:style w:type="character" w:customStyle="1" w:styleId="86">
    <w:name w:val="Table Text Char1 Char Char"/>
    <w:autoRedefine/>
    <w:qFormat/>
    <w:uiPriority w:val="0"/>
    <w:rPr>
      <w:rFonts w:ascii="Arial" w:hAnsi="Arial"/>
      <w:kern w:val="2"/>
      <w:sz w:val="18"/>
      <w:lang w:val="en-US" w:eastAsia="zh-CN" w:bidi="ar-SA"/>
    </w:rPr>
  </w:style>
  <w:style w:type="character" w:customStyle="1" w:styleId="87">
    <w:name w:val="文字 Char Char"/>
    <w:link w:val="88"/>
    <w:autoRedefine/>
    <w:qFormat/>
    <w:uiPriority w:val="0"/>
    <w:rPr>
      <w:rFonts w:ascii="宋体"/>
      <w:kern w:val="2"/>
      <w:sz w:val="28"/>
    </w:rPr>
  </w:style>
  <w:style w:type="paragraph" w:customStyle="1" w:styleId="88">
    <w:name w:val="文字"/>
    <w:basedOn w:val="1"/>
    <w:link w:val="87"/>
    <w:autoRedefine/>
    <w:qFormat/>
    <w:uiPriority w:val="0"/>
    <w:pPr>
      <w:tabs>
        <w:tab w:val="left" w:pos="8520"/>
      </w:tabs>
      <w:spacing w:line="312" w:lineRule="auto"/>
      <w:ind w:right="-210" w:firstLine="556"/>
    </w:pPr>
    <w:rPr>
      <w:rFonts w:ascii="宋体"/>
    </w:rPr>
  </w:style>
  <w:style w:type="character" w:customStyle="1" w:styleId="89">
    <w:name w:val="Table Text Char Char Char Char"/>
    <w:link w:val="90"/>
    <w:autoRedefine/>
    <w:qFormat/>
    <w:uiPriority w:val="0"/>
    <w:rPr>
      <w:rFonts w:ascii="Arial" w:hAnsi="Arial"/>
      <w:kern w:val="2"/>
      <w:sz w:val="18"/>
      <w:lang w:val="en-US" w:eastAsia="zh-CN" w:bidi="ar-SA"/>
    </w:rPr>
  </w:style>
  <w:style w:type="paragraph" w:customStyle="1" w:styleId="90">
    <w:name w:val="Table Text"/>
    <w:link w:val="89"/>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1">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92">
    <w:name w:val="Char Char6"/>
    <w:autoRedefine/>
    <w:qFormat/>
    <w:uiPriority w:val="0"/>
    <w:rPr>
      <w:rFonts w:ascii="仿宋_GB2312" w:eastAsia="仿宋_GB2312"/>
      <w:kern w:val="2"/>
      <w:sz w:val="32"/>
    </w:rPr>
  </w:style>
  <w:style w:type="character" w:customStyle="1" w:styleId="93">
    <w:name w:val="小 Char"/>
    <w:autoRedefine/>
    <w:qFormat/>
    <w:uiPriority w:val="0"/>
    <w:rPr>
      <w:rFonts w:ascii="宋体" w:hAnsi="Courier New" w:eastAsia="宋体"/>
      <w:kern w:val="2"/>
      <w:sz w:val="21"/>
      <w:lang w:val="en-US" w:eastAsia="zh-CN" w:bidi="ar-SA"/>
    </w:rPr>
  </w:style>
  <w:style w:type="character" w:customStyle="1" w:styleId="94">
    <w:name w:val="v151"/>
    <w:autoRedefine/>
    <w:qFormat/>
    <w:uiPriority w:val="0"/>
    <w:rPr>
      <w:sz w:val="18"/>
    </w:rPr>
  </w:style>
  <w:style w:type="character" w:customStyle="1" w:styleId="95">
    <w:name w:val="content-white1"/>
    <w:autoRedefine/>
    <w:qFormat/>
    <w:uiPriority w:val="0"/>
    <w:rPr>
      <w:color w:val="auto"/>
      <w:sz w:val="18"/>
      <w:u w:val="none"/>
    </w:rPr>
  </w:style>
  <w:style w:type="character" w:customStyle="1" w:styleId="96">
    <w:name w:val="Char Char4"/>
    <w:autoRedefine/>
    <w:qFormat/>
    <w:uiPriority w:val="0"/>
    <w:rPr>
      <w:rFonts w:eastAsia="宋体"/>
      <w:b/>
      <w:kern w:val="2"/>
      <w:sz w:val="21"/>
      <w:lang w:val="en-US" w:eastAsia="zh-CN"/>
    </w:rPr>
  </w:style>
  <w:style w:type="character" w:customStyle="1" w:styleId="97">
    <w:name w:val="top-det1"/>
    <w:autoRedefine/>
    <w:qFormat/>
    <w:uiPriority w:val="0"/>
    <w:rPr>
      <w:b/>
      <w:color w:val="000000"/>
    </w:rPr>
  </w:style>
  <w:style w:type="character" w:customStyle="1" w:styleId="98">
    <w:name w:val="样式 宋体"/>
    <w:autoRedefine/>
    <w:qFormat/>
    <w:uiPriority w:val="0"/>
    <w:rPr>
      <w:rFonts w:ascii="宋体" w:hAnsi="宋体" w:eastAsia="宋体"/>
      <w:sz w:val="28"/>
    </w:rPr>
  </w:style>
  <w:style w:type="character" w:customStyle="1" w:styleId="99">
    <w:name w:val="crowed11"/>
    <w:autoRedefine/>
    <w:qFormat/>
    <w:uiPriority w:val="0"/>
    <w:rPr>
      <w:rFonts w:hint="default"/>
      <w:sz w:val="24"/>
    </w:rPr>
  </w:style>
  <w:style w:type="character" w:customStyle="1" w:styleId="100">
    <w:name w:val="Char Char5"/>
    <w:autoRedefine/>
    <w:qFormat/>
    <w:uiPriority w:val="0"/>
    <w:rPr>
      <w:rFonts w:ascii="Arial" w:hAnsi="Arial" w:eastAsia="宋体"/>
      <w:b/>
      <w:smallCaps/>
      <w:kern w:val="28"/>
      <w:sz w:val="36"/>
      <w:lang w:val="en-US" w:eastAsia="en-US"/>
    </w:rPr>
  </w:style>
  <w:style w:type="character" w:customStyle="1" w:styleId="101">
    <w:name w:val="font1"/>
    <w:autoRedefine/>
    <w:qFormat/>
    <w:uiPriority w:val="0"/>
    <w:rPr>
      <w:color w:val="000000"/>
      <w:sz w:val="18"/>
    </w:rPr>
  </w:style>
  <w:style w:type="character" w:customStyle="1" w:styleId="102">
    <w:name w:val="H2 Char"/>
    <w:autoRedefine/>
    <w:qFormat/>
    <w:uiPriority w:val="0"/>
    <w:rPr>
      <w:rFonts w:ascii="Arial" w:hAnsi="Arial" w:eastAsia="宋体"/>
      <w:kern w:val="2"/>
      <w:sz w:val="28"/>
      <w:lang w:val="en-US" w:eastAsia="zh-CN"/>
    </w:rPr>
  </w:style>
  <w:style w:type="character" w:customStyle="1" w:styleId="103">
    <w:name w:val="Char Char7"/>
    <w:autoRedefine/>
    <w:qFormat/>
    <w:uiPriority w:val="0"/>
    <w:rPr>
      <w:rFonts w:ascii="宋体" w:hAnsi="宋体" w:eastAsia="宋体"/>
      <w:kern w:val="2"/>
      <w:sz w:val="28"/>
    </w:rPr>
  </w:style>
  <w:style w:type="character" w:customStyle="1" w:styleId="104">
    <w:name w:val="Char Char11"/>
    <w:autoRedefine/>
    <w:qFormat/>
    <w:uiPriority w:val="0"/>
    <w:rPr>
      <w:rFonts w:ascii="宋体"/>
      <w:kern w:val="2"/>
      <w:sz w:val="28"/>
    </w:rPr>
  </w:style>
  <w:style w:type="character" w:customStyle="1" w:styleId="105">
    <w:name w:val="标书正文:  0.74 厘米 Char1"/>
    <w:autoRedefine/>
    <w:qFormat/>
    <w:uiPriority w:val="0"/>
    <w:rPr>
      <w:rFonts w:eastAsia="宋体"/>
      <w:kern w:val="2"/>
      <w:sz w:val="24"/>
      <w:lang w:val="en-US" w:eastAsia="zh-CN"/>
    </w:rPr>
  </w:style>
  <w:style w:type="character" w:customStyle="1" w:styleId="106">
    <w:name w:val="Table Heading Char Char"/>
    <w:autoRedefine/>
    <w:qFormat/>
    <w:uiPriority w:val="0"/>
    <w:rPr>
      <w:rFonts w:ascii="Arial" w:hAnsi="Arial" w:eastAsia="黑体"/>
      <w:kern w:val="2"/>
      <w:sz w:val="18"/>
      <w:lang w:val="en-US" w:eastAsia="zh-CN"/>
    </w:rPr>
  </w:style>
  <w:style w:type="character" w:customStyle="1" w:styleId="107">
    <w:name w:val="Char Char3"/>
    <w:autoRedefine/>
    <w:qFormat/>
    <w:uiPriority w:val="0"/>
    <w:rPr>
      <w:rFonts w:eastAsia="宋体"/>
      <w:kern w:val="2"/>
      <w:sz w:val="18"/>
      <w:lang w:val="en-US" w:eastAsia="zh-CN"/>
    </w:rPr>
  </w:style>
  <w:style w:type="character" w:customStyle="1" w:styleId="108">
    <w:name w:val="title_emph1"/>
    <w:autoRedefine/>
    <w:qFormat/>
    <w:uiPriority w:val="0"/>
    <w:rPr>
      <w:rFonts w:hint="default" w:ascii="Arial" w:hAnsi="Arial"/>
      <w:b/>
      <w:sz w:val="20"/>
    </w:rPr>
  </w:style>
  <w:style w:type="character" w:customStyle="1" w:styleId="109">
    <w:name w:val="Char Char2"/>
    <w:autoRedefine/>
    <w:qFormat/>
    <w:uiPriority w:val="0"/>
    <w:rPr>
      <w:rFonts w:eastAsia="宋体"/>
      <w:kern w:val="2"/>
      <w:sz w:val="18"/>
      <w:lang w:val="en-US" w:eastAsia="zh-CN"/>
    </w:rPr>
  </w:style>
  <w:style w:type="character" w:customStyle="1" w:styleId="110">
    <w:name w:val="Table Text Char"/>
    <w:autoRedefine/>
    <w:qFormat/>
    <w:uiPriority w:val="0"/>
    <w:rPr>
      <w:rFonts w:ascii="Arial" w:hAnsi="Arial"/>
      <w:kern w:val="2"/>
      <w:sz w:val="18"/>
      <w:lang w:val="en-US" w:eastAsia="zh-CN" w:bidi="ar-SA"/>
    </w:rPr>
  </w:style>
  <w:style w:type="character" w:customStyle="1" w:styleId="111">
    <w:name w:val="Char Char"/>
    <w:autoRedefine/>
    <w:qFormat/>
    <w:uiPriority w:val="0"/>
    <w:rPr>
      <w:rFonts w:ascii="宋体" w:hAnsi="宋体" w:eastAsia="宋体"/>
      <w:kern w:val="2"/>
      <w:sz w:val="24"/>
      <w:lang w:val="en-US" w:eastAsia="zh-CN" w:bidi="ar-SA"/>
    </w:rPr>
  </w:style>
  <w:style w:type="character" w:customStyle="1" w:styleId="112">
    <w:name w:val="文字 Char"/>
    <w:autoRedefine/>
    <w:qFormat/>
    <w:uiPriority w:val="0"/>
    <w:rPr>
      <w:rFonts w:ascii="宋体"/>
      <w:kern w:val="2"/>
      <w:sz w:val="28"/>
    </w:rPr>
  </w:style>
  <w:style w:type="character" w:customStyle="1" w:styleId="113">
    <w:name w:val="Table Text Char1 Char"/>
    <w:autoRedefine/>
    <w:qFormat/>
    <w:uiPriority w:val="0"/>
    <w:rPr>
      <w:rFonts w:ascii="Arial" w:hAnsi="Arial"/>
      <w:kern w:val="2"/>
      <w:sz w:val="18"/>
      <w:lang w:val="en-US" w:eastAsia="zh-CN" w:bidi="ar-SA"/>
    </w:rPr>
  </w:style>
  <w:style w:type="character" w:customStyle="1" w:styleId="114">
    <w:name w:val="批注文字 字符"/>
    <w:autoRedefine/>
    <w:qFormat/>
    <w:uiPriority w:val="0"/>
    <w:rPr>
      <w:sz w:val="24"/>
    </w:rPr>
  </w:style>
  <w:style w:type="character" w:customStyle="1" w:styleId="115">
    <w:name w:val="标题 3 字符"/>
    <w:autoRedefine/>
    <w:qFormat/>
    <w:uiPriority w:val="0"/>
    <w:rPr>
      <w:rFonts w:eastAsia="宋体"/>
      <w:b/>
      <w:kern w:val="2"/>
      <w:sz w:val="32"/>
      <w:lang w:val="en-US" w:eastAsia="zh-CN"/>
    </w:rPr>
  </w:style>
  <w:style w:type="character" w:customStyle="1" w:styleId="116">
    <w:name w:val="标题 2 字符"/>
    <w:autoRedefine/>
    <w:qFormat/>
    <w:uiPriority w:val="99"/>
    <w:rPr>
      <w:rFonts w:ascii="Arial" w:hAnsi="Arial" w:eastAsia="黑体"/>
      <w:b/>
      <w:kern w:val="2"/>
      <w:sz w:val="32"/>
    </w:rPr>
  </w:style>
  <w:style w:type="character" w:customStyle="1" w:styleId="117">
    <w:name w:val="font61"/>
    <w:autoRedefine/>
    <w:qFormat/>
    <w:uiPriority w:val="0"/>
    <w:rPr>
      <w:rFonts w:hint="eastAsia" w:ascii="微软雅黑" w:hAnsi="微软雅黑" w:eastAsia="微软雅黑" w:cs="微软雅黑"/>
      <w:color w:val="000000"/>
      <w:sz w:val="24"/>
      <w:szCs w:val="24"/>
      <w:u w:val="none"/>
    </w:rPr>
  </w:style>
  <w:style w:type="character" w:customStyle="1" w:styleId="118">
    <w:name w:val="Comment Text Char"/>
    <w:autoRedefine/>
    <w:semiHidden/>
    <w:qFormat/>
    <w:locked/>
    <w:uiPriority w:val="0"/>
    <w:rPr>
      <w:rFonts w:ascii="Times New Roman" w:hAnsi="Times New Roman" w:cs="Times New Roman"/>
      <w:sz w:val="20"/>
      <w:szCs w:val="20"/>
    </w:rPr>
  </w:style>
  <w:style w:type="character" w:customStyle="1" w:styleId="119">
    <w:name w:val="font21"/>
    <w:autoRedefine/>
    <w:qFormat/>
    <w:uiPriority w:val="0"/>
    <w:rPr>
      <w:rFonts w:hint="default" w:ascii="Times New Roman" w:hAnsi="Times New Roman" w:cs="Times New Roman"/>
      <w:color w:val="000000"/>
      <w:sz w:val="24"/>
      <w:szCs w:val="24"/>
      <w:u w:val="none"/>
    </w:rPr>
  </w:style>
  <w:style w:type="paragraph" w:customStyle="1" w:styleId="120">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1">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2">
    <w:name w:val="正文 + 三号"/>
    <w:basedOn w:val="1"/>
    <w:autoRedefine/>
    <w:qFormat/>
    <w:uiPriority w:val="0"/>
    <w:rPr>
      <w:sz w:val="21"/>
    </w:rPr>
  </w:style>
  <w:style w:type="paragraph" w:customStyle="1" w:styleId="123">
    <w:name w:val="标题无"/>
    <w:basedOn w:val="1"/>
    <w:autoRedefine/>
    <w:qFormat/>
    <w:uiPriority w:val="0"/>
    <w:pPr>
      <w:spacing w:line="360" w:lineRule="auto"/>
    </w:pPr>
    <w:rPr>
      <w:sz w:val="24"/>
    </w:rPr>
  </w:style>
  <w:style w:type="paragraph" w:customStyle="1" w:styleId="124">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25">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26">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127">
    <w:name w:val="简单回函地址"/>
    <w:basedOn w:val="1"/>
    <w:autoRedefine/>
    <w:qFormat/>
    <w:uiPriority w:val="0"/>
    <w:pPr>
      <w:adjustRightInd w:val="0"/>
      <w:snapToGrid w:val="0"/>
      <w:spacing w:line="360" w:lineRule="auto"/>
    </w:pPr>
    <w:rPr>
      <w:sz w:val="24"/>
    </w:rPr>
  </w:style>
  <w:style w:type="paragraph" w:customStyle="1" w:styleId="128">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29">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30">
    <w:name w:val="1"/>
    <w:basedOn w:val="1"/>
    <w:next w:val="31"/>
    <w:autoRedefine/>
    <w:qFormat/>
    <w:uiPriority w:val="0"/>
    <w:rPr>
      <w:rFonts w:ascii="宋体" w:hAnsi="Courier New"/>
      <w:sz w:val="21"/>
    </w:rPr>
  </w:style>
  <w:style w:type="paragraph" w:customStyle="1" w:styleId="131">
    <w:name w:val="Char Char14 Char Char"/>
    <w:basedOn w:val="1"/>
    <w:autoRedefine/>
    <w:qFormat/>
    <w:uiPriority w:val="0"/>
    <w:rPr>
      <w:sz w:val="21"/>
      <w:szCs w:val="24"/>
    </w:rPr>
  </w:style>
  <w:style w:type="paragraph" w:customStyle="1" w:styleId="132">
    <w:name w:val="可研正文"/>
    <w:basedOn w:val="2"/>
    <w:autoRedefine/>
    <w:qFormat/>
    <w:uiPriority w:val="0"/>
    <w:pPr>
      <w:adjustRightInd w:val="0"/>
      <w:snapToGrid w:val="0"/>
      <w:spacing w:line="440" w:lineRule="exact"/>
      <w:ind w:firstLine="567"/>
    </w:pPr>
    <w:rPr>
      <w:sz w:val="28"/>
    </w:rPr>
  </w:style>
  <w:style w:type="paragraph" w:customStyle="1" w:styleId="133">
    <w:name w:val="文本1"/>
    <w:basedOn w:val="1"/>
    <w:autoRedefine/>
    <w:qFormat/>
    <w:uiPriority w:val="0"/>
    <w:pPr>
      <w:adjustRightInd w:val="0"/>
      <w:spacing w:line="312" w:lineRule="atLeast"/>
      <w:jc w:val="center"/>
      <w:textAlignment w:val="baseline"/>
    </w:pPr>
    <w:rPr>
      <w:kern w:val="0"/>
      <w:sz w:val="18"/>
    </w:rPr>
  </w:style>
  <w:style w:type="paragraph" w:customStyle="1" w:styleId="134">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35">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136">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137">
    <w:name w:val="样式3"/>
    <w:basedOn w:val="3"/>
    <w:next w:val="3"/>
    <w:autoRedefine/>
    <w:qFormat/>
    <w:uiPriority w:val="0"/>
    <w:pPr>
      <w:keepLines/>
      <w:adjustRightInd w:val="0"/>
      <w:spacing w:before="340" w:after="330" w:line="576" w:lineRule="auto"/>
    </w:pPr>
    <w:rPr>
      <w:rFonts w:ascii="Times New Roman" w:eastAsia="黑体"/>
      <w:b/>
      <w:kern w:val="44"/>
      <w:sz w:val="44"/>
    </w:rPr>
  </w:style>
  <w:style w:type="paragraph" w:customStyle="1" w:styleId="138">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9">
    <w:name w:val="Char Char Char Char Char Char Char"/>
    <w:basedOn w:val="1"/>
    <w:autoRedefine/>
    <w:qFormat/>
    <w:uiPriority w:val="0"/>
    <w:rPr>
      <w:rFonts w:ascii="Tahoma" w:hAnsi="Tahoma"/>
      <w:sz w:val="24"/>
    </w:rPr>
  </w:style>
  <w:style w:type="paragraph" w:customStyle="1" w:styleId="140">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141">
    <w:name w:val="Table Contents"/>
    <w:basedOn w:val="2"/>
    <w:autoRedefine/>
    <w:qFormat/>
    <w:uiPriority w:val="0"/>
    <w:pPr>
      <w:suppressAutoHyphens/>
      <w:jc w:val="left"/>
    </w:pPr>
    <w:rPr>
      <w:rFonts w:ascii="Times New Roman" w:eastAsia="Times New Roman"/>
      <w:kern w:val="0"/>
      <w:sz w:val="24"/>
    </w:rPr>
  </w:style>
  <w:style w:type="paragraph" w:customStyle="1" w:styleId="142">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43">
    <w:name w:val="样式4"/>
    <w:basedOn w:val="6"/>
    <w:autoRedefine/>
    <w:qFormat/>
    <w:uiPriority w:val="0"/>
    <w:pPr>
      <w:adjustRightInd w:val="0"/>
      <w:snapToGrid w:val="0"/>
    </w:pPr>
  </w:style>
  <w:style w:type="paragraph" w:customStyle="1" w:styleId="144">
    <w:name w:val="表号"/>
    <w:basedOn w:val="1"/>
    <w:autoRedefine/>
    <w:qFormat/>
    <w:uiPriority w:val="0"/>
    <w:pPr>
      <w:numPr>
        <w:ilvl w:val="0"/>
        <w:numId w:val="4"/>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45">
    <w:name w:val="Style Heading 3h3Heading 3 - oldLevel 3 HeadH3level_3PIM 3se..."/>
    <w:basedOn w:val="5"/>
    <w:autoRedefine/>
    <w:qFormat/>
    <w:uiPriority w:val="0"/>
    <w:pPr>
      <w:numPr>
        <w:ilvl w:val="2"/>
        <w:numId w:val="5"/>
      </w:numPr>
      <w:tabs>
        <w:tab w:val="left" w:pos="709"/>
        <w:tab w:val="left" w:pos="1620"/>
      </w:tabs>
    </w:pPr>
  </w:style>
  <w:style w:type="paragraph" w:customStyle="1" w:styleId="146">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47">
    <w:name w:val="Char Char1 Char"/>
    <w:basedOn w:val="1"/>
    <w:autoRedefine/>
    <w:qFormat/>
    <w:uiPriority w:val="0"/>
    <w:rPr>
      <w:rFonts w:ascii="Tahoma" w:hAnsi="Tahoma"/>
      <w:sz w:val="24"/>
      <w:szCs w:val="24"/>
    </w:rPr>
  </w:style>
  <w:style w:type="paragraph" w:customStyle="1" w:styleId="148">
    <w:name w:val="CSS1级正文 Char"/>
    <w:basedOn w:val="2"/>
    <w:autoRedefine/>
    <w:qFormat/>
    <w:uiPriority w:val="0"/>
    <w:pPr>
      <w:adjustRightInd w:val="0"/>
      <w:snapToGrid w:val="0"/>
      <w:spacing w:line="360" w:lineRule="auto"/>
      <w:ind w:firstLine="480"/>
    </w:pPr>
    <w:rPr>
      <w:rFonts w:ascii="Times New Roman" w:eastAsia="宋体"/>
      <w:sz w:val="24"/>
    </w:rPr>
  </w:style>
  <w:style w:type="paragraph" w:customStyle="1" w:styleId="149">
    <w:name w:val="标书正文:  0.74 厘米"/>
    <w:basedOn w:val="1"/>
    <w:autoRedefine/>
    <w:qFormat/>
    <w:uiPriority w:val="0"/>
    <w:pPr>
      <w:snapToGrid w:val="0"/>
      <w:spacing w:line="360" w:lineRule="auto"/>
      <w:ind w:firstLine="420"/>
    </w:pPr>
    <w:rPr>
      <w:sz w:val="24"/>
    </w:rPr>
  </w:style>
  <w:style w:type="paragraph" w:customStyle="1" w:styleId="150">
    <w:name w:val="样式 行距: 1.5 倍行距1"/>
    <w:basedOn w:val="1"/>
    <w:autoRedefine/>
    <w:qFormat/>
    <w:uiPriority w:val="0"/>
    <w:pPr>
      <w:snapToGrid w:val="0"/>
    </w:pPr>
    <w:rPr>
      <w:sz w:val="21"/>
    </w:rPr>
  </w:style>
  <w:style w:type="paragraph" w:customStyle="1" w:styleId="151">
    <w:name w:val="段落正文"/>
    <w:basedOn w:val="1"/>
    <w:autoRedefine/>
    <w:qFormat/>
    <w:uiPriority w:val="0"/>
    <w:pPr>
      <w:spacing w:before="156" w:beforeLines="50" w:line="360" w:lineRule="auto"/>
      <w:ind w:firstLine="200" w:firstLineChars="200"/>
    </w:pPr>
    <w:rPr>
      <w:spacing w:val="2"/>
      <w:sz w:val="24"/>
    </w:rPr>
  </w:style>
  <w:style w:type="paragraph" w:customStyle="1" w:styleId="152">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3">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154">
    <w:name w:val="样式 首行缩进:  0.74 厘米"/>
    <w:basedOn w:val="1"/>
    <w:autoRedefine/>
    <w:qFormat/>
    <w:uiPriority w:val="0"/>
    <w:pPr>
      <w:spacing w:line="360" w:lineRule="auto"/>
      <w:ind w:firstLine="420"/>
    </w:pPr>
    <w:rPr>
      <w:sz w:val="24"/>
    </w:rPr>
  </w:style>
  <w:style w:type="paragraph" w:customStyle="1" w:styleId="155">
    <w:name w:val="首行缩进"/>
    <w:basedOn w:val="1"/>
    <w:autoRedefine/>
    <w:qFormat/>
    <w:uiPriority w:val="0"/>
    <w:pPr>
      <w:numPr>
        <w:ilvl w:val="0"/>
        <w:numId w:val="6"/>
      </w:numPr>
      <w:spacing w:line="360" w:lineRule="auto"/>
    </w:pPr>
    <w:rPr>
      <w:rFonts w:eastAsia="仿宋_GB2312"/>
    </w:rPr>
  </w:style>
  <w:style w:type="paragraph" w:customStyle="1" w:styleId="156">
    <w:name w:val="Title - Date"/>
    <w:basedOn w:val="54"/>
    <w:next w:val="1"/>
    <w:autoRedefine/>
    <w:qFormat/>
    <w:uiPriority w:val="0"/>
    <w:pPr>
      <w:spacing w:before="240" w:after="720"/>
    </w:pPr>
    <w:rPr>
      <w:sz w:val="28"/>
    </w:rPr>
  </w:style>
  <w:style w:type="paragraph" w:customStyle="1" w:styleId="157">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158">
    <w:name w:val="Char2 Char Char Char Char Char Char"/>
    <w:basedOn w:val="1"/>
    <w:autoRedefine/>
    <w:qFormat/>
    <w:uiPriority w:val="0"/>
    <w:rPr>
      <w:rFonts w:ascii="仿宋_GB2312"/>
      <w:b/>
      <w:sz w:val="30"/>
    </w:rPr>
  </w:style>
  <w:style w:type="paragraph" w:customStyle="1" w:styleId="159">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0">
    <w:name w:val="标准正文"/>
    <w:basedOn w:val="23"/>
    <w:autoRedefine/>
    <w:qFormat/>
    <w:uiPriority w:val="0"/>
    <w:pPr>
      <w:spacing w:before="60" w:after="60" w:line="360" w:lineRule="auto"/>
      <w:ind w:left="0" w:firstLine="482"/>
    </w:pPr>
    <w:rPr>
      <w:rFonts w:ascii="Arial" w:hAnsi="Arial"/>
      <w:sz w:val="24"/>
    </w:rPr>
  </w:style>
  <w:style w:type="paragraph" w:customStyle="1" w:styleId="161">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62">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3">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164">
    <w:name w:val="Item List"/>
    <w:autoRedefine/>
    <w:qFormat/>
    <w:uiPriority w:val="0"/>
    <w:pPr>
      <w:numPr>
        <w:ilvl w:val="0"/>
        <w:numId w:val="7"/>
      </w:numPr>
      <w:spacing w:line="300" w:lineRule="auto"/>
      <w:jc w:val="both"/>
    </w:pPr>
    <w:rPr>
      <w:rFonts w:ascii="Arial" w:hAnsi="Arial" w:eastAsia="宋体" w:cs="Times New Roman"/>
      <w:sz w:val="21"/>
      <w:lang w:val="en-US" w:eastAsia="zh-CN" w:bidi="ar-SA"/>
    </w:rPr>
  </w:style>
  <w:style w:type="paragraph" w:customStyle="1" w:styleId="165">
    <w:name w:val="编号正文"/>
    <w:basedOn w:val="166"/>
    <w:qFormat/>
    <w:uiPriority w:val="0"/>
    <w:pPr>
      <w:snapToGrid/>
      <w:spacing w:line="360" w:lineRule="auto"/>
      <w:ind w:left="1407" w:hanging="1047"/>
      <w:jc w:val="left"/>
    </w:pPr>
    <w:rPr>
      <w:rFonts w:eastAsia="仿宋_GB2312"/>
    </w:rPr>
  </w:style>
  <w:style w:type="paragraph" w:customStyle="1" w:styleId="166">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7">
    <w:name w:val="一级条标题"/>
    <w:basedOn w:val="168"/>
    <w:next w:val="159"/>
    <w:autoRedefine/>
    <w:qFormat/>
    <w:uiPriority w:val="0"/>
    <w:pPr>
      <w:numPr>
        <w:ilvl w:val="0"/>
        <w:numId w:val="0"/>
      </w:numPr>
      <w:spacing w:before="0" w:beforeLines="0" w:after="0" w:afterLines="0"/>
      <w:ind w:left="525"/>
      <w:outlineLvl w:val="2"/>
    </w:pPr>
    <w:rPr>
      <w:sz w:val="21"/>
    </w:rPr>
  </w:style>
  <w:style w:type="paragraph" w:customStyle="1" w:styleId="168">
    <w:name w:val="章标题"/>
    <w:next w:val="1"/>
    <w:autoRedefine/>
    <w:qFormat/>
    <w:uiPriority w:val="0"/>
    <w:pPr>
      <w:numPr>
        <w:ilvl w:val="1"/>
        <w:numId w:val="8"/>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69">
    <w:name w:val="Char Char Char Char Char Char Char1"/>
    <w:basedOn w:val="18"/>
    <w:autoRedefine/>
    <w:qFormat/>
    <w:uiPriority w:val="0"/>
    <w:rPr>
      <w:rFonts w:ascii="宋体" w:hAnsi="Tahoma"/>
    </w:rPr>
  </w:style>
  <w:style w:type="paragraph" w:customStyle="1" w:styleId="17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171">
    <w:name w:val="Char1 Char Char Char"/>
    <w:basedOn w:val="1"/>
    <w:autoRedefine/>
    <w:qFormat/>
    <w:uiPriority w:val="0"/>
    <w:rPr>
      <w:rFonts w:ascii="Tahoma" w:hAnsi="Tahoma"/>
      <w:sz w:val="24"/>
    </w:rPr>
  </w:style>
  <w:style w:type="paragraph" w:customStyle="1" w:styleId="172">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73">
    <w:name w:val="Char"/>
    <w:basedOn w:val="1"/>
    <w:autoRedefine/>
    <w:qFormat/>
    <w:uiPriority w:val="0"/>
    <w:pPr>
      <w:spacing w:line="240" w:lineRule="atLeast"/>
      <w:ind w:left="420" w:firstLine="420"/>
    </w:pPr>
    <w:rPr>
      <w:kern w:val="0"/>
      <w:sz w:val="21"/>
    </w:rPr>
  </w:style>
  <w:style w:type="paragraph" w:customStyle="1" w:styleId="174">
    <w:name w:val="正文文本 21"/>
    <w:basedOn w:val="1"/>
    <w:next w:val="175"/>
    <w:autoRedefine/>
    <w:qFormat/>
    <w:uiPriority w:val="0"/>
    <w:pPr>
      <w:adjustRightInd w:val="0"/>
      <w:spacing w:before="120" w:line="360" w:lineRule="auto"/>
      <w:ind w:firstLine="480"/>
      <w:textAlignment w:val="baseline"/>
    </w:pPr>
    <w:rPr>
      <w:sz w:val="24"/>
    </w:rPr>
  </w:style>
  <w:style w:type="paragraph" w:customStyle="1" w:styleId="175">
    <w:name w:val="默认段落字体 Para Char Char Char Char Char Char Char"/>
    <w:basedOn w:val="1"/>
    <w:next w:val="176"/>
    <w:autoRedefine/>
    <w:qFormat/>
    <w:uiPriority w:val="0"/>
    <w:rPr>
      <w:rFonts w:ascii="Tahoma" w:hAnsi="Tahoma"/>
      <w:sz w:val="24"/>
    </w:rPr>
  </w:style>
  <w:style w:type="paragraph" w:customStyle="1" w:styleId="176">
    <w:name w:val="样式 首行缩进:  2 字符"/>
    <w:basedOn w:val="1"/>
    <w:next w:val="177"/>
    <w:autoRedefine/>
    <w:qFormat/>
    <w:uiPriority w:val="99"/>
    <w:pPr>
      <w:spacing w:line="360" w:lineRule="auto"/>
      <w:ind w:left="480" w:firstLine="5856"/>
    </w:pPr>
  </w:style>
  <w:style w:type="paragraph" w:customStyle="1" w:styleId="177">
    <w:name w:val="样式 段后: 0.25 行"/>
    <w:basedOn w:val="1"/>
    <w:next w:val="178"/>
    <w:autoRedefine/>
    <w:qFormat/>
    <w:uiPriority w:val="99"/>
    <w:pPr>
      <w:widowControl/>
      <w:spacing w:line="300" w:lineRule="auto"/>
      <w:ind w:left="420" w:firstLine="5796"/>
    </w:pPr>
  </w:style>
  <w:style w:type="paragraph" w:customStyle="1" w:styleId="178">
    <w:name w:val="正文 New New New New New New New New New New New New New New"/>
    <w:next w:val="47"/>
    <w:autoRedefine/>
    <w:qFormat/>
    <w:uiPriority w:val="99"/>
    <w:pPr>
      <w:widowControl w:val="0"/>
      <w:ind w:firstLine="2048"/>
      <w:jc w:val="both"/>
    </w:pPr>
    <w:rPr>
      <w:rFonts w:ascii="Calibri" w:hAnsi="Calibri" w:eastAsia="宋体" w:cs="Times New Roman"/>
      <w:lang w:val="en-US" w:eastAsia="zh-CN" w:bidi="ar-SA"/>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Char Char 字元 字元 字元 Char Char Char Char"/>
    <w:basedOn w:val="1"/>
    <w:autoRedefine/>
    <w:qFormat/>
    <w:uiPriority w:val="0"/>
    <w:pPr>
      <w:adjustRightInd w:val="0"/>
      <w:spacing w:line="360" w:lineRule="auto"/>
    </w:pPr>
    <w:rPr>
      <w:kern w:val="0"/>
      <w:sz w:val="24"/>
    </w:rPr>
  </w:style>
  <w:style w:type="paragraph" w:customStyle="1" w:styleId="181">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182">
    <w:name w:val="bt"/>
    <w:basedOn w:val="1"/>
    <w:next w:val="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83">
    <w:name w:val="二级列表"/>
    <w:basedOn w:val="151"/>
    <w:next w:val="151"/>
    <w:autoRedefine/>
    <w:qFormat/>
    <w:uiPriority w:val="0"/>
    <w:pPr>
      <w:tabs>
        <w:tab w:val="left" w:pos="2120"/>
      </w:tabs>
      <w:ind w:firstLine="0" w:firstLineChars="0"/>
    </w:pPr>
    <w:rPr>
      <w:b/>
    </w:rPr>
  </w:style>
  <w:style w:type="paragraph" w:customStyle="1" w:styleId="184">
    <w:name w:val="样式1"/>
    <w:basedOn w:val="6"/>
    <w:autoRedefine/>
    <w:qFormat/>
    <w:uiPriority w:val="0"/>
    <w:pPr>
      <w:tabs>
        <w:tab w:val="left" w:pos="720"/>
      </w:tabs>
      <w:spacing w:before="500" w:after="260" w:line="560" w:lineRule="atLeast"/>
      <w:ind w:left="420" w:hanging="420"/>
    </w:pPr>
  </w:style>
  <w:style w:type="paragraph" w:customStyle="1" w:styleId="185">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86">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187">
    <w:name w:val="标题2"/>
    <w:basedOn w:val="4"/>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88">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89">
    <w:name w:val="Char Char Char Char Char"/>
    <w:basedOn w:val="1"/>
    <w:autoRedefine/>
    <w:qFormat/>
    <w:uiPriority w:val="0"/>
    <w:pPr>
      <w:tabs>
        <w:tab w:val="left" w:pos="425"/>
      </w:tabs>
      <w:ind w:left="1620" w:hanging="360"/>
    </w:pPr>
    <w:rPr>
      <w:rFonts w:ascii="Tahoma" w:hAnsi="Tahoma"/>
      <w:sz w:val="24"/>
    </w:rPr>
  </w:style>
  <w:style w:type="paragraph" w:customStyle="1" w:styleId="190">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91">
    <w:name w:val="Title - Revision"/>
    <w:basedOn w:val="54"/>
    <w:autoRedefine/>
    <w:qFormat/>
    <w:uiPriority w:val="0"/>
    <w:pPr>
      <w:spacing w:before="720"/>
    </w:pPr>
  </w:style>
  <w:style w:type="paragraph" w:customStyle="1" w:styleId="192">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93">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94">
    <w:name w:val="样式2"/>
    <w:basedOn w:val="6"/>
    <w:autoRedefine/>
    <w:qFormat/>
    <w:uiPriority w:val="0"/>
    <w:pPr>
      <w:numPr>
        <w:ilvl w:val="0"/>
        <w:numId w:val="9"/>
      </w:numPr>
      <w:spacing w:before="560" w:line="400" w:lineRule="exact"/>
      <w:jc w:val="center"/>
      <w:outlineLvl w:val="0"/>
    </w:pPr>
    <w:rPr>
      <w:b w:val="0"/>
      <w:sz w:val="44"/>
    </w:rPr>
  </w:style>
  <w:style w:type="paragraph" w:customStyle="1" w:styleId="195">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6">
    <w:name w:val="首行缩进 1"/>
    <w:basedOn w:val="1"/>
    <w:autoRedefine/>
    <w:qFormat/>
    <w:uiPriority w:val="0"/>
    <w:pPr>
      <w:spacing w:after="120" w:line="360" w:lineRule="auto"/>
      <w:ind w:firstLine="200" w:firstLineChars="200"/>
    </w:pPr>
    <w:rPr>
      <w:sz w:val="24"/>
    </w:rPr>
  </w:style>
  <w:style w:type="paragraph" w:customStyle="1" w:styleId="197">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98">
    <w:name w:val="样式 样式 首行缩进:  2 字符 + 首行缩进:  2 字符"/>
    <w:basedOn w:val="1"/>
    <w:autoRedefine/>
    <w:qFormat/>
    <w:uiPriority w:val="0"/>
    <w:pPr>
      <w:numPr>
        <w:ilvl w:val="0"/>
        <w:numId w:val="10"/>
      </w:numPr>
      <w:tabs>
        <w:tab w:val="clear" w:pos="1230"/>
      </w:tabs>
      <w:spacing w:line="360" w:lineRule="auto"/>
      <w:ind w:firstLine="480" w:firstLineChars="200"/>
    </w:pPr>
    <w:rPr>
      <w:sz w:val="24"/>
    </w:rPr>
  </w:style>
  <w:style w:type="paragraph" w:customStyle="1" w:styleId="199">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00">
    <w:name w:val="二级条标题"/>
    <w:basedOn w:val="167"/>
    <w:next w:val="159"/>
    <w:autoRedefine/>
    <w:qFormat/>
    <w:uiPriority w:val="0"/>
    <w:pPr>
      <w:ind w:left="840"/>
      <w:outlineLvl w:val="3"/>
    </w:pPr>
  </w:style>
  <w:style w:type="paragraph" w:customStyle="1" w:styleId="201">
    <w:name w:val="Char2"/>
    <w:basedOn w:val="1"/>
    <w:autoRedefine/>
    <w:qFormat/>
    <w:uiPriority w:val="0"/>
    <w:pPr>
      <w:spacing w:line="240" w:lineRule="atLeast"/>
      <w:ind w:left="420" w:firstLine="420"/>
    </w:pPr>
    <w:rPr>
      <w:kern w:val="0"/>
      <w:sz w:val="21"/>
    </w:rPr>
  </w:style>
  <w:style w:type="paragraph" w:customStyle="1" w:styleId="202">
    <w:name w:val="af"/>
    <w:basedOn w:val="1"/>
    <w:autoRedefine/>
    <w:qFormat/>
    <w:uiPriority w:val="0"/>
    <w:pPr>
      <w:widowControl/>
      <w:spacing w:line="300" w:lineRule="atLeast"/>
      <w:jc w:val="left"/>
    </w:pPr>
    <w:rPr>
      <w:rFonts w:ascii="宋体" w:hAnsi="宋体"/>
      <w:kern w:val="0"/>
      <w:sz w:val="18"/>
    </w:rPr>
  </w:style>
  <w:style w:type="paragraph" w:customStyle="1" w:styleId="203">
    <w:name w:val="Char Char Char"/>
    <w:basedOn w:val="1"/>
    <w:autoRedefine/>
    <w:qFormat/>
    <w:uiPriority w:val="0"/>
    <w:rPr>
      <w:rFonts w:ascii="Tahoma" w:hAnsi="Tahoma"/>
      <w:sz w:val="24"/>
    </w:rPr>
  </w:style>
  <w:style w:type="paragraph" w:customStyle="1" w:styleId="204">
    <w:name w:val="1.正文"/>
    <w:basedOn w:val="1"/>
    <w:autoRedefine/>
    <w:qFormat/>
    <w:uiPriority w:val="0"/>
    <w:pPr>
      <w:spacing w:line="360" w:lineRule="auto"/>
      <w:ind w:left="540" w:leftChars="225" w:firstLine="540" w:firstLineChars="225"/>
    </w:pPr>
    <w:rPr>
      <w:sz w:val="24"/>
    </w:rPr>
  </w:style>
  <w:style w:type="paragraph" w:customStyle="1" w:styleId="205">
    <w:name w:val="样式 标题 1章标题Heading 0Section HeadPIM 1H1h11st levell11H1..."/>
    <w:basedOn w:val="3"/>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6">
    <w:name w:val="样式 正文首行缩进 2 + 首行缩进:  2 字符"/>
    <w:basedOn w:val="1"/>
    <w:autoRedefine/>
    <w:qFormat/>
    <w:uiPriority w:val="0"/>
    <w:pPr>
      <w:numPr>
        <w:ilvl w:val="0"/>
        <w:numId w:val="11"/>
      </w:numPr>
      <w:tabs>
        <w:tab w:val="left" w:pos="987"/>
      </w:tabs>
      <w:adjustRightInd w:val="0"/>
      <w:snapToGrid w:val="0"/>
      <w:spacing w:line="360" w:lineRule="auto"/>
    </w:pPr>
    <w:rPr>
      <w:rFonts w:ascii="Arial" w:hAnsi="Arial"/>
      <w:b/>
      <w:sz w:val="24"/>
    </w:rPr>
  </w:style>
  <w:style w:type="paragraph" w:customStyle="1" w:styleId="207">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8">
    <w:name w:val="Char Char Char Char Char Char Char Char Char Char Char Char Char Char Char Char"/>
    <w:basedOn w:val="1"/>
    <w:autoRedefine/>
    <w:qFormat/>
    <w:uiPriority w:val="0"/>
    <w:pPr>
      <w:tabs>
        <w:tab w:val="left" w:pos="360"/>
      </w:tabs>
    </w:pPr>
    <w:rPr>
      <w:sz w:val="24"/>
    </w:rPr>
  </w:style>
  <w:style w:type="paragraph" w:customStyle="1" w:styleId="209">
    <w:name w:val="正文文本缩进 21"/>
    <w:basedOn w:val="1"/>
    <w:autoRedefine/>
    <w:qFormat/>
    <w:uiPriority w:val="0"/>
    <w:pPr>
      <w:adjustRightInd w:val="0"/>
      <w:spacing w:before="120"/>
      <w:ind w:firstLine="420"/>
      <w:textAlignment w:val="baseline"/>
    </w:pPr>
    <w:rPr>
      <w:sz w:val="24"/>
    </w:rPr>
  </w:style>
  <w:style w:type="paragraph" w:customStyle="1" w:styleId="210">
    <w:name w:val="没有缩进（为图形使用）"/>
    <w:basedOn w:val="1"/>
    <w:autoRedefine/>
    <w:qFormat/>
    <w:uiPriority w:val="0"/>
    <w:pPr>
      <w:spacing w:before="120" w:after="120" w:line="360" w:lineRule="auto"/>
    </w:pPr>
    <w:rPr>
      <w:sz w:val="24"/>
    </w:rPr>
  </w:style>
  <w:style w:type="paragraph" w:customStyle="1" w:styleId="211">
    <w:name w:val="Item Step in Table"/>
    <w:autoRedefine/>
    <w:qFormat/>
    <w:uiPriority w:val="0"/>
    <w:pPr>
      <w:numPr>
        <w:ilvl w:val="0"/>
        <w:numId w:val="8"/>
      </w:numPr>
      <w:tabs>
        <w:tab w:val="left" w:pos="397"/>
      </w:tabs>
      <w:spacing w:before="40" w:after="40"/>
      <w:jc w:val="both"/>
    </w:pPr>
    <w:rPr>
      <w:rFonts w:ascii="Arial" w:hAnsi="Arial" w:eastAsia="宋体" w:cs="Times New Roman"/>
      <w:sz w:val="18"/>
      <w:lang w:val="en-US" w:eastAsia="zh-CN" w:bidi="ar-SA"/>
    </w:rPr>
  </w:style>
  <w:style w:type="paragraph" w:customStyle="1" w:styleId="212">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13">
    <w:name w:val="Char1 Char Char Char1"/>
    <w:basedOn w:val="1"/>
    <w:autoRedefine/>
    <w:qFormat/>
    <w:uiPriority w:val="0"/>
    <w:rPr>
      <w:rFonts w:ascii="Tahoma" w:hAnsi="Tahoma"/>
      <w:sz w:val="30"/>
    </w:rPr>
  </w:style>
  <w:style w:type="paragraph" w:customStyle="1" w:styleId="214">
    <w:name w:val="图片文字"/>
    <w:basedOn w:val="1"/>
    <w:autoRedefine/>
    <w:qFormat/>
    <w:uiPriority w:val="0"/>
    <w:pPr>
      <w:spacing w:line="240" w:lineRule="atLeast"/>
      <w:jc w:val="center"/>
    </w:pPr>
    <w:rPr>
      <w:sz w:val="21"/>
    </w:rPr>
  </w:style>
  <w:style w:type="paragraph" w:customStyle="1" w:styleId="215">
    <w:name w:val="表格内文字"/>
    <w:basedOn w:val="31"/>
    <w:autoRedefine/>
    <w:qFormat/>
    <w:uiPriority w:val="0"/>
    <w:pPr>
      <w:adjustRightInd w:val="0"/>
    </w:pPr>
    <w:rPr>
      <w:color w:val="000000"/>
      <w:lang w:val="en-GB"/>
    </w:rPr>
  </w:style>
  <w:style w:type="paragraph" w:customStyle="1" w:styleId="216">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17">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18">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9">
    <w:name w:val="图例"/>
    <w:basedOn w:val="1"/>
    <w:autoRedefine/>
    <w:qFormat/>
    <w:uiPriority w:val="0"/>
    <w:pPr>
      <w:spacing w:before="120" w:after="120" w:line="360" w:lineRule="auto"/>
      <w:jc w:val="center"/>
    </w:pPr>
    <w:rPr>
      <w:rFonts w:eastAsia="仿宋_GB2312"/>
      <w:b/>
      <w:sz w:val="24"/>
    </w:rPr>
  </w:style>
  <w:style w:type="paragraph" w:customStyle="1" w:styleId="220">
    <w:name w:val="关键词"/>
    <w:basedOn w:val="1"/>
    <w:next w:val="1"/>
    <w:autoRedefine/>
    <w:qFormat/>
    <w:uiPriority w:val="0"/>
    <w:pPr>
      <w:spacing w:line="360" w:lineRule="auto"/>
    </w:pPr>
    <w:rPr>
      <w:rFonts w:eastAsia="黑体"/>
      <w:sz w:val="20"/>
    </w:rPr>
  </w:style>
  <w:style w:type="paragraph" w:customStyle="1" w:styleId="221">
    <w:name w:val="列表项目"/>
    <w:basedOn w:val="1"/>
    <w:autoRedefine/>
    <w:qFormat/>
    <w:uiPriority w:val="0"/>
    <w:pPr>
      <w:tabs>
        <w:tab w:val="left" w:pos="420"/>
      </w:tabs>
      <w:spacing w:line="288" w:lineRule="auto"/>
      <w:ind w:left="840" w:leftChars="200" w:hanging="420" w:hangingChars="200"/>
    </w:pPr>
    <w:rPr>
      <w:sz w:val="21"/>
    </w:rPr>
  </w:style>
  <w:style w:type="paragraph" w:customStyle="1" w:styleId="222">
    <w:name w:val="默认段落字体 Para Char Char Char Char Char Char Char Char Char1 Char Char Char Char"/>
    <w:basedOn w:val="1"/>
    <w:autoRedefine/>
    <w:qFormat/>
    <w:uiPriority w:val="0"/>
    <w:rPr>
      <w:rFonts w:ascii="Tahoma" w:hAnsi="Tahoma"/>
      <w:sz w:val="24"/>
    </w:rPr>
  </w:style>
  <w:style w:type="paragraph" w:customStyle="1" w:styleId="223">
    <w:name w:val="样式 标题 6第五层条 + 三号 段前: 0.5 行"/>
    <w:basedOn w:val="8"/>
    <w:autoRedefine/>
    <w:qFormat/>
    <w:uiPriority w:val="0"/>
    <w:pPr>
      <w:widowControl/>
      <w:adjustRightInd/>
      <w:snapToGrid/>
      <w:spacing w:before="156" w:beforeLines="50"/>
      <w:jc w:val="left"/>
    </w:pPr>
    <w:rPr>
      <w:snapToGrid/>
      <w:kern w:val="24"/>
      <w:sz w:val="28"/>
    </w:rPr>
  </w:style>
  <w:style w:type="paragraph" w:customStyle="1" w:styleId="224">
    <w:name w:val="样式 标题 1 + 居中 段前: 6 磅 段后: 6 磅 行距: 1.5 倍行距"/>
    <w:basedOn w:val="3"/>
    <w:autoRedefine/>
    <w:qFormat/>
    <w:uiPriority w:val="0"/>
    <w:pPr>
      <w:keepLines/>
      <w:adjustRightInd w:val="0"/>
      <w:spacing w:before="120" w:after="120" w:line="360" w:lineRule="auto"/>
      <w:jc w:val="center"/>
    </w:pPr>
    <w:rPr>
      <w:rFonts w:ascii="Times New Roman"/>
      <w:b/>
      <w:kern w:val="44"/>
      <w:sz w:val="32"/>
    </w:rPr>
  </w:style>
  <w:style w:type="paragraph" w:customStyle="1" w:styleId="225">
    <w:name w:val="文章正文"/>
    <w:basedOn w:val="1"/>
    <w:autoRedefine/>
    <w:qFormat/>
    <w:uiPriority w:val="0"/>
    <w:pPr>
      <w:ind w:firstLine="560" w:firstLineChars="200"/>
    </w:pPr>
    <w:rPr>
      <w:rFonts w:ascii="仿宋_GB2312" w:hAnsi="宋体" w:eastAsia="仿宋_GB2312"/>
      <w:color w:val="000000"/>
    </w:rPr>
  </w:style>
  <w:style w:type="paragraph" w:customStyle="1" w:styleId="226">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27">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28">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229">
    <w:name w:val="彩色底纹 - 着色 11"/>
    <w:autoRedefine/>
    <w:qFormat/>
    <w:uiPriority w:val="0"/>
    <w:rPr>
      <w:rFonts w:ascii="Calibri" w:hAnsi="Calibri" w:eastAsia="宋体" w:cs="Times New Roman"/>
      <w:kern w:val="2"/>
      <w:sz w:val="21"/>
      <w:lang w:val="en-US" w:eastAsia="zh-CN" w:bidi="ar-SA"/>
    </w:rPr>
  </w:style>
  <w:style w:type="paragraph" w:customStyle="1" w:styleId="230">
    <w:name w:val="正文表格"/>
    <w:basedOn w:val="1"/>
    <w:autoRedefine/>
    <w:qFormat/>
    <w:uiPriority w:val="0"/>
    <w:pPr>
      <w:adjustRightInd w:val="0"/>
      <w:spacing w:before="40" w:after="40"/>
    </w:pPr>
    <w:rPr>
      <w:sz w:val="24"/>
    </w:rPr>
  </w:style>
  <w:style w:type="paragraph" w:customStyle="1" w:styleId="231">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2">
    <w:name w:val="00"/>
    <w:basedOn w:val="1"/>
    <w:autoRedefine/>
    <w:qFormat/>
    <w:uiPriority w:val="0"/>
    <w:pPr>
      <w:autoSpaceDE w:val="0"/>
      <w:autoSpaceDN w:val="0"/>
      <w:adjustRightInd w:val="0"/>
      <w:jc w:val="left"/>
    </w:pPr>
    <w:rPr>
      <w:rFonts w:ascii="黑体" w:eastAsia="黑体"/>
      <w:b/>
      <w:kern w:val="0"/>
      <w:sz w:val="20"/>
    </w:rPr>
  </w:style>
  <w:style w:type="paragraph" w:customStyle="1" w:styleId="233">
    <w:name w:val="标题3——2"/>
    <w:basedOn w:val="5"/>
    <w:next w:val="56"/>
    <w:autoRedefine/>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34">
    <w:name w:val="表头文本"/>
    <w:autoRedefine/>
    <w:qFormat/>
    <w:uiPriority w:val="0"/>
    <w:pPr>
      <w:jc w:val="center"/>
    </w:pPr>
    <w:rPr>
      <w:rFonts w:ascii="Arial" w:hAnsi="Arial" w:eastAsia="宋体" w:cs="Times New Roman"/>
      <w:b/>
      <w:sz w:val="21"/>
      <w:lang w:val="en-US" w:eastAsia="zh-CN" w:bidi="ar-SA"/>
    </w:rPr>
  </w:style>
  <w:style w:type="paragraph" w:customStyle="1" w:styleId="235">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6">
    <w:name w:val="样式 正文缩进正文（首行缩进两字）表正文正文非缩进特点标题4段1 + 首行缩进:  2 字符"/>
    <w:basedOn w:val="16"/>
    <w:autoRedefine/>
    <w:qFormat/>
    <w:uiPriority w:val="0"/>
    <w:pPr>
      <w:ind w:firstLine="480" w:firstLineChars="200"/>
    </w:pPr>
  </w:style>
  <w:style w:type="paragraph" w:customStyle="1" w:styleId="237">
    <w:name w:val="表文字"/>
    <w:autoRedefine/>
    <w:qFormat/>
    <w:uiPriority w:val="0"/>
    <w:rPr>
      <w:rFonts w:ascii="宋体" w:hAnsi="Times New Roman" w:eastAsia="宋体" w:cs="Times New Roman"/>
      <w:kern w:val="2"/>
      <w:lang w:val="en-US" w:eastAsia="zh-CN" w:bidi="ar-SA"/>
    </w:rPr>
  </w:style>
  <w:style w:type="paragraph" w:customStyle="1" w:styleId="238">
    <w:name w:val="Char1"/>
    <w:basedOn w:val="1"/>
    <w:autoRedefine/>
    <w:qFormat/>
    <w:uiPriority w:val="0"/>
    <w:rPr>
      <w:sz w:val="21"/>
    </w:rPr>
  </w:style>
  <w:style w:type="paragraph" w:customStyle="1" w:styleId="239">
    <w:name w:val="样式 样式 正文首行缩进 2 + 左  0 字符 + 首行缩进:  2.57 字符"/>
    <w:basedOn w:val="1"/>
    <w:next w:val="1"/>
    <w:autoRedefine/>
    <w:qFormat/>
    <w:uiPriority w:val="0"/>
    <w:pPr>
      <w:adjustRightInd w:val="0"/>
      <w:snapToGrid w:val="0"/>
      <w:spacing w:after="120"/>
      <w:ind w:firstLine="540" w:firstLineChars="257"/>
    </w:pPr>
    <w:rPr>
      <w:sz w:val="21"/>
    </w:rPr>
  </w:style>
  <w:style w:type="paragraph" w:customStyle="1" w:styleId="240">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41">
    <w:name w:val="摘要"/>
    <w:basedOn w:val="1"/>
    <w:next w:val="4"/>
    <w:autoRedefine/>
    <w:qFormat/>
    <w:uiPriority w:val="0"/>
    <w:pPr>
      <w:spacing w:line="360" w:lineRule="auto"/>
    </w:pPr>
    <w:rPr>
      <w:rFonts w:eastAsia="黑体"/>
      <w:sz w:val="20"/>
    </w:rPr>
  </w:style>
  <w:style w:type="paragraph" w:customStyle="1" w:styleId="242">
    <w:name w:val="操作步骤"/>
    <w:basedOn w:val="1"/>
    <w:autoRedefine/>
    <w:qFormat/>
    <w:uiPriority w:val="0"/>
    <w:pPr>
      <w:numPr>
        <w:ilvl w:val="0"/>
        <w:numId w:val="12"/>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43">
    <w:name w:val="内容标题"/>
    <w:basedOn w:val="18"/>
    <w:autoRedefine/>
    <w:qFormat/>
    <w:uiPriority w:val="0"/>
    <w:rPr>
      <w:rFonts w:ascii="Tahoma" w:hAnsi="Tahoma"/>
      <w:sz w:val="24"/>
    </w:rPr>
  </w:style>
  <w:style w:type="paragraph" w:customStyle="1" w:styleId="244">
    <w:name w:val="彩色列表 - 着色 11"/>
    <w:next w:val="17"/>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45">
    <w:name w:val="附录3"/>
    <w:basedOn w:val="1"/>
    <w:next w:val="1"/>
    <w:autoRedefine/>
    <w:qFormat/>
    <w:uiPriority w:val="0"/>
    <w:pPr>
      <w:tabs>
        <w:tab w:val="left" w:pos="851"/>
      </w:tabs>
      <w:ind w:left="425" w:hanging="425"/>
      <w:outlineLvl w:val="2"/>
    </w:pPr>
    <w:rPr>
      <w:rFonts w:eastAsia="黑体"/>
      <w:b/>
      <w:sz w:val="32"/>
    </w:rPr>
  </w:style>
  <w:style w:type="paragraph" w:customStyle="1" w:styleId="246">
    <w:name w:val="样式 宋体 五号 行距: 单倍行距"/>
    <w:basedOn w:val="1"/>
    <w:autoRedefine/>
    <w:qFormat/>
    <w:uiPriority w:val="0"/>
    <w:pPr>
      <w:adjustRightInd w:val="0"/>
      <w:jc w:val="left"/>
    </w:pPr>
    <w:rPr>
      <w:rFonts w:ascii="宋体" w:hAnsi="宋体"/>
      <w:kern w:val="0"/>
      <w:sz w:val="21"/>
    </w:rPr>
  </w:style>
  <w:style w:type="paragraph" w:customStyle="1" w:styleId="247">
    <w:name w:val="_Style 243"/>
    <w:autoRedefine/>
    <w:qFormat/>
    <w:uiPriority w:val="0"/>
    <w:rPr>
      <w:rFonts w:ascii="Times New Roman" w:hAnsi="Times New Roman" w:eastAsia="宋体" w:cs="Times New Roman"/>
      <w:kern w:val="2"/>
      <w:sz w:val="21"/>
      <w:lang w:val="en-US" w:eastAsia="zh-CN" w:bidi="ar-SA"/>
    </w:rPr>
  </w:style>
  <w:style w:type="paragraph" w:customStyle="1" w:styleId="248">
    <w:name w:val="文本框样式1"/>
    <w:basedOn w:val="1"/>
    <w:autoRedefine/>
    <w:qFormat/>
    <w:uiPriority w:val="0"/>
    <w:pPr>
      <w:adjustRightInd w:val="0"/>
      <w:snapToGrid w:val="0"/>
      <w:spacing w:before="60" w:line="180" w:lineRule="exact"/>
      <w:jc w:val="center"/>
    </w:pPr>
    <w:rPr>
      <w:sz w:val="21"/>
    </w:rPr>
  </w:style>
  <w:style w:type="paragraph" w:customStyle="1" w:styleId="249">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50">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51">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52">
    <w:name w:val="样式1xz"/>
    <w:basedOn w:val="1"/>
    <w:autoRedefine/>
    <w:qFormat/>
    <w:uiPriority w:val="0"/>
    <w:pPr>
      <w:tabs>
        <w:tab w:val="left" w:pos="1050"/>
        <w:tab w:val="right" w:leader="dot" w:pos="8296"/>
      </w:tabs>
    </w:pPr>
    <w:rPr>
      <w:caps/>
      <w:spacing w:val="20"/>
      <w:sz w:val="24"/>
    </w:rPr>
  </w:style>
  <w:style w:type="paragraph" w:customStyle="1" w:styleId="253">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254">
    <w:name w:val="IN Feature"/>
    <w:next w:val="121"/>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55">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256">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7">
    <w:name w:val="List Paragraph"/>
    <w:basedOn w:val="1"/>
    <w:autoRedefine/>
    <w:qFormat/>
    <w:uiPriority w:val="34"/>
    <w:pPr>
      <w:ind w:firstLine="420" w:firstLineChars="200"/>
    </w:pPr>
  </w:style>
  <w:style w:type="paragraph" w:customStyle="1" w:styleId="258">
    <w:name w:val="正文文本1"/>
    <w:basedOn w:val="81"/>
    <w:next w:val="167"/>
    <w:autoRedefine/>
    <w:qFormat/>
    <w:uiPriority w:val="0"/>
    <w:pPr>
      <w:spacing w:after="120"/>
    </w:pPr>
    <w:rPr>
      <w:lang w:val="en-US" w:eastAsia="en-US"/>
    </w:rPr>
  </w:style>
  <w:style w:type="paragraph" w:customStyle="1" w:styleId="259">
    <w:name w:val="正文_0_0_0_0"/>
    <w:autoRedefine/>
    <w:qFormat/>
    <w:uiPriority w:val="0"/>
    <w:pPr>
      <w:widowControl w:val="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37</Pages>
  <Words>16310</Words>
  <Characters>16662</Characters>
  <Lines>155</Lines>
  <Paragraphs>43</Paragraphs>
  <TotalTime>4</TotalTime>
  <ScaleCrop>false</ScaleCrop>
  <LinksUpToDate>false</LinksUpToDate>
  <CharactersWithSpaces>19058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2022-11-07T07:02:00Z</dcterms:created>
  <dc:creator>罗成</dc:creator>
  <cp:lastModifiedBy>潼 </cp:lastModifiedBy>
  <cp:lastPrinted>2023-04-13T03:33:00Z</cp:lastPrinted>
  <dcterms:modified xsi:type="dcterms:W3CDTF">2024-07-02T10:02:56Z</dcterms:modified>
  <dc:title>竞争性谈判文件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44BBCC305B9348C68A4B5283A2D059A4_13</vt:lpwstr>
  </property>
</Properties>
</file>