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01684">
      <w:pPr>
        <w:jc w:val="center"/>
        <w:rPr>
          <w:rFonts w:hint="eastAsia" w:ascii="宋体" w:hAnsi="宋体" w:eastAsia="宋体" w:cs="宋体"/>
          <w:b/>
          <w:bCs/>
          <w:spacing w:val="-20"/>
          <w:kern w:val="0"/>
          <w:sz w:val="56"/>
          <w:szCs w:val="56"/>
          <w:highlight w:val="none"/>
          <w:lang w:val="zh-CN"/>
        </w:rPr>
      </w:pPr>
      <w:bookmarkStart w:id="0" w:name="_Toc152042286"/>
      <w:bookmarkStart w:id="1" w:name="_Toc144974478"/>
    </w:p>
    <w:p w14:paraId="7F37D838">
      <w:pPr>
        <w:jc w:val="center"/>
        <w:rPr>
          <w:rFonts w:hint="eastAsia" w:ascii="宋体" w:hAnsi="宋体" w:eastAsia="宋体" w:cs="宋体"/>
          <w:b/>
          <w:bCs/>
          <w:spacing w:val="-20"/>
          <w:kern w:val="0"/>
          <w:sz w:val="56"/>
          <w:szCs w:val="56"/>
          <w:highlight w:val="none"/>
          <w:lang w:val="en-US" w:eastAsia="zh-CN"/>
        </w:rPr>
      </w:pPr>
      <w:r>
        <w:rPr>
          <w:rFonts w:hint="eastAsia" w:ascii="宋体" w:hAnsi="宋体" w:cs="宋体"/>
          <w:b/>
          <w:bCs/>
          <w:spacing w:val="-20"/>
          <w:kern w:val="0"/>
          <w:sz w:val="56"/>
          <w:szCs w:val="56"/>
          <w:highlight w:val="none"/>
          <w:lang w:val="zh-CN"/>
        </w:rPr>
        <w:t>华宁县人民医院检验外送服务采购项目</w:t>
      </w:r>
    </w:p>
    <w:p w14:paraId="422AB090">
      <w:pPr>
        <w:jc w:val="center"/>
        <w:rPr>
          <w:rFonts w:hint="eastAsia" w:ascii="宋体" w:hAnsi="宋体" w:eastAsia="宋体" w:cs="宋体"/>
          <w:b/>
          <w:bCs/>
          <w:spacing w:val="-20"/>
          <w:kern w:val="0"/>
          <w:sz w:val="48"/>
          <w:szCs w:val="48"/>
          <w:highlight w:val="none"/>
          <w:lang w:val="zh-CN"/>
        </w:rPr>
      </w:pPr>
    </w:p>
    <w:p w14:paraId="1ECB277B">
      <w:pPr>
        <w:jc w:val="center"/>
        <w:rPr>
          <w:rFonts w:hint="eastAsia" w:ascii="宋体" w:hAnsi="宋体" w:eastAsia="宋体" w:cs="宋体"/>
          <w:b/>
          <w:bCs/>
          <w:spacing w:val="-20"/>
          <w:kern w:val="0"/>
          <w:sz w:val="48"/>
          <w:szCs w:val="48"/>
          <w:highlight w:val="none"/>
          <w:lang w:val="zh-CN"/>
        </w:rPr>
      </w:pPr>
    </w:p>
    <w:p w14:paraId="7AC11FCC">
      <w:pPr>
        <w:jc w:val="center"/>
        <w:rPr>
          <w:rFonts w:hint="eastAsia" w:ascii="宋体" w:hAnsi="宋体" w:eastAsia="宋体" w:cs="宋体"/>
          <w:b/>
          <w:bCs/>
          <w:spacing w:val="-20"/>
          <w:kern w:val="0"/>
          <w:sz w:val="48"/>
          <w:szCs w:val="48"/>
          <w:highlight w:val="none"/>
          <w:lang w:val="zh-CN"/>
        </w:rPr>
      </w:pPr>
    </w:p>
    <w:p w14:paraId="45D1897F">
      <w:pPr>
        <w:jc w:val="left"/>
        <w:rPr>
          <w:rFonts w:hint="eastAsia" w:ascii="宋体" w:hAnsi="宋体" w:eastAsia="宋体" w:cs="宋体"/>
          <w:b/>
          <w:bCs/>
          <w:spacing w:val="-20"/>
          <w:kern w:val="0"/>
          <w:sz w:val="48"/>
          <w:szCs w:val="48"/>
          <w:highlight w:val="none"/>
          <w:lang w:val="zh-CN"/>
        </w:rPr>
      </w:pPr>
    </w:p>
    <w:p w14:paraId="44CC4DEF">
      <w:pPr>
        <w:jc w:val="center"/>
        <w:rPr>
          <w:rFonts w:hint="eastAsia" w:ascii="宋体" w:hAnsi="宋体" w:eastAsia="宋体" w:cs="宋体"/>
          <w:b/>
          <w:bCs/>
          <w:spacing w:val="-20"/>
          <w:kern w:val="0"/>
          <w:sz w:val="48"/>
          <w:szCs w:val="48"/>
          <w:highlight w:val="none"/>
          <w:lang w:val="zh-CN"/>
        </w:rPr>
      </w:pPr>
      <w:r>
        <w:rPr>
          <w:rFonts w:hint="eastAsia" w:ascii="宋体" w:hAnsi="宋体" w:eastAsia="宋体" w:cs="宋体"/>
          <w:b/>
          <w:bCs/>
          <w:spacing w:val="-20"/>
          <w:kern w:val="0"/>
          <w:sz w:val="56"/>
          <w:szCs w:val="56"/>
          <w:highlight w:val="none"/>
          <w:lang w:eastAsia="zh-CN"/>
        </w:rPr>
        <w:t>谈判采购</w:t>
      </w:r>
      <w:r>
        <w:rPr>
          <w:rFonts w:hint="eastAsia" w:ascii="宋体" w:hAnsi="宋体" w:eastAsia="宋体" w:cs="宋体"/>
          <w:b/>
          <w:bCs/>
          <w:spacing w:val="-20"/>
          <w:kern w:val="0"/>
          <w:sz w:val="56"/>
          <w:szCs w:val="56"/>
          <w:highlight w:val="none"/>
          <w:lang w:val="zh-CN"/>
        </w:rPr>
        <w:t>文件</w:t>
      </w:r>
    </w:p>
    <w:p w14:paraId="045EDECA">
      <w:pPr>
        <w:jc w:val="center"/>
        <w:rPr>
          <w:rFonts w:hint="eastAsia" w:ascii="宋体" w:hAnsi="宋体" w:eastAsia="宋体" w:cs="宋体"/>
          <w:b/>
          <w:bCs/>
          <w:spacing w:val="-20"/>
          <w:kern w:val="0"/>
          <w:sz w:val="24"/>
          <w:szCs w:val="24"/>
          <w:highlight w:val="none"/>
          <w:lang w:val="zh-CN"/>
        </w:rPr>
      </w:pPr>
    </w:p>
    <w:p w14:paraId="45D5FA11">
      <w:pPr>
        <w:jc w:val="center"/>
        <w:rPr>
          <w:rFonts w:hint="eastAsia" w:ascii="宋体" w:hAnsi="宋体" w:eastAsia="宋体" w:cs="宋体"/>
          <w:b/>
          <w:bCs/>
          <w:spacing w:val="-20"/>
          <w:kern w:val="0"/>
          <w:sz w:val="24"/>
          <w:szCs w:val="24"/>
          <w:highlight w:val="none"/>
          <w:lang w:val="zh-CN"/>
        </w:rPr>
      </w:pPr>
    </w:p>
    <w:p w14:paraId="1C5DC874">
      <w:pPr>
        <w:jc w:val="center"/>
        <w:rPr>
          <w:rFonts w:hint="eastAsia" w:ascii="宋体" w:hAnsi="宋体" w:eastAsia="宋体" w:cs="宋体"/>
          <w:b/>
          <w:bCs/>
          <w:spacing w:val="-20"/>
          <w:kern w:val="0"/>
          <w:sz w:val="24"/>
          <w:szCs w:val="24"/>
          <w:highlight w:val="none"/>
          <w:lang w:val="zh-CN"/>
        </w:rPr>
      </w:pPr>
    </w:p>
    <w:p w14:paraId="127F5845">
      <w:pPr>
        <w:jc w:val="center"/>
        <w:rPr>
          <w:rFonts w:hint="eastAsia" w:ascii="宋体" w:hAnsi="宋体" w:eastAsia="宋体" w:cs="宋体"/>
          <w:b/>
          <w:bCs/>
          <w:spacing w:val="-20"/>
          <w:kern w:val="0"/>
          <w:sz w:val="24"/>
          <w:szCs w:val="24"/>
          <w:highlight w:val="none"/>
          <w:lang w:val="zh-CN"/>
        </w:rPr>
      </w:pPr>
    </w:p>
    <w:p w14:paraId="3866249E">
      <w:pPr>
        <w:jc w:val="center"/>
        <w:rPr>
          <w:rFonts w:hint="eastAsia" w:ascii="宋体" w:hAnsi="宋体" w:eastAsia="宋体" w:cs="宋体"/>
          <w:b/>
          <w:bCs/>
          <w:spacing w:val="-20"/>
          <w:kern w:val="0"/>
          <w:sz w:val="24"/>
          <w:szCs w:val="24"/>
          <w:highlight w:val="none"/>
          <w:lang w:val="zh-CN"/>
        </w:rPr>
      </w:pPr>
    </w:p>
    <w:p w14:paraId="3244F4D1">
      <w:pPr>
        <w:jc w:val="center"/>
        <w:rPr>
          <w:rFonts w:hint="eastAsia" w:ascii="宋体" w:hAnsi="宋体" w:eastAsia="宋体" w:cs="宋体"/>
          <w:b/>
          <w:bCs/>
          <w:spacing w:val="-20"/>
          <w:kern w:val="0"/>
          <w:sz w:val="24"/>
          <w:szCs w:val="24"/>
          <w:highlight w:val="none"/>
          <w:lang w:val="zh-CN"/>
        </w:rPr>
      </w:pPr>
    </w:p>
    <w:p w14:paraId="3AB28524">
      <w:pPr>
        <w:jc w:val="center"/>
        <w:rPr>
          <w:rFonts w:hint="eastAsia" w:ascii="宋体" w:hAnsi="宋体" w:eastAsia="宋体" w:cs="宋体"/>
          <w:b/>
          <w:bCs/>
          <w:spacing w:val="-20"/>
          <w:kern w:val="0"/>
          <w:sz w:val="24"/>
          <w:szCs w:val="24"/>
          <w:highlight w:val="none"/>
          <w:lang w:val="zh-CN"/>
        </w:rPr>
      </w:pPr>
    </w:p>
    <w:p w14:paraId="476A9B02">
      <w:pPr>
        <w:jc w:val="center"/>
        <w:rPr>
          <w:rFonts w:hint="eastAsia" w:ascii="宋体" w:hAnsi="宋体" w:eastAsia="宋体" w:cs="宋体"/>
          <w:b/>
          <w:bCs/>
          <w:spacing w:val="-20"/>
          <w:kern w:val="0"/>
          <w:sz w:val="24"/>
          <w:szCs w:val="24"/>
          <w:highlight w:val="none"/>
          <w:lang w:val="zh-CN"/>
        </w:rPr>
      </w:pPr>
    </w:p>
    <w:p w14:paraId="26457C8A">
      <w:pPr>
        <w:spacing w:line="360" w:lineRule="auto"/>
        <w:rPr>
          <w:rFonts w:hint="eastAsia" w:ascii="宋体" w:hAnsi="宋体" w:eastAsia="宋体" w:cs="宋体"/>
          <w:b/>
          <w:bCs/>
          <w:spacing w:val="-20"/>
          <w:kern w:val="0"/>
          <w:sz w:val="28"/>
          <w:szCs w:val="28"/>
          <w:highlight w:val="none"/>
          <w:lang w:val="zh-CN"/>
        </w:rPr>
      </w:pPr>
    </w:p>
    <w:p w14:paraId="5FEC8C82">
      <w:pPr>
        <w:spacing w:line="360" w:lineRule="auto"/>
        <w:rPr>
          <w:rFonts w:hint="eastAsia" w:ascii="宋体" w:hAnsi="宋体" w:eastAsia="宋体" w:cs="宋体"/>
          <w:b/>
          <w:bCs/>
          <w:spacing w:val="-20"/>
          <w:kern w:val="0"/>
          <w:sz w:val="28"/>
          <w:szCs w:val="28"/>
          <w:highlight w:val="none"/>
          <w:lang w:val="zh-CN"/>
        </w:rPr>
      </w:pPr>
    </w:p>
    <w:p w14:paraId="140D7768">
      <w:pPr>
        <w:spacing w:line="360" w:lineRule="auto"/>
        <w:rPr>
          <w:rFonts w:hint="eastAsia" w:ascii="宋体" w:hAnsi="宋体" w:eastAsia="宋体" w:cs="宋体"/>
          <w:b/>
          <w:bCs/>
          <w:spacing w:val="-20"/>
          <w:kern w:val="0"/>
          <w:sz w:val="28"/>
          <w:szCs w:val="28"/>
          <w:highlight w:val="none"/>
          <w:lang w:val="zh-CN"/>
        </w:rPr>
      </w:pPr>
    </w:p>
    <w:p w14:paraId="66913C75">
      <w:pPr>
        <w:spacing w:line="360" w:lineRule="auto"/>
        <w:ind w:firstLine="843" w:firstLineChars="300"/>
        <w:jc w:val="left"/>
        <w:rPr>
          <w:rFonts w:hint="default" w:ascii="宋体" w:hAnsi="宋体" w:eastAsia="宋体" w:cs="宋体"/>
          <w:sz w:val="28"/>
          <w:szCs w:val="28"/>
          <w:highlight w:val="none"/>
          <w:lang w:val="en-US" w:eastAsia="zh-CN"/>
        </w:rPr>
      </w:pPr>
      <w:r>
        <w:rPr>
          <w:rFonts w:hint="eastAsia" w:ascii="宋体" w:hAnsi="宋体" w:eastAsia="宋体" w:cs="宋体"/>
          <w:b/>
          <w:sz w:val="28"/>
          <w:szCs w:val="28"/>
          <w:highlight w:val="none"/>
        </w:rPr>
        <w:t>项 目 编 号 ：</w:t>
      </w:r>
      <w:r>
        <w:rPr>
          <w:rFonts w:hint="eastAsia" w:ascii="宋体" w:hAnsi="宋体" w:cs="宋体"/>
          <w:b/>
          <w:bCs/>
          <w:spacing w:val="49"/>
          <w:kern w:val="0"/>
          <w:sz w:val="28"/>
          <w:szCs w:val="28"/>
          <w:highlight w:val="none"/>
          <w:lang w:eastAsia="zh-CN"/>
        </w:rPr>
        <w:t>GDZB-YXTP2024-001</w:t>
      </w:r>
    </w:p>
    <w:p w14:paraId="421DC9B4">
      <w:pPr>
        <w:spacing w:line="360" w:lineRule="auto"/>
        <w:ind w:firstLine="843" w:firstLineChars="3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采   购   人：</w:t>
      </w:r>
      <w:r>
        <w:rPr>
          <w:rFonts w:hint="eastAsia" w:ascii="宋体" w:hAnsi="宋体" w:cs="宋体"/>
          <w:b/>
          <w:bCs/>
          <w:sz w:val="28"/>
          <w:szCs w:val="28"/>
          <w:highlight w:val="none"/>
          <w:lang w:eastAsia="zh-CN"/>
        </w:rPr>
        <w:t>华宁县人民医院</w:t>
      </w:r>
      <w:r>
        <w:rPr>
          <w:rFonts w:hint="eastAsia" w:ascii="宋体" w:hAnsi="宋体" w:eastAsia="宋体" w:cs="宋体"/>
          <w:b/>
          <w:sz w:val="28"/>
          <w:szCs w:val="28"/>
          <w:highlight w:val="none"/>
        </w:rPr>
        <w:t>（盖章）</w:t>
      </w:r>
    </w:p>
    <w:p w14:paraId="34BF826D">
      <w:pPr>
        <w:spacing w:line="360" w:lineRule="auto"/>
        <w:ind w:firstLine="843" w:firstLineChars="3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采购代理机构：</w:t>
      </w:r>
      <w:r>
        <w:rPr>
          <w:rFonts w:hint="eastAsia" w:ascii="宋体" w:hAnsi="宋体" w:cs="宋体"/>
          <w:b/>
          <w:sz w:val="28"/>
          <w:szCs w:val="28"/>
          <w:highlight w:val="none"/>
          <w:lang w:eastAsia="zh-CN"/>
        </w:rPr>
        <w:t>国鼎和诚项目管理集团有限公司</w:t>
      </w:r>
      <w:r>
        <w:rPr>
          <w:rFonts w:hint="eastAsia" w:ascii="宋体" w:hAnsi="宋体" w:eastAsia="宋体" w:cs="宋体"/>
          <w:b/>
          <w:sz w:val="28"/>
          <w:szCs w:val="28"/>
          <w:highlight w:val="none"/>
        </w:rPr>
        <w:t>（盖章）</w:t>
      </w:r>
    </w:p>
    <w:p w14:paraId="08760A77">
      <w:pPr>
        <w:spacing w:line="360" w:lineRule="auto"/>
        <w:ind w:firstLine="843" w:firstLineChars="300"/>
        <w:jc w:val="left"/>
        <w:rPr>
          <w:rFonts w:hint="eastAsia" w:ascii="宋体" w:hAnsi="宋体" w:eastAsia="宋体" w:cs="宋体"/>
          <w:sz w:val="28"/>
          <w:szCs w:val="28"/>
          <w:highlight w:val="none"/>
        </w:rPr>
      </w:pPr>
      <w:r>
        <w:rPr>
          <w:rFonts w:hint="eastAsia" w:ascii="宋体" w:hAnsi="宋体" w:eastAsia="宋体" w:cs="宋体"/>
          <w:b/>
          <w:sz w:val="28"/>
          <w:szCs w:val="28"/>
          <w:highlight w:val="none"/>
        </w:rPr>
        <w:t>日        期：</w:t>
      </w:r>
      <w:r>
        <w:rPr>
          <w:rFonts w:hint="eastAsia" w:ascii="宋体" w:hAnsi="宋体" w:eastAsia="宋体" w:cs="宋体"/>
          <w:b/>
          <w:bCs/>
          <w:sz w:val="28"/>
          <w:szCs w:val="28"/>
          <w:highlight w:val="none"/>
        </w:rPr>
        <w:t>202</w:t>
      </w:r>
      <w:r>
        <w:rPr>
          <w:rFonts w:hint="eastAsia" w:ascii="宋体" w:hAnsi="宋体" w:cs="宋体"/>
          <w:b/>
          <w:bCs/>
          <w:sz w:val="28"/>
          <w:szCs w:val="28"/>
          <w:highlight w:val="none"/>
          <w:lang w:val="en-US" w:eastAsia="zh-CN"/>
        </w:rPr>
        <w:t>4</w:t>
      </w:r>
      <w:r>
        <w:rPr>
          <w:rFonts w:hint="eastAsia" w:ascii="宋体" w:hAnsi="宋体" w:eastAsia="宋体" w:cs="宋体"/>
          <w:b/>
          <w:bCs/>
          <w:sz w:val="28"/>
          <w:szCs w:val="28"/>
          <w:highlight w:val="none"/>
        </w:rPr>
        <w:t>年</w:t>
      </w:r>
      <w:r>
        <w:rPr>
          <w:rFonts w:hint="eastAsia" w:ascii="宋体" w:hAnsi="宋体" w:cs="宋体"/>
          <w:b/>
          <w:bCs/>
          <w:sz w:val="28"/>
          <w:szCs w:val="28"/>
          <w:highlight w:val="none"/>
          <w:lang w:val="en-US" w:eastAsia="zh-CN"/>
        </w:rPr>
        <w:t>06</w:t>
      </w:r>
      <w:r>
        <w:rPr>
          <w:rFonts w:hint="eastAsia" w:ascii="宋体" w:hAnsi="宋体" w:eastAsia="宋体" w:cs="宋体"/>
          <w:b/>
          <w:bCs/>
          <w:sz w:val="28"/>
          <w:szCs w:val="28"/>
          <w:highlight w:val="none"/>
        </w:rPr>
        <w:t>月</w:t>
      </w:r>
    </w:p>
    <w:p w14:paraId="7E99A63A">
      <w:pPr>
        <w:spacing w:line="700" w:lineRule="exact"/>
        <w:jc w:val="center"/>
        <w:rPr>
          <w:rFonts w:hint="eastAsia" w:ascii="宋体" w:hAnsi="宋体" w:eastAsia="宋体" w:cs="宋体"/>
          <w:b/>
          <w:sz w:val="44"/>
          <w:szCs w:val="44"/>
          <w:highlight w:val="none"/>
        </w:rPr>
        <w:sectPr>
          <w:headerReference r:id="rId3" w:type="default"/>
          <w:footerReference r:id="rId4" w:type="default"/>
          <w:pgSz w:w="11905" w:h="16838"/>
          <w:pgMar w:top="1383" w:right="1366" w:bottom="1383" w:left="1366" w:header="907" w:footer="737" w:gutter="0"/>
          <w:pgBorders>
            <w:top w:val="none" w:sz="0" w:space="0"/>
            <w:left w:val="none" w:sz="0" w:space="0"/>
            <w:bottom w:val="single" w:color="auto" w:sz="4" w:space="1"/>
            <w:right w:val="none" w:sz="0" w:space="0"/>
          </w:pgBorders>
          <w:pgNumType w:start="1"/>
          <w:cols w:space="0" w:num="1"/>
          <w:rtlGutter w:val="0"/>
          <w:docGrid w:type="lines" w:linePitch="320" w:charSpace="0"/>
        </w:sectPr>
      </w:pPr>
    </w:p>
    <w:p w14:paraId="6018835F">
      <w:pPr>
        <w:spacing w:line="70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提 示</w:t>
      </w:r>
    </w:p>
    <w:p w14:paraId="20C4556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各供应商：</w:t>
      </w:r>
    </w:p>
    <w:p w14:paraId="39BF2EB4">
      <w:pPr>
        <w:tabs>
          <w:tab w:val="left" w:pos="2520"/>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为遵循</w:t>
      </w:r>
      <w:r>
        <w:rPr>
          <w:rFonts w:hint="eastAsia" w:ascii="宋体" w:hAnsi="宋体" w:cs="宋体"/>
          <w:sz w:val="24"/>
          <w:szCs w:val="24"/>
          <w:highlight w:val="none"/>
          <w:lang w:val="en-US" w:eastAsia="zh-CN"/>
        </w:rPr>
        <w:t>谈判采购</w:t>
      </w:r>
      <w:r>
        <w:rPr>
          <w:rFonts w:hint="eastAsia" w:ascii="宋体" w:hAnsi="宋体" w:eastAsia="宋体" w:cs="宋体"/>
          <w:sz w:val="24"/>
          <w:szCs w:val="24"/>
          <w:highlight w:val="none"/>
        </w:rPr>
        <w:t>的有关规定，在您递交响应文件时请按下列两部分的要求携带相关证件由工作人员登记：</w:t>
      </w:r>
    </w:p>
    <w:p w14:paraId="6FB18A3B">
      <w:pPr>
        <w:tabs>
          <w:tab w:val="left" w:pos="2520"/>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第一部分：供应商递交响应文件时需携带以下材料以证明其身份，否则采购人不予受理：</w:t>
      </w:r>
    </w:p>
    <w:p w14:paraId="11FD94C4">
      <w:pPr>
        <w:tabs>
          <w:tab w:val="left" w:pos="2520"/>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1、法定代表人身份证明书；</w:t>
      </w:r>
    </w:p>
    <w:p w14:paraId="255B9722">
      <w:pPr>
        <w:tabs>
          <w:tab w:val="left" w:pos="2520"/>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2、法定代表人居民身份证【若由法定代表人递交响应文件的】或法定代表人授权委托书及被授权人居民身份证【若由委托人递交响应文件的】；</w:t>
      </w:r>
    </w:p>
    <w:p w14:paraId="31B2A806">
      <w:pPr>
        <w:tabs>
          <w:tab w:val="left" w:pos="2520"/>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第二部分：</w:t>
      </w:r>
      <w:r>
        <w:rPr>
          <w:rFonts w:hint="eastAsia" w:ascii="宋体" w:hAnsi="宋体" w:eastAsia="宋体" w:cs="宋体"/>
          <w:sz w:val="24"/>
          <w:szCs w:val="24"/>
          <w:highlight w:val="none"/>
          <w:lang w:eastAsia="zh-CN"/>
        </w:rPr>
        <w:t>谈判采购</w:t>
      </w:r>
      <w:r>
        <w:rPr>
          <w:rFonts w:hint="eastAsia" w:ascii="宋体" w:hAnsi="宋体" w:eastAsia="宋体" w:cs="宋体"/>
          <w:sz w:val="24"/>
          <w:szCs w:val="24"/>
          <w:highlight w:val="none"/>
        </w:rPr>
        <w:t>文件中要求的其他证件，证件原件谈判小组审查结束后退还供应商。</w:t>
      </w:r>
    </w:p>
    <w:p w14:paraId="3F88FC73">
      <w:pPr>
        <w:tabs>
          <w:tab w:val="left" w:pos="2520"/>
        </w:tabs>
        <w:spacing w:line="360" w:lineRule="auto"/>
        <w:ind w:firstLine="600" w:firstLineChars="25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营业执照(原件或复印件加盖公章)</w:t>
      </w:r>
      <w:r>
        <w:rPr>
          <w:rFonts w:hint="eastAsia" w:ascii="宋体" w:hAnsi="宋体" w:eastAsia="宋体" w:cs="宋体"/>
          <w:sz w:val="24"/>
          <w:szCs w:val="24"/>
          <w:highlight w:val="none"/>
          <w:lang w:eastAsia="zh-CN"/>
        </w:rPr>
        <w:t>；</w:t>
      </w:r>
    </w:p>
    <w:p w14:paraId="21DFA8CD">
      <w:pPr>
        <w:tabs>
          <w:tab w:val="left" w:pos="2520"/>
        </w:tabs>
        <w:spacing w:line="360" w:lineRule="auto"/>
        <w:ind w:firstLine="600" w:firstLineChars="25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2、供应商认为需要提供的其他证明材料（原件或复印件）；</w:t>
      </w:r>
    </w:p>
    <w:p w14:paraId="36D6CCB6">
      <w:pPr>
        <w:tabs>
          <w:tab w:val="left" w:pos="2520"/>
        </w:tabs>
        <w:spacing w:line="460" w:lineRule="exact"/>
        <w:ind w:firstLine="525" w:firstLineChars="250"/>
        <w:jc w:val="left"/>
        <w:rPr>
          <w:rFonts w:hint="eastAsia" w:ascii="宋体" w:hAnsi="宋体" w:eastAsia="宋体" w:cs="宋体"/>
          <w:szCs w:val="21"/>
          <w:highlight w:val="none"/>
        </w:rPr>
      </w:pPr>
    </w:p>
    <w:p w14:paraId="39A1D93C">
      <w:pPr>
        <w:pStyle w:val="96"/>
        <w:rPr>
          <w:rFonts w:hint="eastAsia" w:ascii="宋体" w:hAnsi="宋体" w:eastAsia="宋体" w:cs="宋体"/>
          <w:highlight w:val="none"/>
          <w:lang w:val="zh-CN"/>
        </w:rPr>
        <w:sectPr>
          <w:footerReference r:id="rId5" w:type="default"/>
          <w:pgSz w:w="11905" w:h="16838"/>
          <w:pgMar w:top="1383" w:right="1366" w:bottom="1383" w:left="1366" w:header="907" w:footer="737" w:gutter="0"/>
          <w:pgBorders>
            <w:top w:val="none" w:sz="0" w:space="0"/>
            <w:left w:val="none" w:sz="0" w:space="0"/>
            <w:bottom w:val="single" w:color="auto" w:sz="4" w:space="1"/>
            <w:right w:val="none" w:sz="0" w:space="0"/>
          </w:pgBorders>
          <w:pgNumType w:fmt="decimal" w:start="1"/>
          <w:cols w:space="0" w:num="1"/>
          <w:rtlGutter w:val="0"/>
          <w:docGrid w:type="lines" w:linePitch="320" w:charSpace="0"/>
        </w:sectPr>
      </w:pPr>
    </w:p>
    <w:p w14:paraId="27FFDDD1">
      <w:pPr>
        <w:pStyle w:val="96"/>
        <w:rPr>
          <w:rFonts w:hint="eastAsia" w:ascii="宋体" w:hAnsi="宋体" w:eastAsia="宋体" w:cs="宋体"/>
          <w:highlight w:val="none"/>
        </w:rPr>
      </w:pPr>
      <w:bookmarkStart w:id="2" w:name="_Toc4368"/>
      <w:r>
        <w:rPr>
          <w:rFonts w:hint="eastAsia" w:ascii="宋体" w:hAnsi="宋体" w:eastAsia="宋体" w:cs="宋体"/>
          <w:highlight w:val="none"/>
          <w:lang w:val="zh-CN"/>
        </w:rPr>
        <w:t>目录</w:t>
      </w:r>
      <w:bookmarkEnd w:id="2"/>
    </w:p>
    <w:p w14:paraId="69F57DF3">
      <w:pPr>
        <w:pStyle w:val="34"/>
        <w:keepNext w:val="0"/>
        <w:keepLines w:val="0"/>
        <w:pageBreakBefore w:val="0"/>
        <w:widowControl w:val="0"/>
        <w:tabs>
          <w:tab w:val="right" w:leader="dot" w:pos="9746"/>
        </w:tabs>
        <w:kinsoku/>
        <w:wordWrap/>
        <w:overflowPunct/>
        <w:topLinePunct w:val="0"/>
        <w:autoSpaceDE/>
        <w:autoSpaceDN/>
        <w:bidi w:val="0"/>
        <w:adjustRightInd/>
        <w:snapToGrid/>
        <w:spacing w:line="480" w:lineRule="auto"/>
        <w:textAlignment w:val="auto"/>
        <w:rPr>
          <w:sz w:val="32"/>
          <w:szCs w:val="28"/>
          <w:highlight w:val="none"/>
        </w:rPr>
      </w:pPr>
      <w:r>
        <w:rPr>
          <w:rFonts w:hint="eastAsia" w:ascii="宋体" w:hAnsi="宋体" w:eastAsia="宋体" w:cs="宋体"/>
          <w:sz w:val="32"/>
          <w:szCs w:val="28"/>
          <w:highlight w:val="none"/>
        </w:rPr>
        <w:fldChar w:fldCharType="begin"/>
      </w:r>
      <w:r>
        <w:rPr>
          <w:rFonts w:hint="eastAsia" w:ascii="宋体" w:hAnsi="宋体" w:eastAsia="宋体" w:cs="宋体"/>
          <w:sz w:val="32"/>
          <w:szCs w:val="28"/>
          <w:highlight w:val="none"/>
        </w:rPr>
        <w:instrText xml:space="preserve"> TOC \o "1-2" \h \z \u </w:instrText>
      </w:r>
      <w:r>
        <w:rPr>
          <w:rFonts w:hint="eastAsia" w:ascii="宋体" w:hAnsi="宋体" w:eastAsia="宋体" w:cs="宋体"/>
          <w:sz w:val="32"/>
          <w:szCs w:val="28"/>
          <w:highlight w:val="none"/>
        </w:rPr>
        <w:fldChar w:fldCharType="separate"/>
      </w:r>
    </w:p>
    <w:p w14:paraId="4CE903B6">
      <w:pPr>
        <w:pStyle w:val="34"/>
        <w:keepNext w:val="0"/>
        <w:keepLines w:val="0"/>
        <w:pageBreakBefore w:val="0"/>
        <w:widowControl w:val="0"/>
        <w:tabs>
          <w:tab w:val="right" w:leader="dot" w:pos="9746"/>
        </w:tabs>
        <w:kinsoku/>
        <w:wordWrap/>
        <w:overflowPunct/>
        <w:topLinePunct w:val="0"/>
        <w:autoSpaceDE/>
        <w:autoSpaceDN/>
        <w:bidi w:val="0"/>
        <w:adjustRightInd/>
        <w:snapToGrid/>
        <w:spacing w:line="480" w:lineRule="auto"/>
        <w:textAlignment w:val="auto"/>
        <w:rPr>
          <w:sz w:val="32"/>
          <w:szCs w:val="28"/>
          <w:highlight w:val="none"/>
        </w:rPr>
      </w:pPr>
      <w:r>
        <w:rPr>
          <w:rFonts w:hint="eastAsia" w:ascii="宋体" w:hAnsi="宋体" w:eastAsia="宋体" w:cs="宋体"/>
          <w:sz w:val="32"/>
          <w:szCs w:val="28"/>
          <w:highlight w:val="none"/>
        </w:rPr>
        <w:fldChar w:fldCharType="begin"/>
      </w:r>
      <w:r>
        <w:rPr>
          <w:rFonts w:hint="eastAsia" w:ascii="宋体" w:hAnsi="宋体" w:eastAsia="宋体" w:cs="宋体"/>
          <w:sz w:val="32"/>
          <w:szCs w:val="28"/>
          <w:highlight w:val="none"/>
        </w:rPr>
        <w:instrText xml:space="preserve"> HYPERLINK \l _Toc9161 </w:instrText>
      </w:r>
      <w:r>
        <w:rPr>
          <w:rFonts w:hint="eastAsia" w:ascii="宋体" w:hAnsi="宋体" w:eastAsia="宋体" w:cs="宋体"/>
          <w:sz w:val="32"/>
          <w:szCs w:val="28"/>
          <w:highlight w:val="none"/>
        </w:rPr>
        <w:fldChar w:fldCharType="separate"/>
      </w:r>
      <w:r>
        <w:rPr>
          <w:rFonts w:hint="eastAsia" w:ascii="宋体" w:hAnsi="宋体" w:eastAsia="宋体" w:cs="宋体"/>
          <w:sz w:val="32"/>
          <w:szCs w:val="28"/>
          <w:highlight w:val="none"/>
        </w:rPr>
        <w:t xml:space="preserve">第一章 </w:t>
      </w:r>
      <w:r>
        <w:rPr>
          <w:rFonts w:hint="eastAsia" w:ascii="宋体" w:hAnsi="宋体" w:eastAsia="宋体" w:cs="宋体"/>
          <w:sz w:val="32"/>
          <w:szCs w:val="28"/>
          <w:highlight w:val="none"/>
          <w:lang w:eastAsia="zh-CN"/>
        </w:rPr>
        <w:t>谈判采购公告</w:t>
      </w:r>
      <w:r>
        <w:rPr>
          <w:sz w:val="32"/>
          <w:szCs w:val="28"/>
          <w:highlight w:val="none"/>
        </w:rPr>
        <w:tab/>
      </w:r>
      <w:r>
        <w:rPr>
          <w:sz w:val="32"/>
          <w:szCs w:val="28"/>
          <w:highlight w:val="none"/>
        </w:rPr>
        <w:fldChar w:fldCharType="begin"/>
      </w:r>
      <w:r>
        <w:rPr>
          <w:sz w:val="32"/>
          <w:szCs w:val="28"/>
          <w:highlight w:val="none"/>
        </w:rPr>
        <w:instrText xml:space="preserve"> PAGEREF _Toc9161 \h </w:instrText>
      </w:r>
      <w:r>
        <w:rPr>
          <w:sz w:val="32"/>
          <w:szCs w:val="28"/>
          <w:highlight w:val="none"/>
        </w:rPr>
        <w:fldChar w:fldCharType="separate"/>
      </w:r>
      <w:r>
        <w:rPr>
          <w:sz w:val="32"/>
          <w:szCs w:val="28"/>
          <w:highlight w:val="none"/>
        </w:rPr>
        <w:t>3</w:t>
      </w:r>
      <w:r>
        <w:rPr>
          <w:sz w:val="32"/>
          <w:szCs w:val="28"/>
          <w:highlight w:val="none"/>
        </w:rPr>
        <w:fldChar w:fldCharType="end"/>
      </w:r>
      <w:r>
        <w:rPr>
          <w:rFonts w:hint="eastAsia" w:ascii="宋体" w:hAnsi="宋体" w:eastAsia="宋体" w:cs="宋体"/>
          <w:sz w:val="32"/>
          <w:szCs w:val="28"/>
          <w:highlight w:val="none"/>
        </w:rPr>
        <w:fldChar w:fldCharType="end"/>
      </w:r>
    </w:p>
    <w:p w14:paraId="036E693F">
      <w:pPr>
        <w:pStyle w:val="34"/>
        <w:keepNext w:val="0"/>
        <w:keepLines w:val="0"/>
        <w:pageBreakBefore w:val="0"/>
        <w:widowControl w:val="0"/>
        <w:tabs>
          <w:tab w:val="right" w:leader="dot" w:pos="9746"/>
        </w:tabs>
        <w:kinsoku/>
        <w:wordWrap/>
        <w:overflowPunct/>
        <w:topLinePunct w:val="0"/>
        <w:autoSpaceDE/>
        <w:autoSpaceDN/>
        <w:bidi w:val="0"/>
        <w:adjustRightInd/>
        <w:snapToGrid/>
        <w:spacing w:line="480" w:lineRule="auto"/>
        <w:textAlignment w:val="auto"/>
        <w:rPr>
          <w:sz w:val="32"/>
          <w:szCs w:val="28"/>
          <w:highlight w:val="none"/>
        </w:rPr>
      </w:pPr>
      <w:r>
        <w:rPr>
          <w:rFonts w:hint="eastAsia" w:ascii="宋体" w:hAnsi="宋体" w:eastAsia="宋体" w:cs="宋体"/>
          <w:sz w:val="32"/>
          <w:szCs w:val="28"/>
          <w:highlight w:val="none"/>
        </w:rPr>
        <w:fldChar w:fldCharType="begin"/>
      </w:r>
      <w:r>
        <w:rPr>
          <w:rFonts w:hint="eastAsia" w:ascii="宋体" w:hAnsi="宋体" w:eastAsia="宋体" w:cs="宋体"/>
          <w:sz w:val="32"/>
          <w:szCs w:val="28"/>
          <w:highlight w:val="none"/>
        </w:rPr>
        <w:instrText xml:space="preserve"> HYPERLINK \l _Toc5806 </w:instrText>
      </w:r>
      <w:r>
        <w:rPr>
          <w:rFonts w:hint="eastAsia" w:ascii="宋体" w:hAnsi="宋体" w:eastAsia="宋体" w:cs="宋体"/>
          <w:sz w:val="32"/>
          <w:szCs w:val="28"/>
          <w:highlight w:val="none"/>
        </w:rPr>
        <w:fldChar w:fldCharType="separate"/>
      </w:r>
      <w:r>
        <w:rPr>
          <w:rFonts w:hint="eastAsia" w:ascii="宋体" w:hAnsi="宋体" w:eastAsia="宋体" w:cs="宋体"/>
          <w:sz w:val="32"/>
          <w:szCs w:val="28"/>
          <w:highlight w:val="none"/>
        </w:rPr>
        <w:t>第二章 供应商须知</w:t>
      </w:r>
      <w:r>
        <w:rPr>
          <w:sz w:val="32"/>
          <w:szCs w:val="28"/>
          <w:highlight w:val="none"/>
        </w:rPr>
        <w:tab/>
      </w:r>
      <w:r>
        <w:rPr>
          <w:sz w:val="32"/>
          <w:szCs w:val="28"/>
          <w:highlight w:val="none"/>
        </w:rPr>
        <w:fldChar w:fldCharType="begin"/>
      </w:r>
      <w:r>
        <w:rPr>
          <w:sz w:val="32"/>
          <w:szCs w:val="28"/>
          <w:highlight w:val="none"/>
        </w:rPr>
        <w:instrText xml:space="preserve"> PAGEREF _Toc5806 \h </w:instrText>
      </w:r>
      <w:r>
        <w:rPr>
          <w:sz w:val="32"/>
          <w:szCs w:val="28"/>
          <w:highlight w:val="none"/>
        </w:rPr>
        <w:fldChar w:fldCharType="separate"/>
      </w:r>
      <w:r>
        <w:rPr>
          <w:sz w:val="32"/>
          <w:szCs w:val="28"/>
          <w:highlight w:val="none"/>
        </w:rPr>
        <w:t>7</w:t>
      </w:r>
      <w:r>
        <w:rPr>
          <w:sz w:val="32"/>
          <w:szCs w:val="28"/>
          <w:highlight w:val="none"/>
        </w:rPr>
        <w:fldChar w:fldCharType="end"/>
      </w:r>
      <w:r>
        <w:rPr>
          <w:rFonts w:hint="eastAsia" w:ascii="宋体" w:hAnsi="宋体" w:eastAsia="宋体" w:cs="宋体"/>
          <w:sz w:val="32"/>
          <w:szCs w:val="28"/>
          <w:highlight w:val="none"/>
        </w:rPr>
        <w:fldChar w:fldCharType="end"/>
      </w:r>
    </w:p>
    <w:p w14:paraId="1D50FDD0">
      <w:pPr>
        <w:pStyle w:val="34"/>
        <w:keepNext w:val="0"/>
        <w:keepLines w:val="0"/>
        <w:pageBreakBefore w:val="0"/>
        <w:widowControl w:val="0"/>
        <w:tabs>
          <w:tab w:val="right" w:leader="dot" w:pos="9746"/>
        </w:tabs>
        <w:kinsoku/>
        <w:wordWrap/>
        <w:overflowPunct/>
        <w:topLinePunct w:val="0"/>
        <w:autoSpaceDE/>
        <w:autoSpaceDN/>
        <w:bidi w:val="0"/>
        <w:adjustRightInd/>
        <w:snapToGrid/>
        <w:spacing w:line="480" w:lineRule="auto"/>
        <w:textAlignment w:val="auto"/>
        <w:rPr>
          <w:sz w:val="32"/>
          <w:szCs w:val="28"/>
          <w:highlight w:val="none"/>
        </w:rPr>
      </w:pPr>
      <w:r>
        <w:rPr>
          <w:rFonts w:hint="eastAsia" w:ascii="宋体" w:hAnsi="宋体" w:eastAsia="宋体" w:cs="宋体"/>
          <w:sz w:val="32"/>
          <w:szCs w:val="28"/>
          <w:highlight w:val="none"/>
        </w:rPr>
        <w:fldChar w:fldCharType="begin"/>
      </w:r>
      <w:r>
        <w:rPr>
          <w:rFonts w:hint="eastAsia" w:ascii="宋体" w:hAnsi="宋体" w:eastAsia="宋体" w:cs="宋体"/>
          <w:sz w:val="32"/>
          <w:szCs w:val="28"/>
          <w:highlight w:val="none"/>
        </w:rPr>
        <w:instrText xml:space="preserve"> HYPERLINK \l _Toc32686 </w:instrText>
      </w:r>
      <w:r>
        <w:rPr>
          <w:rFonts w:hint="eastAsia" w:ascii="宋体" w:hAnsi="宋体" w:eastAsia="宋体" w:cs="宋体"/>
          <w:sz w:val="32"/>
          <w:szCs w:val="28"/>
          <w:highlight w:val="none"/>
        </w:rPr>
        <w:fldChar w:fldCharType="separate"/>
      </w:r>
      <w:r>
        <w:rPr>
          <w:rFonts w:hint="eastAsia" w:ascii="宋体" w:hAnsi="宋体" w:eastAsia="宋体" w:cs="宋体"/>
          <w:sz w:val="32"/>
          <w:szCs w:val="28"/>
          <w:highlight w:val="none"/>
        </w:rPr>
        <w:t xml:space="preserve">第三章 </w:t>
      </w:r>
      <w:r>
        <w:rPr>
          <w:rFonts w:hint="eastAsia" w:ascii="宋体" w:hAnsi="宋体" w:cs="宋体"/>
          <w:sz w:val="32"/>
          <w:szCs w:val="28"/>
          <w:highlight w:val="none"/>
          <w:lang w:eastAsia="zh-CN"/>
        </w:rPr>
        <w:t>评审</w:t>
      </w:r>
      <w:r>
        <w:rPr>
          <w:rFonts w:hint="eastAsia" w:ascii="宋体" w:hAnsi="宋体" w:eastAsia="宋体" w:cs="宋体"/>
          <w:sz w:val="32"/>
          <w:szCs w:val="28"/>
          <w:highlight w:val="none"/>
        </w:rPr>
        <w:t>办法</w:t>
      </w:r>
      <w:r>
        <w:rPr>
          <w:sz w:val="32"/>
          <w:szCs w:val="28"/>
          <w:highlight w:val="none"/>
        </w:rPr>
        <w:tab/>
      </w:r>
      <w:r>
        <w:rPr>
          <w:sz w:val="32"/>
          <w:szCs w:val="28"/>
          <w:highlight w:val="none"/>
        </w:rPr>
        <w:fldChar w:fldCharType="begin"/>
      </w:r>
      <w:r>
        <w:rPr>
          <w:sz w:val="32"/>
          <w:szCs w:val="28"/>
          <w:highlight w:val="none"/>
        </w:rPr>
        <w:instrText xml:space="preserve"> PAGEREF _Toc32686 \h </w:instrText>
      </w:r>
      <w:r>
        <w:rPr>
          <w:sz w:val="32"/>
          <w:szCs w:val="28"/>
          <w:highlight w:val="none"/>
        </w:rPr>
        <w:fldChar w:fldCharType="separate"/>
      </w:r>
      <w:r>
        <w:rPr>
          <w:sz w:val="32"/>
          <w:szCs w:val="28"/>
          <w:highlight w:val="none"/>
        </w:rPr>
        <w:t>21</w:t>
      </w:r>
      <w:r>
        <w:rPr>
          <w:sz w:val="32"/>
          <w:szCs w:val="28"/>
          <w:highlight w:val="none"/>
        </w:rPr>
        <w:fldChar w:fldCharType="end"/>
      </w:r>
      <w:r>
        <w:rPr>
          <w:rFonts w:hint="eastAsia" w:ascii="宋体" w:hAnsi="宋体" w:eastAsia="宋体" w:cs="宋体"/>
          <w:sz w:val="32"/>
          <w:szCs w:val="28"/>
          <w:highlight w:val="none"/>
        </w:rPr>
        <w:fldChar w:fldCharType="end"/>
      </w:r>
    </w:p>
    <w:p w14:paraId="7B964A00">
      <w:pPr>
        <w:pStyle w:val="34"/>
        <w:keepNext w:val="0"/>
        <w:keepLines w:val="0"/>
        <w:pageBreakBefore w:val="0"/>
        <w:widowControl w:val="0"/>
        <w:tabs>
          <w:tab w:val="right" w:leader="dot" w:pos="9746"/>
        </w:tabs>
        <w:kinsoku/>
        <w:wordWrap/>
        <w:overflowPunct/>
        <w:topLinePunct w:val="0"/>
        <w:autoSpaceDE/>
        <w:autoSpaceDN/>
        <w:bidi w:val="0"/>
        <w:adjustRightInd/>
        <w:snapToGrid/>
        <w:spacing w:line="480" w:lineRule="auto"/>
        <w:textAlignment w:val="auto"/>
        <w:rPr>
          <w:sz w:val="32"/>
          <w:szCs w:val="28"/>
          <w:highlight w:val="none"/>
        </w:rPr>
      </w:pPr>
      <w:r>
        <w:rPr>
          <w:rFonts w:hint="eastAsia" w:ascii="宋体" w:hAnsi="宋体" w:eastAsia="宋体" w:cs="宋体"/>
          <w:sz w:val="32"/>
          <w:szCs w:val="28"/>
          <w:highlight w:val="none"/>
        </w:rPr>
        <w:fldChar w:fldCharType="begin"/>
      </w:r>
      <w:r>
        <w:rPr>
          <w:rFonts w:hint="eastAsia" w:ascii="宋体" w:hAnsi="宋体" w:eastAsia="宋体" w:cs="宋体"/>
          <w:sz w:val="32"/>
          <w:szCs w:val="28"/>
          <w:highlight w:val="none"/>
        </w:rPr>
        <w:instrText xml:space="preserve"> HYPERLINK \l _Toc12121 </w:instrText>
      </w:r>
      <w:r>
        <w:rPr>
          <w:rFonts w:hint="eastAsia" w:ascii="宋体" w:hAnsi="宋体" w:eastAsia="宋体" w:cs="宋体"/>
          <w:sz w:val="32"/>
          <w:szCs w:val="28"/>
          <w:highlight w:val="none"/>
        </w:rPr>
        <w:fldChar w:fldCharType="separate"/>
      </w:r>
      <w:r>
        <w:rPr>
          <w:rFonts w:hint="eastAsia" w:ascii="宋体" w:hAnsi="宋体" w:eastAsia="宋体" w:cs="宋体"/>
          <w:sz w:val="32"/>
          <w:szCs w:val="28"/>
          <w:highlight w:val="none"/>
        </w:rPr>
        <w:t>第四章 合同条款及格式</w:t>
      </w:r>
      <w:r>
        <w:rPr>
          <w:sz w:val="32"/>
          <w:szCs w:val="28"/>
          <w:highlight w:val="none"/>
        </w:rPr>
        <w:tab/>
      </w:r>
      <w:r>
        <w:rPr>
          <w:sz w:val="32"/>
          <w:szCs w:val="28"/>
          <w:highlight w:val="none"/>
        </w:rPr>
        <w:fldChar w:fldCharType="begin"/>
      </w:r>
      <w:r>
        <w:rPr>
          <w:sz w:val="32"/>
          <w:szCs w:val="28"/>
          <w:highlight w:val="none"/>
        </w:rPr>
        <w:instrText xml:space="preserve"> PAGEREF _Toc12121 \h </w:instrText>
      </w:r>
      <w:r>
        <w:rPr>
          <w:sz w:val="32"/>
          <w:szCs w:val="28"/>
          <w:highlight w:val="none"/>
        </w:rPr>
        <w:fldChar w:fldCharType="separate"/>
      </w:r>
      <w:r>
        <w:rPr>
          <w:sz w:val="32"/>
          <w:szCs w:val="28"/>
          <w:highlight w:val="none"/>
        </w:rPr>
        <w:t>32</w:t>
      </w:r>
      <w:r>
        <w:rPr>
          <w:sz w:val="32"/>
          <w:szCs w:val="28"/>
          <w:highlight w:val="none"/>
        </w:rPr>
        <w:fldChar w:fldCharType="end"/>
      </w:r>
      <w:r>
        <w:rPr>
          <w:rFonts w:hint="eastAsia" w:ascii="宋体" w:hAnsi="宋体" w:eastAsia="宋体" w:cs="宋体"/>
          <w:sz w:val="32"/>
          <w:szCs w:val="28"/>
          <w:highlight w:val="none"/>
        </w:rPr>
        <w:fldChar w:fldCharType="end"/>
      </w:r>
    </w:p>
    <w:p w14:paraId="4D1646BE">
      <w:pPr>
        <w:pStyle w:val="34"/>
        <w:keepNext w:val="0"/>
        <w:keepLines w:val="0"/>
        <w:pageBreakBefore w:val="0"/>
        <w:widowControl w:val="0"/>
        <w:tabs>
          <w:tab w:val="right" w:leader="dot" w:pos="9746"/>
        </w:tabs>
        <w:kinsoku/>
        <w:wordWrap/>
        <w:overflowPunct/>
        <w:topLinePunct w:val="0"/>
        <w:autoSpaceDE/>
        <w:autoSpaceDN/>
        <w:bidi w:val="0"/>
        <w:adjustRightInd/>
        <w:snapToGrid/>
        <w:spacing w:line="480" w:lineRule="auto"/>
        <w:textAlignment w:val="auto"/>
        <w:rPr>
          <w:sz w:val="32"/>
          <w:szCs w:val="28"/>
          <w:highlight w:val="none"/>
        </w:rPr>
      </w:pPr>
      <w:r>
        <w:rPr>
          <w:rFonts w:hint="eastAsia" w:ascii="宋体" w:hAnsi="宋体" w:eastAsia="宋体" w:cs="宋体"/>
          <w:sz w:val="32"/>
          <w:szCs w:val="28"/>
          <w:highlight w:val="none"/>
        </w:rPr>
        <w:fldChar w:fldCharType="begin"/>
      </w:r>
      <w:r>
        <w:rPr>
          <w:rFonts w:hint="eastAsia" w:ascii="宋体" w:hAnsi="宋体" w:eastAsia="宋体" w:cs="宋体"/>
          <w:sz w:val="32"/>
          <w:szCs w:val="28"/>
          <w:highlight w:val="none"/>
        </w:rPr>
        <w:instrText xml:space="preserve"> HYPERLINK \l _Toc4829 </w:instrText>
      </w:r>
      <w:r>
        <w:rPr>
          <w:rFonts w:hint="eastAsia" w:ascii="宋体" w:hAnsi="宋体" w:eastAsia="宋体" w:cs="宋体"/>
          <w:sz w:val="32"/>
          <w:szCs w:val="28"/>
          <w:highlight w:val="none"/>
        </w:rPr>
        <w:fldChar w:fldCharType="separate"/>
      </w:r>
      <w:r>
        <w:rPr>
          <w:rFonts w:hint="eastAsia" w:ascii="宋体" w:hAnsi="宋体" w:eastAsia="宋体" w:cs="宋体"/>
          <w:sz w:val="32"/>
          <w:szCs w:val="28"/>
          <w:highlight w:val="none"/>
        </w:rPr>
        <w:t>第五章</w:t>
      </w:r>
      <w:r>
        <w:rPr>
          <w:rFonts w:hint="eastAsia" w:ascii="宋体" w:hAnsi="宋体" w:eastAsia="宋体" w:cs="宋体"/>
          <w:sz w:val="32"/>
          <w:szCs w:val="28"/>
          <w:highlight w:val="none"/>
          <w:lang w:val="en-US" w:eastAsia="zh-CN"/>
        </w:rPr>
        <w:t xml:space="preserve"> </w:t>
      </w:r>
      <w:r>
        <w:rPr>
          <w:rFonts w:hint="eastAsia" w:ascii="宋体" w:hAnsi="宋体" w:eastAsia="宋体" w:cs="宋体"/>
          <w:sz w:val="32"/>
          <w:szCs w:val="28"/>
          <w:highlight w:val="none"/>
          <w:lang w:eastAsia="zh-CN"/>
        </w:rPr>
        <w:t>采购需求</w:t>
      </w:r>
      <w:r>
        <w:rPr>
          <w:sz w:val="32"/>
          <w:szCs w:val="28"/>
          <w:highlight w:val="none"/>
        </w:rPr>
        <w:tab/>
      </w:r>
      <w:r>
        <w:rPr>
          <w:sz w:val="32"/>
          <w:szCs w:val="28"/>
          <w:highlight w:val="none"/>
        </w:rPr>
        <w:fldChar w:fldCharType="begin"/>
      </w:r>
      <w:r>
        <w:rPr>
          <w:sz w:val="32"/>
          <w:szCs w:val="28"/>
          <w:highlight w:val="none"/>
        </w:rPr>
        <w:instrText xml:space="preserve"> PAGEREF _Toc4829 \h </w:instrText>
      </w:r>
      <w:r>
        <w:rPr>
          <w:sz w:val="32"/>
          <w:szCs w:val="28"/>
          <w:highlight w:val="none"/>
        </w:rPr>
        <w:fldChar w:fldCharType="separate"/>
      </w:r>
      <w:r>
        <w:rPr>
          <w:sz w:val="32"/>
          <w:szCs w:val="28"/>
          <w:highlight w:val="none"/>
        </w:rPr>
        <w:t>33</w:t>
      </w:r>
      <w:r>
        <w:rPr>
          <w:sz w:val="32"/>
          <w:szCs w:val="28"/>
          <w:highlight w:val="none"/>
        </w:rPr>
        <w:fldChar w:fldCharType="end"/>
      </w:r>
      <w:r>
        <w:rPr>
          <w:rFonts w:hint="eastAsia" w:ascii="宋体" w:hAnsi="宋体" w:eastAsia="宋体" w:cs="宋体"/>
          <w:sz w:val="32"/>
          <w:szCs w:val="28"/>
          <w:highlight w:val="none"/>
        </w:rPr>
        <w:fldChar w:fldCharType="end"/>
      </w:r>
    </w:p>
    <w:p w14:paraId="05219427">
      <w:pPr>
        <w:pStyle w:val="34"/>
        <w:keepNext w:val="0"/>
        <w:keepLines w:val="0"/>
        <w:pageBreakBefore w:val="0"/>
        <w:widowControl w:val="0"/>
        <w:tabs>
          <w:tab w:val="right" w:leader="dot" w:pos="9746"/>
        </w:tabs>
        <w:kinsoku/>
        <w:wordWrap/>
        <w:overflowPunct/>
        <w:topLinePunct w:val="0"/>
        <w:autoSpaceDE/>
        <w:autoSpaceDN/>
        <w:bidi w:val="0"/>
        <w:adjustRightInd/>
        <w:snapToGrid/>
        <w:spacing w:line="480" w:lineRule="auto"/>
        <w:textAlignment w:val="auto"/>
        <w:rPr>
          <w:sz w:val="32"/>
          <w:szCs w:val="28"/>
          <w:highlight w:val="none"/>
        </w:rPr>
      </w:pPr>
      <w:r>
        <w:rPr>
          <w:rFonts w:hint="eastAsia" w:ascii="宋体" w:hAnsi="宋体" w:eastAsia="宋体" w:cs="宋体"/>
          <w:sz w:val="32"/>
          <w:szCs w:val="28"/>
          <w:highlight w:val="none"/>
        </w:rPr>
        <w:fldChar w:fldCharType="begin"/>
      </w:r>
      <w:r>
        <w:rPr>
          <w:rFonts w:hint="eastAsia" w:ascii="宋体" w:hAnsi="宋体" w:eastAsia="宋体" w:cs="宋体"/>
          <w:sz w:val="32"/>
          <w:szCs w:val="28"/>
          <w:highlight w:val="none"/>
        </w:rPr>
        <w:instrText xml:space="preserve"> HYPERLINK \l _Toc1716 </w:instrText>
      </w:r>
      <w:r>
        <w:rPr>
          <w:rFonts w:hint="eastAsia" w:ascii="宋体" w:hAnsi="宋体" w:eastAsia="宋体" w:cs="宋体"/>
          <w:sz w:val="32"/>
          <w:szCs w:val="28"/>
          <w:highlight w:val="none"/>
        </w:rPr>
        <w:fldChar w:fldCharType="separate"/>
      </w:r>
      <w:r>
        <w:rPr>
          <w:rFonts w:hint="eastAsia" w:ascii="宋体" w:hAnsi="宋体" w:eastAsia="宋体" w:cs="宋体"/>
          <w:sz w:val="32"/>
          <w:szCs w:val="28"/>
          <w:highlight w:val="none"/>
        </w:rPr>
        <w:t>第六章 响应文件格式</w:t>
      </w:r>
      <w:r>
        <w:rPr>
          <w:sz w:val="32"/>
          <w:szCs w:val="28"/>
          <w:highlight w:val="none"/>
        </w:rPr>
        <w:tab/>
      </w:r>
      <w:r>
        <w:rPr>
          <w:sz w:val="32"/>
          <w:szCs w:val="28"/>
          <w:highlight w:val="none"/>
        </w:rPr>
        <w:fldChar w:fldCharType="begin"/>
      </w:r>
      <w:r>
        <w:rPr>
          <w:sz w:val="32"/>
          <w:szCs w:val="28"/>
          <w:highlight w:val="none"/>
        </w:rPr>
        <w:instrText xml:space="preserve"> PAGEREF _Toc1716 \h </w:instrText>
      </w:r>
      <w:r>
        <w:rPr>
          <w:sz w:val="32"/>
          <w:szCs w:val="28"/>
          <w:highlight w:val="none"/>
        </w:rPr>
        <w:fldChar w:fldCharType="separate"/>
      </w:r>
      <w:r>
        <w:rPr>
          <w:sz w:val="32"/>
          <w:szCs w:val="28"/>
          <w:highlight w:val="none"/>
        </w:rPr>
        <w:t>34</w:t>
      </w:r>
      <w:r>
        <w:rPr>
          <w:sz w:val="32"/>
          <w:szCs w:val="28"/>
          <w:highlight w:val="none"/>
        </w:rPr>
        <w:fldChar w:fldCharType="end"/>
      </w:r>
      <w:r>
        <w:rPr>
          <w:rFonts w:hint="eastAsia" w:ascii="宋体" w:hAnsi="宋体" w:eastAsia="宋体" w:cs="宋体"/>
          <w:sz w:val="32"/>
          <w:szCs w:val="28"/>
          <w:highlight w:val="none"/>
        </w:rPr>
        <w:fldChar w:fldCharType="end"/>
      </w:r>
    </w:p>
    <w:p w14:paraId="24FCBD23">
      <w:pPr>
        <w:pStyle w:val="42"/>
        <w:keepNext w:val="0"/>
        <w:keepLines w:val="0"/>
        <w:pageBreakBefore w:val="0"/>
        <w:widowControl w:val="0"/>
        <w:tabs>
          <w:tab w:val="right" w:leader="dot" w:pos="9736"/>
        </w:tabs>
        <w:kinsoku/>
        <w:wordWrap/>
        <w:overflowPunct/>
        <w:topLinePunct w:val="0"/>
        <w:autoSpaceDE/>
        <w:autoSpaceDN/>
        <w:bidi w:val="0"/>
        <w:adjustRightInd/>
        <w:snapToGrid/>
        <w:spacing w:line="480" w:lineRule="auto"/>
        <w:ind w:firstLine="210"/>
        <w:textAlignment w:val="auto"/>
        <w:rPr>
          <w:rFonts w:hint="eastAsia" w:ascii="宋体" w:hAnsi="宋体" w:eastAsia="宋体" w:cs="宋体"/>
          <w:sz w:val="28"/>
          <w:szCs w:val="28"/>
          <w:highlight w:val="none"/>
        </w:rPr>
      </w:pPr>
      <w:r>
        <w:rPr>
          <w:rFonts w:hint="eastAsia" w:ascii="宋体" w:hAnsi="宋体" w:eastAsia="宋体" w:cs="宋体"/>
          <w:sz w:val="32"/>
          <w:szCs w:val="28"/>
          <w:highlight w:val="none"/>
        </w:rPr>
        <w:fldChar w:fldCharType="end"/>
      </w:r>
    </w:p>
    <w:p w14:paraId="3F109D26">
      <w:pPr>
        <w:rPr>
          <w:rFonts w:hint="eastAsia" w:ascii="宋体" w:hAnsi="宋体" w:eastAsia="宋体" w:cs="宋体"/>
          <w:sz w:val="20"/>
          <w:highlight w:val="none"/>
        </w:rPr>
        <w:sectPr>
          <w:footerReference r:id="rId6" w:type="default"/>
          <w:pgSz w:w="11905" w:h="16838"/>
          <w:pgMar w:top="1383" w:right="1366" w:bottom="1383" w:left="1366" w:header="907" w:footer="737" w:gutter="0"/>
          <w:pgBorders>
            <w:top w:val="none" w:sz="0" w:space="0"/>
            <w:left w:val="none" w:sz="0" w:space="0"/>
            <w:bottom w:val="single" w:color="auto" w:sz="4" w:space="1"/>
            <w:right w:val="none" w:sz="0" w:space="0"/>
          </w:pgBorders>
          <w:pgNumType w:fmt="decimal"/>
          <w:cols w:space="0" w:num="1"/>
          <w:rtlGutter w:val="0"/>
          <w:docGrid w:type="lines" w:linePitch="320" w:charSpace="0"/>
        </w:sectPr>
      </w:pPr>
    </w:p>
    <w:p w14:paraId="35B3A105">
      <w:pPr>
        <w:pStyle w:val="2"/>
        <w:rPr>
          <w:rFonts w:hint="eastAsia" w:ascii="宋体" w:hAnsi="宋体" w:eastAsia="宋体" w:cs="宋体"/>
          <w:highlight w:val="none"/>
          <w:lang w:eastAsia="zh-CN"/>
        </w:rPr>
      </w:pPr>
      <w:bookmarkStart w:id="3" w:name="_Toc440665804"/>
      <w:bookmarkStart w:id="4" w:name="_Toc9161"/>
      <w:r>
        <w:rPr>
          <w:rFonts w:hint="eastAsia" w:ascii="宋体" w:hAnsi="宋体" w:eastAsia="宋体" w:cs="宋体"/>
          <w:highlight w:val="none"/>
        </w:rPr>
        <w:t>第一章</w:t>
      </w:r>
      <w:bookmarkEnd w:id="3"/>
      <w:r>
        <w:rPr>
          <w:rFonts w:hint="eastAsia" w:ascii="宋体" w:hAnsi="宋体" w:eastAsia="宋体" w:cs="宋体"/>
          <w:highlight w:val="none"/>
        </w:rPr>
        <w:t xml:space="preserve"> </w:t>
      </w:r>
      <w:r>
        <w:rPr>
          <w:rFonts w:hint="eastAsia" w:ascii="宋体" w:hAnsi="宋体" w:eastAsia="宋体" w:cs="宋体"/>
          <w:highlight w:val="none"/>
          <w:lang w:eastAsia="zh-CN"/>
        </w:rPr>
        <w:t>谈判采购公告</w:t>
      </w:r>
      <w:bookmarkEnd w:id="4"/>
    </w:p>
    <w:p w14:paraId="100D46E8">
      <w:pPr>
        <w:jc w:val="center"/>
        <w:rPr>
          <w:rFonts w:hint="eastAsia" w:ascii="宋体" w:hAnsi="宋体" w:cs="宋体"/>
          <w:bCs/>
          <w:color w:val="auto"/>
          <w:sz w:val="38"/>
          <w:szCs w:val="38"/>
          <w:highlight w:val="none"/>
          <w:lang w:eastAsia="zh-CN"/>
        </w:rPr>
      </w:pPr>
      <w:bookmarkStart w:id="5" w:name="_Toc439975708"/>
      <w:bookmarkStart w:id="6" w:name="_Toc440665813"/>
      <w:r>
        <w:rPr>
          <w:rFonts w:hint="eastAsia" w:ascii="宋体" w:hAnsi="宋体" w:cs="宋体"/>
          <w:bCs/>
          <w:color w:val="auto"/>
          <w:sz w:val="38"/>
          <w:szCs w:val="38"/>
          <w:highlight w:val="none"/>
          <w:lang w:eastAsia="zh-CN"/>
        </w:rPr>
        <w:t>华宁县人民医院检验外送服务采购项目</w:t>
      </w:r>
    </w:p>
    <w:p w14:paraId="782172BB">
      <w:pPr>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lang w:eastAsia="zh-CN"/>
        </w:rPr>
        <w:t>谈判采购</w:t>
      </w:r>
      <w:r>
        <w:rPr>
          <w:rFonts w:hint="eastAsia" w:ascii="宋体" w:hAnsi="宋体" w:eastAsia="宋体" w:cs="宋体"/>
          <w:bCs/>
          <w:color w:val="auto"/>
          <w:sz w:val="36"/>
          <w:szCs w:val="36"/>
          <w:highlight w:val="none"/>
          <w:lang w:eastAsia="zh-CN"/>
        </w:rPr>
        <w:t>公告</w:t>
      </w:r>
    </w:p>
    <w:p w14:paraId="6077AD79">
      <w:pPr>
        <w:spacing w:line="360" w:lineRule="auto"/>
        <w:ind w:firstLine="480" w:firstLineChars="20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编号：</w:t>
      </w:r>
      <w:r>
        <w:rPr>
          <w:rFonts w:hint="eastAsia" w:ascii="宋体" w:hAnsi="宋体" w:cs="宋体"/>
          <w:bCs/>
          <w:color w:val="auto"/>
          <w:sz w:val="24"/>
          <w:szCs w:val="24"/>
          <w:highlight w:val="none"/>
          <w:lang w:eastAsia="zh-CN"/>
        </w:rPr>
        <w:t>GDZB-YXTP2024-001</w:t>
      </w:r>
    </w:p>
    <w:tbl>
      <w:tblPr>
        <w:tblStyle w:val="55"/>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0"/>
      </w:tblGrid>
      <w:tr w14:paraId="43D6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9430" w:type="dxa"/>
            <w:noWrap w:val="0"/>
            <w:vAlign w:val="top"/>
          </w:tcPr>
          <w:p w14:paraId="6CB7136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bookmarkStart w:id="7" w:name="_Toc35393629"/>
            <w:bookmarkStart w:id="8" w:name="_Toc35393798"/>
            <w:bookmarkStart w:id="9" w:name="_Toc28359012"/>
            <w:bookmarkStart w:id="10" w:name="_Toc28359089"/>
            <w:r>
              <w:rPr>
                <w:rFonts w:hint="eastAsia" w:ascii="宋体" w:hAnsi="宋体" w:eastAsia="宋体" w:cs="宋体"/>
                <w:b/>
                <w:bCs/>
                <w:color w:val="auto"/>
                <w:sz w:val="24"/>
                <w:szCs w:val="24"/>
                <w:highlight w:val="none"/>
                <w:lang w:eastAsia="zh-CN"/>
              </w:rPr>
              <w:t xml:space="preserve">项目概况 </w:t>
            </w:r>
          </w:p>
          <w:p w14:paraId="4ABE6AC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vertAlign w:val="baseline"/>
                <w:lang w:val="en-US" w:eastAsia="zh-CN"/>
              </w:rPr>
            </w:pPr>
            <w:r>
              <w:rPr>
                <w:rFonts w:hint="eastAsia" w:ascii="宋体" w:hAnsi="宋体" w:cs="宋体"/>
                <w:i w:val="0"/>
                <w:iCs w:val="0"/>
                <w:color w:val="auto"/>
                <w:sz w:val="24"/>
                <w:szCs w:val="24"/>
                <w:highlight w:val="none"/>
                <w:lang w:eastAsia="zh-CN"/>
              </w:rPr>
              <w:t>华宁县人民医院检验外送服务采购项目</w:t>
            </w:r>
            <w:r>
              <w:rPr>
                <w:rFonts w:hint="eastAsia" w:ascii="宋体" w:hAnsi="宋体" w:eastAsia="宋体" w:cs="宋体"/>
                <w:bCs/>
                <w:color w:val="auto"/>
                <w:sz w:val="24"/>
                <w:szCs w:val="24"/>
                <w:highlight w:val="none"/>
                <w:vertAlign w:val="baseline"/>
                <w:lang w:eastAsia="zh-CN"/>
              </w:rPr>
              <w:t>的潜在供应商应在云南省玉溪市政府采购限额标准以下服务市场网（https://cg.zbj.com/）获取采购文件，并于202</w:t>
            </w:r>
            <w:r>
              <w:rPr>
                <w:rFonts w:hint="eastAsia" w:ascii="宋体" w:hAnsi="宋体" w:cs="宋体"/>
                <w:bCs/>
                <w:color w:val="auto"/>
                <w:sz w:val="24"/>
                <w:szCs w:val="24"/>
                <w:highlight w:val="none"/>
                <w:vertAlign w:val="baseline"/>
                <w:lang w:val="en-US" w:eastAsia="zh-CN"/>
              </w:rPr>
              <w:t>4</w:t>
            </w:r>
            <w:r>
              <w:rPr>
                <w:rFonts w:hint="eastAsia" w:ascii="宋体" w:hAnsi="宋体" w:eastAsia="宋体" w:cs="宋体"/>
                <w:bCs/>
                <w:color w:val="auto"/>
                <w:sz w:val="24"/>
                <w:szCs w:val="24"/>
                <w:highlight w:val="none"/>
                <w:vertAlign w:val="baseline"/>
                <w:lang w:eastAsia="zh-CN"/>
              </w:rPr>
              <w:t>年</w:t>
            </w:r>
            <w:r>
              <w:rPr>
                <w:rFonts w:hint="eastAsia" w:ascii="宋体" w:hAnsi="宋体" w:cs="宋体"/>
                <w:bCs/>
                <w:color w:val="auto"/>
                <w:sz w:val="24"/>
                <w:szCs w:val="24"/>
                <w:highlight w:val="none"/>
                <w:vertAlign w:val="baseline"/>
                <w:lang w:val="en-US" w:eastAsia="zh-CN"/>
              </w:rPr>
              <w:t>07</w:t>
            </w:r>
            <w:r>
              <w:rPr>
                <w:rFonts w:hint="eastAsia" w:ascii="宋体" w:hAnsi="宋体" w:eastAsia="宋体" w:cs="宋体"/>
                <w:bCs/>
                <w:color w:val="auto"/>
                <w:sz w:val="24"/>
                <w:szCs w:val="24"/>
                <w:highlight w:val="none"/>
                <w:vertAlign w:val="baseline"/>
                <w:lang w:eastAsia="zh-CN"/>
              </w:rPr>
              <w:t>月</w:t>
            </w:r>
            <w:r>
              <w:rPr>
                <w:rFonts w:hint="eastAsia" w:ascii="宋体" w:hAnsi="宋体" w:cs="宋体"/>
                <w:bCs/>
                <w:color w:val="auto"/>
                <w:sz w:val="24"/>
                <w:szCs w:val="24"/>
                <w:highlight w:val="none"/>
                <w:vertAlign w:val="baseline"/>
                <w:lang w:val="en-US" w:eastAsia="zh-CN"/>
              </w:rPr>
              <w:t>05</w:t>
            </w:r>
            <w:r>
              <w:rPr>
                <w:rFonts w:hint="eastAsia" w:ascii="宋体" w:hAnsi="宋体" w:eastAsia="宋体" w:cs="宋体"/>
                <w:bCs/>
                <w:color w:val="auto"/>
                <w:sz w:val="24"/>
                <w:szCs w:val="24"/>
                <w:highlight w:val="none"/>
                <w:vertAlign w:val="baseline"/>
                <w:lang w:eastAsia="zh-CN"/>
              </w:rPr>
              <w:t>日</w:t>
            </w:r>
            <w:r>
              <w:rPr>
                <w:rFonts w:hint="eastAsia" w:ascii="宋体" w:hAnsi="宋体" w:cs="宋体"/>
                <w:bCs/>
                <w:color w:val="auto"/>
                <w:sz w:val="24"/>
                <w:szCs w:val="24"/>
                <w:highlight w:val="none"/>
                <w:vertAlign w:val="baseline"/>
                <w:lang w:val="en-US" w:eastAsia="zh-CN"/>
              </w:rPr>
              <w:t>14</w:t>
            </w:r>
            <w:r>
              <w:rPr>
                <w:rFonts w:hint="eastAsia" w:ascii="宋体" w:hAnsi="宋体" w:eastAsia="宋体" w:cs="宋体"/>
                <w:bCs/>
                <w:color w:val="auto"/>
                <w:sz w:val="24"/>
                <w:szCs w:val="24"/>
                <w:highlight w:val="none"/>
                <w:vertAlign w:val="baseline"/>
                <w:lang w:eastAsia="zh-CN"/>
              </w:rPr>
              <w:t>点</w:t>
            </w:r>
            <w:r>
              <w:rPr>
                <w:rFonts w:hint="eastAsia" w:ascii="宋体" w:hAnsi="宋体" w:cs="宋体"/>
                <w:bCs/>
                <w:color w:val="auto"/>
                <w:sz w:val="24"/>
                <w:szCs w:val="24"/>
                <w:highlight w:val="none"/>
                <w:vertAlign w:val="baseline"/>
                <w:lang w:val="en-US" w:eastAsia="zh-CN"/>
              </w:rPr>
              <w:t>30</w:t>
            </w:r>
            <w:r>
              <w:rPr>
                <w:rFonts w:hint="eastAsia" w:ascii="宋体" w:hAnsi="宋体" w:eastAsia="宋体" w:cs="宋体"/>
                <w:bCs/>
                <w:color w:val="auto"/>
                <w:sz w:val="24"/>
                <w:szCs w:val="24"/>
                <w:highlight w:val="none"/>
                <w:vertAlign w:val="baseline"/>
                <w:lang w:eastAsia="zh-CN"/>
              </w:rPr>
              <w:t>分（北京时间）前在云南省玉溪市政府采购限额标准以下服务市场网（https://cg.zbj.com/）</w:t>
            </w:r>
            <w:r>
              <w:rPr>
                <w:rFonts w:hint="eastAsia" w:ascii="宋体" w:hAnsi="宋体" w:eastAsia="宋体" w:cs="宋体"/>
                <w:b/>
                <w:bCs w:val="0"/>
                <w:color w:val="auto"/>
                <w:sz w:val="24"/>
                <w:szCs w:val="24"/>
                <w:highlight w:val="none"/>
                <w:vertAlign w:val="baseline"/>
                <w:lang w:eastAsia="zh-CN"/>
              </w:rPr>
              <w:t>提交</w:t>
            </w:r>
            <w:r>
              <w:rPr>
                <w:rFonts w:hint="eastAsia" w:ascii="宋体" w:hAnsi="宋体" w:cs="宋体"/>
                <w:b/>
                <w:bCs w:val="0"/>
                <w:color w:val="auto"/>
                <w:sz w:val="24"/>
                <w:szCs w:val="24"/>
                <w:highlight w:val="none"/>
                <w:vertAlign w:val="baseline"/>
                <w:lang w:val="en-US" w:eastAsia="zh-CN"/>
              </w:rPr>
              <w:t>电子</w:t>
            </w:r>
            <w:r>
              <w:rPr>
                <w:rFonts w:hint="eastAsia" w:ascii="宋体" w:hAnsi="宋体" w:eastAsia="宋体" w:cs="宋体"/>
                <w:b/>
                <w:bCs w:val="0"/>
                <w:color w:val="auto"/>
                <w:sz w:val="24"/>
                <w:szCs w:val="24"/>
                <w:highlight w:val="none"/>
                <w:vertAlign w:val="baseline"/>
                <w:lang w:eastAsia="zh-CN"/>
              </w:rPr>
              <w:t>响应文件</w:t>
            </w:r>
            <w:r>
              <w:rPr>
                <w:rFonts w:hint="eastAsia" w:ascii="宋体" w:hAnsi="宋体" w:cs="宋体"/>
                <w:b/>
                <w:bCs w:val="0"/>
                <w:color w:val="auto"/>
                <w:sz w:val="24"/>
                <w:szCs w:val="24"/>
                <w:highlight w:val="none"/>
                <w:vertAlign w:val="baseline"/>
                <w:lang w:eastAsia="zh-CN"/>
              </w:rPr>
              <w:t>，</w:t>
            </w:r>
            <w:r>
              <w:rPr>
                <w:rFonts w:hint="eastAsia" w:ascii="宋体" w:hAnsi="宋体" w:eastAsia="宋体" w:cs="宋体"/>
                <w:b w:val="0"/>
                <w:bCs w:val="0"/>
                <w:i w:val="0"/>
                <w:iCs w:val="0"/>
                <w:sz w:val="24"/>
                <w:szCs w:val="24"/>
                <w:highlight w:val="none"/>
              </w:rPr>
              <w:t>202</w:t>
            </w:r>
            <w:r>
              <w:rPr>
                <w:rFonts w:hint="eastAsia" w:ascii="宋体" w:hAnsi="宋体" w:cs="宋体"/>
                <w:b w:val="0"/>
                <w:bCs w:val="0"/>
                <w:i w:val="0"/>
                <w:iCs w:val="0"/>
                <w:sz w:val="24"/>
                <w:szCs w:val="24"/>
                <w:highlight w:val="none"/>
                <w:lang w:val="en-US" w:eastAsia="zh-CN"/>
              </w:rPr>
              <w:t>4</w:t>
            </w:r>
            <w:r>
              <w:rPr>
                <w:rFonts w:hint="eastAsia" w:ascii="宋体" w:hAnsi="宋体" w:eastAsia="宋体" w:cs="宋体"/>
                <w:b w:val="0"/>
                <w:bCs w:val="0"/>
                <w:i w:val="0"/>
                <w:iCs w:val="0"/>
                <w:sz w:val="24"/>
                <w:szCs w:val="24"/>
                <w:highlight w:val="none"/>
              </w:rPr>
              <w:t>年</w:t>
            </w:r>
            <w:r>
              <w:rPr>
                <w:rFonts w:hint="eastAsia" w:ascii="宋体" w:hAnsi="宋体" w:cs="宋体"/>
                <w:b w:val="0"/>
                <w:bCs w:val="0"/>
                <w:i w:val="0"/>
                <w:iCs w:val="0"/>
                <w:sz w:val="24"/>
                <w:szCs w:val="24"/>
                <w:highlight w:val="none"/>
                <w:lang w:val="en-US" w:eastAsia="zh-CN"/>
              </w:rPr>
              <w:t>07</w:t>
            </w:r>
            <w:r>
              <w:rPr>
                <w:rFonts w:hint="eastAsia" w:ascii="宋体" w:hAnsi="宋体" w:eastAsia="宋体" w:cs="宋体"/>
                <w:b w:val="0"/>
                <w:bCs w:val="0"/>
                <w:i w:val="0"/>
                <w:iCs w:val="0"/>
                <w:sz w:val="24"/>
                <w:szCs w:val="24"/>
                <w:highlight w:val="none"/>
              </w:rPr>
              <w:t>月</w:t>
            </w:r>
            <w:r>
              <w:rPr>
                <w:rFonts w:hint="eastAsia" w:ascii="宋体" w:hAnsi="宋体" w:cs="宋体"/>
                <w:b w:val="0"/>
                <w:bCs w:val="0"/>
                <w:i w:val="0"/>
                <w:iCs w:val="0"/>
                <w:sz w:val="24"/>
                <w:szCs w:val="24"/>
                <w:highlight w:val="none"/>
                <w:lang w:val="en-US" w:eastAsia="zh-CN"/>
              </w:rPr>
              <w:t>05</w:t>
            </w:r>
            <w:r>
              <w:rPr>
                <w:rFonts w:hint="eastAsia" w:ascii="宋体" w:hAnsi="宋体" w:eastAsia="宋体" w:cs="宋体"/>
                <w:b w:val="0"/>
                <w:bCs w:val="0"/>
                <w:i w:val="0"/>
                <w:iCs w:val="0"/>
                <w:sz w:val="24"/>
                <w:szCs w:val="24"/>
                <w:highlight w:val="none"/>
                <w:lang w:val="en-US" w:eastAsia="zh-CN"/>
              </w:rPr>
              <w:t>日</w:t>
            </w:r>
            <w:r>
              <w:rPr>
                <w:rFonts w:hint="eastAsia" w:ascii="宋体" w:hAnsi="宋体" w:cs="宋体"/>
                <w:b w:val="0"/>
                <w:bCs w:val="0"/>
                <w:i w:val="0"/>
                <w:iCs w:val="0"/>
                <w:sz w:val="24"/>
                <w:szCs w:val="24"/>
                <w:highlight w:val="none"/>
                <w:lang w:val="en-US" w:eastAsia="zh-CN"/>
              </w:rPr>
              <w:t>15</w:t>
            </w:r>
            <w:r>
              <w:rPr>
                <w:rFonts w:hint="eastAsia" w:ascii="宋体" w:hAnsi="宋体" w:eastAsia="宋体" w:cs="宋体"/>
                <w:b w:val="0"/>
                <w:bCs w:val="0"/>
                <w:i w:val="0"/>
                <w:iCs w:val="0"/>
                <w:sz w:val="24"/>
                <w:szCs w:val="24"/>
                <w:highlight w:val="none"/>
              </w:rPr>
              <w:t>时</w:t>
            </w:r>
            <w:r>
              <w:rPr>
                <w:rFonts w:hint="eastAsia" w:ascii="宋体" w:hAnsi="宋体" w:cs="宋体"/>
                <w:b w:val="0"/>
                <w:bCs w:val="0"/>
                <w:i w:val="0"/>
                <w:iCs w:val="0"/>
                <w:sz w:val="24"/>
                <w:szCs w:val="24"/>
                <w:highlight w:val="none"/>
                <w:lang w:val="en-US" w:eastAsia="zh-CN"/>
              </w:rPr>
              <w:t>00</w:t>
            </w:r>
            <w:r>
              <w:rPr>
                <w:rFonts w:hint="eastAsia" w:ascii="宋体" w:hAnsi="宋体" w:eastAsia="宋体" w:cs="宋体"/>
                <w:b w:val="0"/>
                <w:bCs w:val="0"/>
                <w:i w:val="0"/>
                <w:iCs w:val="0"/>
                <w:sz w:val="24"/>
                <w:szCs w:val="24"/>
                <w:highlight w:val="none"/>
              </w:rPr>
              <w:t>分</w:t>
            </w:r>
            <w:r>
              <w:rPr>
                <w:rFonts w:hint="eastAsia" w:ascii="宋体" w:hAnsi="宋体" w:cs="宋体"/>
                <w:b w:val="0"/>
                <w:bCs w:val="0"/>
                <w:i w:val="0"/>
                <w:iCs w:val="0"/>
                <w:sz w:val="24"/>
                <w:szCs w:val="24"/>
                <w:highlight w:val="none"/>
                <w:lang w:val="en-US" w:eastAsia="zh-CN"/>
              </w:rPr>
              <w:t>在</w:t>
            </w:r>
            <w:r>
              <w:rPr>
                <w:rFonts w:hint="eastAsia" w:ascii="宋体" w:hAnsi="宋体" w:cs="宋体"/>
                <w:i w:val="0"/>
                <w:iCs w:val="0"/>
                <w:sz w:val="24"/>
                <w:szCs w:val="24"/>
                <w:highlight w:val="none"/>
                <w:lang w:eastAsia="zh-CN"/>
              </w:rPr>
              <w:t>国鼎和诚项目管理集团有限公司</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云南省玉溪市红塔区李棋街道兰溪路天竹阁</w:t>
            </w:r>
            <w:r>
              <w:rPr>
                <w:rFonts w:hint="eastAsia" w:ascii="宋体" w:hAnsi="宋体" w:eastAsia="宋体" w:cs="宋体"/>
                <w:i w:val="0"/>
                <w:iCs w:val="0"/>
                <w:sz w:val="24"/>
                <w:szCs w:val="24"/>
                <w:highlight w:val="none"/>
                <w:lang w:eastAsia="zh-CN"/>
              </w:rPr>
              <w:t>）</w:t>
            </w:r>
            <w:r>
              <w:rPr>
                <w:rFonts w:hint="eastAsia" w:ascii="宋体" w:hAnsi="宋体" w:eastAsia="宋体" w:cs="宋体"/>
                <w:b/>
                <w:bCs w:val="0"/>
                <w:color w:val="auto"/>
                <w:sz w:val="24"/>
                <w:szCs w:val="24"/>
                <w:highlight w:val="none"/>
                <w:vertAlign w:val="baseline"/>
                <w:lang w:eastAsia="zh-CN"/>
              </w:rPr>
              <w:t>提交</w:t>
            </w:r>
            <w:r>
              <w:rPr>
                <w:rFonts w:hint="eastAsia" w:ascii="宋体" w:hAnsi="宋体" w:eastAsia="宋体" w:cs="宋体"/>
                <w:b/>
                <w:bCs/>
                <w:i w:val="0"/>
                <w:iCs w:val="0"/>
                <w:sz w:val="24"/>
                <w:szCs w:val="24"/>
                <w:highlight w:val="none"/>
                <w:lang w:eastAsia="zh-CN"/>
              </w:rPr>
              <w:t>（</w:t>
            </w:r>
            <w:r>
              <w:rPr>
                <w:rFonts w:hint="eastAsia" w:ascii="宋体" w:hAnsi="宋体" w:eastAsia="宋体" w:cs="宋体"/>
                <w:b/>
                <w:bCs/>
                <w:i w:val="0"/>
                <w:iCs w:val="0"/>
                <w:sz w:val="24"/>
                <w:szCs w:val="24"/>
                <w:highlight w:val="none"/>
                <w:lang w:val="en-US" w:eastAsia="zh-CN"/>
              </w:rPr>
              <w:t>纸质）</w:t>
            </w:r>
            <w:r>
              <w:rPr>
                <w:rFonts w:hint="eastAsia" w:ascii="宋体" w:hAnsi="宋体" w:eastAsia="宋体" w:cs="宋体"/>
                <w:b/>
                <w:bCs w:val="0"/>
                <w:color w:val="auto"/>
                <w:sz w:val="24"/>
                <w:szCs w:val="24"/>
                <w:highlight w:val="none"/>
                <w:vertAlign w:val="baseline"/>
                <w:lang w:eastAsia="zh-CN"/>
              </w:rPr>
              <w:t>响应文件</w:t>
            </w:r>
            <w:r>
              <w:rPr>
                <w:rFonts w:hint="eastAsia" w:ascii="宋体" w:hAnsi="宋体" w:cs="宋体"/>
                <w:b/>
                <w:bCs w:val="0"/>
                <w:color w:val="auto"/>
                <w:sz w:val="24"/>
                <w:szCs w:val="24"/>
                <w:highlight w:val="none"/>
                <w:vertAlign w:val="baseline"/>
                <w:lang w:eastAsia="zh-CN"/>
              </w:rPr>
              <w:t>。</w:t>
            </w:r>
          </w:p>
        </w:tc>
      </w:tr>
    </w:tbl>
    <w:p w14:paraId="5938C2A4">
      <w:pPr>
        <w:pStyle w:val="3"/>
        <w:pageBreakBefore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bCs w:val="0"/>
          <w:i w:val="0"/>
          <w:iCs w:val="0"/>
          <w:color w:val="auto"/>
          <w:sz w:val="24"/>
          <w:szCs w:val="24"/>
          <w:highlight w:val="none"/>
        </w:rPr>
      </w:pPr>
      <w:bookmarkStart w:id="11" w:name="_Toc14415"/>
      <w:bookmarkStart w:id="12" w:name="_Toc3223"/>
      <w:bookmarkStart w:id="13" w:name="_Toc10403"/>
      <w:r>
        <w:rPr>
          <w:rFonts w:hint="eastAsia" w:ascii="宋体" w:hAnsi="宋体" w:eastAsia="宋体" w:cs="宋体"/>
          <w:b/>
          <w:bCs w:val="0"/>
          <w:i w:val="0"/>
          <w:iCs w:val="0"/>
          <w:color w:val="auto"/>
          <w:sz w:val="24"/>
          <w:szCs w:val="24"/>
          <w:highlight w:val="none"/>
        </w:rPr>
        <w:t>一、项目基本情况</w:t>
      </w:r>
      <w:bookmarkEnd w:id="7"/>
      <w:bookmarkEnd w:id="8"/>
      <w:bookmarkEnd w:id="9"/>
      <w:bookmarkEnd w:id="10"/>
      <w:bookmarkEnd w:id="11"/>
      <w:bookmarkEnd w:id="12"/>
      <w:bookmarkEnd w:id="13"/>
    </w:p>
    <w:p w14:paraId="079A6894">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eastAsia="zh-CN"/>
        </w:rPr>
        <w:t>GDZB-YXTP2024-001</w:t>
      </w:r>
    </w:p>
    <w:p w14:paraId="376A573C">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项目名称：</w:t>
      </w:r>
      <w:r>
        <w:rPr>
          <w:rFonts w:hint="eastAsia" w:ascii="宋体" w:hAnsi="宋体" w:cs="宋体"/>
          <w:i w:val="0"/>
          <w:iCs w:val="0"/>
          <w:color w:val="auto"/>
          <w:sz w:val="24"/>
          <w:szCs w:val="24"/>
          <w:highlight w:val="none"/>
          <w:lang w:eastAsia="zh-CN"/>
        </w:rPr>
        <w:t>华宁县人民医院检验外送服务采购项目</w:t>
      </w:r>
    </w:p>
    <w:p w14:paraId="1A27D757">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采购方式：谈判采购</w:t>
      </w:r>
    </w:p>
    <w:p w14:paraId="42E229D6">
      <w:pPr>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val="en-US" w:eastAsia="zh-CN"/>
        </w:rPr>
        <w:t>¥200000.00元/年，大写：人民币贰拾万元整/年</w:t>
      </w:r>
      <w:r>
        <w:rPr>
          <w:rFonts w:hint="eastAsia" w:ascii="宋体" w:hAnsi="宋体" w:eastAsia="宋体" w:cs="宋体"/>
          <w:i w:val="0"/>
          <w:iCs w:val="0"/>
          <w:color w:val="auto"/>
          <w:sz w:val="24"/>
          <w:szCs w:val="24"/>
          <w:highlight w:val="none"/>
        </w:rPr>
        <w:t>；</w:t>
      </w:r>
    </w:p>
    <w:p w14:paraId="10A934E4">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标段划分：</w:t>
      </w:r>
      <w:r>
        <w:rPr>
          <w:rFonts w:hint="eastAsia" w:ascii="宋体" w:hAnsi="宋体" w:cs="宋体"/>
          <w:color w:val="auto"/>
          <w:sz w:val="24"/>
          <w:szCs w:val="24"/>
          <w:highlight w:val="none"/>
          <w:lang w:val="en-US" w:eastAsia="zh-CN"/>
        </w:rPr>
        <w:t>本次项目不划分标段</w:t>
      </w:r>
      <w:r>
        <w:rPr>
          <w:rFonts w:hint="eastAsia" w:ascii="宋体" w:hAnsi="宋体" w:eastAsia="宋体" w:cs="宋体"/>
          <w:color w:val="auto"/>
          <w:sz w:val="24"/>
          <w:szCs w:val="24"/>
          <w:highlight w:val="none"/>
          <w:lang w:val="en-US" w:eastAsia="zh-CN"/>
        </w:rPr>
        <w:t>。</w:t>
      </w:r>
    </w:p>
    <w:p w14:paraId="3D0B430C">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采购内容</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为满足病人的医疗需求，方便病人在当地诊断治疗，提高临床诊断准确率，对华宁县人民医院未开展的检验项目，外送第三方检验机构检验，即确定一家符合资质的第三方检验机构合作。开展的检验检测项目多，涵盖普通常规检测、自身免疫性疾病检测、高血压筛查、库欣综合征、嗜铬细胞瘤筛查、用药基因筛查、肿瘤检测等其他检验检测。具体详见第五章“采购需求”。</w:t>
      </w:r>
    </w:p>
    <w:p w14:paraId="636B66D8">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r>
        <w:rPr>
          <w:rFonts w:hint="eastAsia" w:cs="方正仿宋_GBK" w:asciiTheme="majorEastAsia" w:hAnsiTheme="majorEastAsia" w:eastAsiaTheme="majorEastAsia"/>
          <w:sz w:val="24"/>
          <w:szCs w:val="24"/>
          <w:highlight w:val="none"/>
        </w:rPr>
        <w:t>符合国家和行业现行相关标准和规范，</w:t>
      </w:r>
      <w:r>
        <w:rPr>
          <w:rFonts w:hint="eastAsia" w:cs="方正仿宋_GBK" w:asciiTheme="majorEastAsia" w:hAnsiTheme="majorEastAsia" w:eastAsiaTheme="majorEastAsia"/>
          <w:sz w:val="24"/>
          <w:szCs w:val="24"/>
          <w:highlight w:val="none"/>
          <w:lang w:eastAsia="zh-CN"/>
        </w:rPr>
        <w:t>提交成果真实准确、清晰有据，合</w:t>
      </w:r>
      <w:r>
        <w:rPr>
          <w:rFonts w:hint="eastAsia" w:cs="方正仿宋_GBK" w:asciiTheme="majorEastAsia" w:hAnsiTheme="majorEastAsia" w:eastAsiaTheme="majorEastAsia"/>
          <w:sz w:val="24"/>
          <w:szCs w:val="24"/>
          <w:highlight w:val="none"/>
        </w:rPr>
        <w:t>同履行过程中不得出现违反国家法规及行业规范的行为。服务质量满足</w:t>
      </w:r>
      <w:r>
        <w:rPr>
          <w:rFonts w:hint="eastAsia" w:cs="方正仿宋_GBK" w:asciiTheme="majorEastAsia" w:hAnsiTheme="majorEastAsia" w:eastAsiaTheme="majorEastAsia"/>
          <w:sz w:val="24"/>
          <w:szCs w:val="24"/>
          <w:highlight w:val="none"/>
          <w:lang w:val="en-US" w:eastAsia="zh-CN"/>
        </w:rPr>
        <w:t>采购人</w:t>
      </w:r>
      <w:r>
        <w:rPr>
          <w:rFonts w:hint="eastAsia" w:cs="方正仿宋_GBK" w:asciiTheme="majorEastAsia" w:hAnsiTheme="majorEastAsia" w:eastAsiaTheme="majorEastAsia"/>
          <w:sz w:val="24"/>
          <w:szCs w:val="24"/>
          <w:highlight w:val="none"/>
        </w:rPr>
        <w:t>标准及要求。</w:t>
      </w:r>
    </w:p>
    <w:p w14:paraId="7FBC0DFA">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r>
        <w:rPr>
          <w:rFonts w:hint="eastAsia" w:ascii="宋体" w:hAnsi="宋体" w:cs="宋体"/>
          <w:color w:val="auto"/>
          <w:sz w:val="24"/>
          <w:szCs w:val="24"/>
          <w:highlight w:val="none"/>
          <w:lang w:val="en-US" w:eastAsia="zh-CN"/>
        </w:rPr>
        <w:t>自合同签订之日起一年</w:t>
      </w:r>
    </w:p>
    <w:p w14:paraId="6DFE6FC2">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i w:val="0"/>
          <w:iCs w:val="0"/>
          <w:color w:val="auto"/>
          <w:sz w:val="24"/>
          <w:szCs w:val="24"/>
          <w:highlight w:val="none"/>
          <w:lang w:val="en-US"/>
        </w:rPr>
      </w:pPr>
      <w:r>
        <w:rPr>
          <w:rFonts w:hint="eastAsia" w:ascii="宋体" w:hAnsi="宋体" w:cs="宋体"/>
          <w:color w:val="auto"/>
          <w:sz w:val="24"/>
          <w:szCs w:val="24"/>
          <w:highlight w:val="none"/>
          <w:lang w:val="en-US" w:eastAsia="zh-CN"/>
        </w:rPr>
        <w:t>服务地点：采购人指定地点。</w:t>
      </w:r>
    </w:p>
    <w:p w14:paraId="23FA8332">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w:t>
      </w:r>
      <w:r>
        <w:rPr>
          <w:rFonts w:hint="eastAsia" w:ascii="宋体" w:hAnsi="宋体" w:eastAsia="宋体" w:cs="宋体"/>
          <w:i w:val="0"/>
          <w:iCs w:val="0"/>
          <w:color w:val="auto"/>
          <w:sz w:val="24"/>
          <w:szCs w:val="24"/>
          <w:highlight w:val="none"/>
          <w:lang w:val="en-US" w:eastAsia="zh-CN"/>
        </w:rPr>
        <w:t>不</w:t>
      </w:r>
      <w:r>
        <w:rPr>
          <w:rFonts w:hint="eastAsia" w:ascii="宋体" w:hAnsi="宋体" w:eastAsia="宋体" w:cs="宋体"/>
          <w:i w:val="0"/>
          <w:iCs w:val="0"/>
          <w:color w:val="auto"/>
          <w:sz w:val="24"/>
          <w:szCs w:val="24"/>
          <w:highlight w:val="none"/>
        </w:rPr>
        <w:t>接受联合体</w:t>
      </w:r>
      <w:r>
        <w:rPr>
          <w:rFonts w:hint="eastAsia" w:ascii="宋体" w:hAnsi="宋体" w:eastAsia="宋体" w:cs="宋体"/>
          <w:i w:val="0"/>
          <w:iCs w:val="0"/>
          <w:color w:val="auto"/>
          <w:sz w:val="24"/>
          <w:szCs w:val="24"/>
          <w:highlight w:val="none"/>
          <w:lang w:val="en-US" w:eastAsia="zh-CN"/>
        </w:rPr>
        <w:t>参与</w:t>
      </w:r>
      <w:r>
        <w:rPr>
          <w:rFonts w:hint="eastAsia" w:ascii="宋体" w:hAnsi="宋体" w:cs="宋体"/>
          <w:i w:val="0"/>
          <w:iCs w:val="0"/>
          <w:color w:val="auto"/>
          <w:sz w:val="24"/>
          <w:szCs w:val="24"/>
          <w:highlight w:val="none"/>
          <w:lang w:val="en-US" w:eastAsia="zh-CN"/>
        </w:rPr>
        <w:t>谈判</w:t>
      </w:r>
      <w:r>
        <w:rPr>
          <w:rFonts w:hint="eastAsia" w:ascii="宋体" w:hAnsi="宋体" w:eastAsia="宋体" w:cs="宋体"/>
          <w:i w:val="0"/>
          <w:iCs w:val="0"/>
          <w:color w:val="auto"/>
          <w:sz w:val="24"/>
          <w:szCs w:val="24"/>
          <w:highlight w:val="none"/>
        </w:rPr>
        <w:t>。</w:t>
      </w:r>
    </w:p>
    <w:p w14:paraId="1F2913CC">
      <w:pPr>
        <w:pStyle w:val="3"/>
        <w:pageBreakBefore w:val="0"/>
        <w:kinsoku/>
        <w:wordWrap/>
        <w:overflowPunct/>
        <w:topLinePunct w:val="0"/>
        <w:autoSpaceDE/>
        <w:autoSpaceDN/>
        <w:bidi w:val="0"/>
        <w:adjustRightInd/>
        <w:snapToGrid/>
        <w:spacing w:before="0" w:after="0" w:line="440" w:lineRule="exact"/>
        <w:ind w:firstLine="482" w:firstLineChars="200"/>
        <w:textAlignment w:val="auto"/>
        <w:rPr>
          <w:rFonts w:hint="eastAsia" w:ascii="宋体" w:hAnsi="宋体" w:eastAsia="宋体" w:cs="宋体"/>
          <w:b/>
          <w:bCs w:val="0"/>
          <w:i w:val="0"/>
          <w:iCs w:val="0"/>
          <w:color w:val="auto"/>
          <w:sz w:val="24"/>
          <w:szCs w:val="24"/>
          <w:highlight w:val="none"/>
          <w:lang w:eastAsia="zh-CN"/>
        </w:rPr>
      </w:pPr>
      <w:bookmarkStart w:id="14" w:name="_Toc28359090"/>
      <w:bookmarkStart w:id="15" w:name="_Toc35393799"/>
      <w:bookmarkStart w:id="16" w:name="_Toc19527"/>
      <w:bookmarkStart w:id="17" w:name="_Toc28359013"/>
      <w:bookmarkStart w:id="18" w:name="_Toc6299"/>
      <w:bookmarkStart w:id="19" w:name="_Toc35393630"/>
      <w:bookmarkStart w:id="20" w:name="_Toc12304"/>
      <w:r>
        <w:rPr>
          <w:rFonts w:hint="eastAsia" w:ascii="宋体" w:hAnsi="宋体" w:eastAsia="宋体" w:cs="宋体"/>
          <w:b/>
          <w:bCs w:val="0"/>
          <w:i w:val="0"/>
          <w:iCs w:val="0"/>
          <w:color w:val="auto"/>
          <w:sz w:val="24"/>
          <w:szCs w:val="24"/>
          <w:highlight w:val="none"/>
        </w:rPr>
        <w:t>二、申请人的资格要求：</w:t>
      </w:r>
      <w:bookmarkEnd w:id="14"/>
      <w:bookmarkEnd w:id="15"/>
      <w:bookmarkEnd w:id="16"/>
      <w:bookmarkEnd w:id="17"/>
      <w:bookmarkEnd w:id="18"/>
      <w:bookmarkEnd w:id="19"/>
      <w:bookmarkEnd w:id="20"/>
    </w:p>
    <w:p w14:paraId="2C582329">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bookmarkStart w:id="21" w:name="_Toc28359091"/>
      <w:bookmarkStart w:id="22" w:name="_Toc28359014"/>
      <w:r>
        <w:rPr>
          <w:rFonts w:hint="eastAsia" w:ascii="宋体" w:hAnsi="宋体" w:cs="宋体"/>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具备《中华人民共和国政府采购法》第二十二条规定的条件：</w:t>
      </w:r>
    </w:p>
    <w:p w14:paraId="66979379">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1.1在中国境内注册，能在国内合法提供采购要求及其相应的服务能力，并持有效的企业法人营业执照；供应商自行承诺符合《中华人民共和国政府采购法》第二十二条规定及《中华人民共和国政府采购法实施条例》第十七条的相关要求</w:t>
      </w:r>
      <w:r>
        <w:rPr>
          <w:rFonts w:hint="eastAsia" w:ascii="宋体" w:hAnsi="宋体" w:eastAsia="宋体" w:cs="宋体"/>
          <w:i w:val="0"/>
          <w:iCs w:val="0"/>
          <w:color w:val="auto"/>
          <w:sz w:val="24"/>
          <w:szCs w:val="24"/>
          <w:highlight w:val="none"/>
          <w:lang w:eastAsia="zh-CN"/>
        </w:rPr>
        <w:t>；</w:t>
      </w:r>
    </w:p>
    <w:p w14:paraId="3146D982">
      <w:pPr>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供应商未被列入“信用中国”网站（www.creditchina.gov.cn）“严重失信主体名单”及中国政府采购网（www.ccgp.gov.cn）“政府采购严重违法失信行为信息记录”（失信信息查询结果由谈判（采购）代理机构负责在项目开标后评审会议开始前查询、截图）</w:t>
      </w:r>
      <w:r>
        <w:rPr>
          <w:rFonts w:hint="eastAsia" w:ascii="宋体" w:hAnsi="宋体" w:eastAsia="宋体" w:cs="宋体"/>
          <w:color w:val="auto"/>
          <w:sz w:val="24"/>
          <w:szCs w:val="24"/>
          <w:highlight w:val="none"/>
        </w:rPr>
        <w:t>。</w:t>
      </w:r>
    </w:p>
    <w:p w14:paraId="3D6550FD">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sz w:val="24"/>
          <w:szCs w:val="24"/>
          <w:highlight w:val="none"/>
          <w:lang w:eastAsia="zh-CN"/>
        </w:rPr>
        <w:t>2、落实政府采购政策需满足的资格要求：本项目不属于专门面向中小企业、监狱企</w:t>
      </w:r>
      <w:r>
        <w:rPr>
          <w:rFonts w:hint="eastAsia" w:ascii="宋体" w:hAnsi="宋体" w:eastAsia="宋体" w:cs="宋体"/>
          <w:i w:val="0"/>
          <w:iCs w:val="0"/>
          <w:color w:val="auto"/>
          <w:sz w:val="24"/>
          <w:szCs w:val="24"/>
          <w:highlight w:val="none"/>
          <w:lang w:val="en-US" w:eastAsia="zh-CN"/>
        </w:rPr>
        <w:t>业、残疾人福利企业采购项目。</w:t>
      </w:r>
    </w:p>
    <w:p w14:paraId="2BDBC172">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3、本项目的特定资格要求：</w:t>
      </w:r>
    </w:p>
    <w:p w14:paraId="68B584AB">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3.1</w:t>
      </w:r>
      <w:r>
        <w:rPr>
          <w:rFonts w:hint="eastAsia" w:ascii="宋体" w:hAnsi="宋体" w:cs="宋体"/>
          <w:i w:val="0"/>
          <w:iCs w:val="0"/>
          <w:color w:val="auto"/>
          <w:sz w:val="24"/>
          <w:szCs w:val="24"/>
          <w:highlight w:val="none"/>
          <w:lang w:val="en-US" w:eastAsia="zh-CN"/>
        </w:rPr>
        <w:t>供应商具备行政主管部门颁发的医疗机构执业许可证，许可范围包含相关检验服务。</w:t>
      </w:r>
    </w:p>
    <w:p w14:paraId="2CE02571">
      <w:pPr>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3.2.</w:t>
      </w:r>
      <w:r>
        <w:rPr>
          <w:rFonts w:hint="eastAsia" w:ascii="宋体" w:hAnsi="宋体" w:eastAsia="宋体" w:cs="宋体"/>
          <w:color w:val="auto"/>
          <w:sz w:val="24"/>
          <w:szCs w:val="24"/>
          <w:highlight w:val="none"/>
          <w:lang w:eastAsia="zh-CN"/>
        </w:rPr>
        <w:t>本次采购不接受联合体参与</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w:t>
      </w:r>
    </w:p>
    <w:bookmarkEnd w:id="21"/>
    <w:bookmarkEnd w:id="22"/>
    <w:p w14:paraId="20445534">
      <w:pPr>
        <w:pageBreakBefore w:val="0"/>
        <w:widowControl/>
        <w:kinsoku/>
        <w:wordWrap/>
        <w:overflowPunct/>
        <w:topLinePunct w:val="0"/>
        <w:autoSpaceDE/>
        <w:autoSpaceDN/>
        <w:bidi w:val="0"/>
        <w:adjustRightInd w:val="0"/>
        <w:snapToGrid w:val="0"/>
        <w:spacing w:line="440" w:lineRule="exact"/>
        <w:ind w:firstLine="482" w:firstLineChars="200"/>
        <w:jc w:val="left"/>
        <w:textAlignment w:val="auto"/>
        <w:rPr>
          <w:rFonts w:hint="eastAsia" w:asciiTheme="minorEastAsia" w:hAnsiTheme="minorEastAsia" w:eastAsiaTheme="minorEastAsia" w:cstheme="minorEastAsia"/>
          <w:b/>
          <w:kern w:val="0"/>
          <w:sz w:val="24"/>
          <w:szCs w:val="24"/>
          <w:highlight w:val="none"/>
        </w:rPr>
      </w:pPr>
      <w:bookmarkStart w:id="23" w:name="_Toc1065"/>
      <w:bookmarkStart w:id="24" w:name="_Toc35393638"/>
      <w:bookmarkStart w:id="25" w:name="_Toc35393807"/>
      <w:bookmarkStart w:id="26" w:name="_Toc29367"/>
      <w:bookmarkStart w:id="27" w:name="_Toc28359097"/>
      <w:bookmarkStart w:id="28" w:name="_Toc28359020"/>
      <w:r>
        <w:rPr>
          <w:rFonts w:hint="eastAsia" w:asciiTheme="minorEastAsia" w:hAnsiTheme="minorEastAsia" w:eastAsiaTheme="minorEastAsia" w:cstheme="minorEastAsia"/>
          <w:b/>
          <w:kern w:val="0"/>
          <w:sz w:val="24"/>
          <w:szCs w:val="24"/>
          <w:highlight w:val="none"/>
          <w:lang w:val="en-US" w:eastAsia="zh-CN"/>
        </w:rPr>
        <w:t>三、</w:t>
      </w:r>
      <w:r>
        <w:rPr>
          <w:rFonts w:hint="eastAsia" w:asciiTheme="minorEastAsia" w:hAnsiTheme="minorEastAsia" w:eastAsiaTheme="minorEastAsia" w:cstheme="minorEastAsia"/>
          <w:b/>
          <w:kern w:val="0"/>
          <w:sz w:val="24"/>
          <w:szCs w:val="24"/>
          <w:highlight w:val="none"/>
        </w:rPr>
        <w:t>获取文件</w:t>
      </w:r>
    </w:p>
    <w:p w14:paraId="61BC0B56">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sz w:val="24"/>
          <w:szCs w:val="24"/>
          <w:highlight w:val="none"/>
        </w:rPr>
      </w:pPr>
      <w:bookmarkStart w:id="29" w:name="_Toc467162400"/>
      <w:bookmarkStart w:id="30" w:name="_Toc19966"/>
      <w:r>
        <w:rPr>
          <w:rFonts w:hint="eastAsia" w:ascii="宋体" w:hAnsi="宋体" w:cs="宋体"/>
          <w:sz w:val="24"/>
          <w:szCs w:val="24"/>
          <w:highlight w:val="none"/>
        </w:rPr>
        <w:t>1.凡有意参加</w:t>
      </w:r>
      <w:r>
        <w:rPr>
          <w:rFonts w:hint="eastAsia" w:ascii="宋体" w:hAnsi="宋体" w:cs="宋体"/>
          <w:sz w:val="24"/>
          <w:szCs w:val="24"/>
          <w:highlight w:val="none"/>
          <w:lang w:val="en-US" w:eastAsia="zh-CN"/>
        </w:rPr>
        <w:t>本次谈判供应商</w:t>
      </w:r>
      <w:r>
        <w:rPr>
          <w:rFonts w:hint="eastAsia" w:ascii="宋体" w:hAnsi="宋体" w:cs="宋体"/>
          <w:sz w:val="24"/>
          <w:szCs w:val="24"/>
          <w:highlight w:val="none"/>
        </w:rPr>
        <w:t>，请于202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06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日至202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cs="宋体"/>
          <w:sz w:val="24"/>
          <w:szCs w:val="24"/>
          <w:highlight w:val="none"/>
        </w:rPr>
        <w:t>月</w:t>
      </w:r>
      <w:r>
        <w:rPr>
          <w:rFonts w:hint="eastAsia" w:ascii="宋体" w:hAnsi="宋体" w:cs="宋体"/>
          <w:sz w:val="24"/>
          <w:szCs w:val="24"/>
          <w:highlight w:val="none"/>
          <w:lang w:val="en-US" w:eastAsia="zh-CN"/>
        </w:rPr>
        <w:t>05</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（北京时间），在云南省玉溪市政府采购限额标准以下服务市场网站（https://cg.zbj.com/）下载查看本项目需求文件以及变更公告等公布的所有项目资料，无论供应商下载查看与否，均视为已知晓所有</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采购实质性要求内容。</w:t>
      </w:r>
    </w:p>
    <w:p w14:paraId="1C818E18">
      <w:pPr>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四、响应文件</w:t>
      </w:r>
      <w:bookmarkEnd w:id="29"/>
      <w:bookmarkEnd w:id="30"/>
      <w:r>
        <w:rPr>
          <w:rFonts w:hint="eastAsia" w:ascii="宋体" w:hAnsi="宋体" w:eastAsia="宋体" w:cs="宋体"/>
          <w:b/>
          <w:bCs/>
          <w:sz w:val="24"/>
          <w:szCs w:val="24"/>
          <w:highlight w:val="none"/>
          <w:lang w:val="en-US" w:eastAsia="zh-CN"/>
        </w:rPr>
        <w:t>的递交</w:t>
      </w:r>
    </w:p>
    <w:p w14:paraId="03823D51">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1.电子响应文件的递交</w:t>
      </w:r>
    </w:p>
    <w:p w14:paraId="4936CF5E">
      <w:pPr>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1.1电子响应文件递交截止时间：2024年07月05日14：30（北京时间）</w:t>
      </w:r>
    </w:p>
    <w:p w14:paraId="415661A5">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供应商须同时满足以下</w:t>
      </w: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rPr>
        <w:t>种要件，其响应文件才被接受：</w:t>
      </w:r>
    </w:p>
    <w:p w14:paraId="51CE2D4E">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（1）供应商登录云南省玉溪市政府采购限额标准以下服务市场网（https://cg.zbj.com/)，在报名截止时间前上传电子版文件（加盖公章）；</w:t>
      </w:r>
    </w:p>
    <w:p w14:paraId="305CD45B">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（2）线下按时递交了纸质响应文件（正本壹份，副本</w:t>
      </w:r>
      <w:r>
        <w:rPr>
          <w:rFonts w:hint="eastAsia" w:ascii="宋体" w:hAnsi="宋体" w:cs="宋体"/>
          <w:sz w:val="24"/>
          <w:szCs w:val="24"/>
          <w:highlight w:val="none"/>
          <w:lang w:val="en-US" w:eastAsia="zh-CN"/>
        </w:rPr>
        <w:t>贰</w:t>
      </w:r>
      <w:r>
        <w:rPr>
          <w:rFonts w:hint="eastAsia" w:ascii="宋体" w:hAnsi="宋体" w:cs="宋体"/>
          <w:sz w:val="24"/>
          <w:szCs w:val="24"/>
          <w:highlight w:val="none"/>
        </w:rPr>
        <w:t>份）；</w:t>
      </w:r>
    </w:p>
    <w:p w14:paraId="0F3327BA">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i w:val="0"/>
          <w:iCs w:val="0"/>
          <w:sz w:val="24"/>
          <w:szCs w:val="24"/>
          <w:highlight w:val="none"/>
          <w:lang w:val="en-US"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请注意：在云南省玉溪市政府采购限额标准以下服务市场网上填报的价格即为供应商的一次报价，请供应商填写自己的报价而不是预算金额或采购限价。同时请注意填报的截止时间。现场填报的最后报价为最终报价。</w:t>
      </w:r>
    </w:p>
    <w:p w14:paraId="0422040D">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2.纸质响应文件的递交</w:t>
      </w:r>
    </w:p>
    <w:p w14:paraId="4E180CA4">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iCs w:val="0"/>
          <w:sz w:val="24"/>
          <w:szCs w:val="24"/>
          <w:highlight w:val="none"/>
        </w:rPr>
      </w:pPr>
      <w:r>
        <w:rPr>
          <w:rFonts w:hint="eastAsia" w:ascii="宋体" w:hAnsi="宋体" w:cs="宋体"/>
          <w:b/>
          <w:bCs/>
          <w:i w:val="0"/>
          <w:iCs w:val="0"/>
          <w:sz w:val="24"/>
          <w:szCs w:val="24"/>
          <w:highlight w:val="none"/>
          <w:lang w:val="en-US" w:eastAsia="zh-CN"/>
        </w:rPr>
        <w:t>（1）</w:t>
      </w:r>
      <w:r>
        <w:rPr>
          <w:rFonts w:hint="eastAsia" w:ascii="宋体" w:hAnsi="宋体" w:eastAsia="宋体" w:cs="宋体"/>
          <w:b/>
          <w:bCs/>
          <w:i w:val="0"/>
          <w:iCs w:val="0"/>
          <w:sz w:val="24"/>
          <w:szCs w:val="24"/>
          <w:highlight w:val="none"/>
        </w:rPr>
        <w:t>响应文件</w:t>
      </w:r>
      <w:r>
        <w:rPr>
          <w:rFonts w:hint="eastAsia" w:ascii="宋体" w:hAnsi="宋体" w:eastAsia="宋体" w:cs="宋体"/>
          <w:b/>
          <w:bCs/>
          <w:i w:val="0"/>
          <w:iCs w:val="0"/>
          <w:sz w:val="24"/>
          <w:szCs w:val="24"/>
          <w:highlight w:val="none"/>
          <w:lang w:eastAsia="zh-CN"/>
        </w:rPr>
        <w:t>（</w:t>
      </w:r>
      <w:r>
        <w:rPr>
          <w:rFonts w:hint="eastAsia" w:ascii="宋体" w:hAnsi="宋体" w:eastAsia="宋体" w:cs="宋体"/>
          <w:b/>
          <w:bCs/>
          <w:i w:val="0"/>
          <w:iCs w:val="0"/>
          <w:sz w:val="24"/>
          <w:szCs w:val="24"/>
          <w:highlight w:val="none"/>
          <w:lang w:val="en-US" w:eastAsia="zh-CN"/>
        </w:rPr>
        <w:t>纸质）</w:t>
      </w:r>
      <w:r>
        <w:rPr>
          <w:rFonts w:hint="eastAsia" w:ascii="宋体" w:hAnsi="宋体" w:eastAsia="宋体" w:cs="宋体"/>
          <w:b/>
          <w:bCs/>
          <w:i w:val="0"/>
          <w:iCs w:val="0"/>
          <w:sz w:val="24"/>
          <w:szCs w:val="24"/>
          <w:highlight w:val="none"/>
        </w:rPr>
        <w:t>首次递交截止时间：202</w:t>
      </w:r>
      <w:r>
        <w:rPr>
          <w:rFonts w:hint="eastAsia" w:ascii="宋体" w:hAnsi="宋体" w:cs="宋体"/>
          <w:b/>
          <w:bCs/>
          <w:i w:val="0"/>
          <w:iCs w:val="0"/>
          <w:sz w:val="24"/>
          <w:szCs w:val="24"/>
          <w:highlight w:val="none"/>
          <w:lang w:val="en-US" w:eastAsia="zh-CN"/>
        </w:rPr>
        <w:t>4</w:t>
      </w:r>
      <w:r>
        <w:rPr>
          <w:rFonts w:hint="eastAsia" w:ascii="宋体" w:hAnsi="宋体" w:eastAsia="宋体" w:cs="宋体"/>
          <w:b/>
          <w:bCs/>
          <w:i w:val="0"/>
          <w:iCs w:val="0"/>
          <w:sz w:val="24"/>
          <w:szCs w:val="24"/>
          <w:highlight w:val="none"/>
        </w:rPr>
        <w:t>年</w:t>
      </w:r>
      <w:r>
        <w:rPr>
          <w:rFonts w:hint="eastAsia" w:ascii="宋体" w:hAnsi="宋体" w:cs="宋体"/>
          <w:b/>
          <w:bCs/>
          <w:i w:val="0"/>
          <w:iCs w:val="0"/>
          <w:sz w:val="24"/>
          <w:szCs w:val="24"/>
          <w:highlight w:val="none"/>
          <w:lang w:val="en-US" w:eastAsia="zh-CN"/>
        </w:rPr>
        <w:t>07</w:t>
      </w:r>
      <w:r>
        <w:rPr>
          <w:rFonts w:hint="eastAsia" w:ascii="宋体" w:hAnsi="宋体" w:eastAsia="宋体" w:cs="宋体"/>
          <w:b/>
          <w:bCs/>
          <w:i w:val="0"/>
          <w:iCs w:val="0"/>
          <w:sz w:val="24"/>
          <w:szCs w:val="24"/>
          <w:highlight w:val="none"/>
        </w:rPr>
        <w:t>月</w:t>
      </w:r>
      <w:r>
        <w:rPr>
          <w:rFonts w:hint="eastAsia" w:ascii="宋体" w:hAnsi="宋体" w:cs="宋体"/>
          <w:b/>
          <w:bCs/>
          <w:i w:val="0"/>
          <w:iCs w:val="0"/>
          <w:sz w:val="24"/>
          <w:szCs w:val="24"/>
          <w:highlight w:val="none"/>
          <w:lang w:val="en-US" w:eastAsia="zh-CN"/>
        </w:rPr>
        <w:t>05</w:t>
      </w:r>
      <w:r>
        <w:rPr>
          <w:rFonts w:hint="eastAsia" w:ascii="宋体" w:hAnsi="宋体" w:eastAsia="宋体" w:cs="宋体"/>
          <w:b/>
          <w:bCs/>
          <w:i w:val="0"/>
          <w:iCs w:val="0"/>
          <w:sz w:val="24"/>
          <w:szCs w:val="24"/>
          <w:highlight w:val="none"/>
          <w:lang w:val="en-US" w:eastAsia="zh-CN"/>
        </w:rPr>
        <w:t>日</w:t>
      </w:r>
      <w:r>
        <w:rPr>
          <w:rFonts w:hint="eastAsia" w:ascii="宋体" w:hAnsi="宋体" w:cs="宋体"/>
          <w:b/>
          <w:bCs/>
          <w:i w:val="0"/>
          <w:iCs w:val="0"/>
          <w:sz w:val="24"/>
          <w:szCs w:val="24"/>
          <w:highlight w:val="none"/>
          <w:lang w:val="en-US" w:eastAsia="zh-CN"/>
        </w:rPr>
        <w:t>15</w:t>
      </w:r>
      <w:r>
        <w:rPr>
          <w:rFonts w:hint="eastAsia" w:ascii="宋体" w:hAnsi="宋体" w:eastAsia="宋体" w:cs="宋体"/>
          <w:b/>
          <w:bCs/>
          <w:i w:val="0"/>
          <w:iCs w:val="0"/>
          <w:sz w:val="24"/>
          <w:szCs w:val="24"/>
          <w:highlight w:val="none"/>
        </w:rPr>
        <w:t>时</w:t>
      </w:r>
      <w:r>
        <w:rPr>
          <w:rFonts w:hint="eastAsia" w:ascii="宋体" w:hAnsi="宋体" w:cs="宋体"/>
          <w:b/>
          <w:bCs/>
          <w:i w:val="0"/>
          <w:iCs w:val="0"/>
          <w:sz w:val="24"/>
          <w:szCs w:val="24"/>
          <w:highlight w:val="none"/>
          <w:lang w:val="en-US" w:eastAsia="zh-CN"/>
        </w:rPr>
        <w:t>00</w:t>
      </w:r>
      <w:r>
        <w:rPr>
          <w:rFonts w:hint="eastAsia" w:ascii="宋体" w:hAnsi="宋体" w:eastAsia="宋体" w:cs="宋体"/>
          <w:b/>
          <w:bCs/>
          <w:i w:val="0"/>
          <w:iCs w:val="0"/>
          <w:sz w:val="24"/>
          <w:szCs w:val="24"/>
          <w:highlight w:val="none"/>
        </w:rPr>
        <w:t>分</w:t>
      </w:r>
    </w:p>
    <w:p w14:paraId="793B34F9">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（2）</w:t>
      </w:r>
      <w:r>
        <w:rPr>
          <w:rFonts w:hint="eastAsia" w:ascii="宋体" w:hAnsi="宋体" w:eastAsia="宋体" w:cs="宋体"/>
          <w:i w:val="0"/>
          <w:iCs w:val="0"/>
          <w:sz w:val="24"/>
          <w:szCs w:val="24"/>
          <w:highlight w:val="none"/>
        </w:rPr>
        <w:t>响应文件递交和</w:t>
      </w:r>
      <w:r>
        <w:rPr>
          <w:rFonts w:hint="eastAsia" w:ascii="宋体" w:hAnsi="宋体" w:eastAsia="宋体" w:cs="宋体"/>
          <w:sz w:val="24"/>
          <w:szCs w:val="24"/>
          <w:highlight w:val="none"/>
          <w:lang w:val="en-US" w:eastAsia="zh-CN"/>
        </w:rPr>
        <w:t>谈判</w:t>
      </w:r>
      <w:r>
        <w:rPr>
          <w:rFonts w:hint="eastAsia" w:ascii="宋体" w:hAnsi="宋体" w:eastAsia="宋体" w:cs="宋体"/>
          <w:i w:val="0"/>
          <w:iCs w:val="0"/>
          <w:sz w:val="24"/>
          <w:szCs w:val="24"/>
          <w:highlight w:val="none"/>
          <w:lang w:val="en-US" w:eastAsia="zh-CN"/>
        </w:rPr>
        <w:t>采购</w:t>
      </w:r>
      <w:r>
        <w:rPr>
          <w:rFonts w:hint="eastAsia" w:ascii="宋体" w:hAnsi="宋体" w:eastAsia="宋体" w:cs="宋体"/>
          <w:i w:val="0"/>
          <w:iCs w:val="0"/>
          <w:sz w:val="24"/>
          <w:szCs w:val="24"/>
          <w:highlight w:val="none"/>
        </w:rPr>
        <w:t>地点：</w:t>
      </w:r>
      <w:r>
        <w:rPr>
          <w:rFonts w:hint="eastAsia" w:ascii="宋体" w:hAnsi="宋体" w:cs="宋体"/>
          <w:i w:val="0"/>
          <w:iCs w:val="0"/>
          <w:sz w:val="24"/>
          <w:szCs w:val="24"/>
          <w:highlight w:val="none"/>
          <w:lang w:eastAsia="zh-CN"/>
        </w:rPr>
        <w:t>国鼎和诚项目管理集团有限公司</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云南省玉溪市红塔区李棋街道兰溪路天竹阁</w:t>
      </w:r>
      <w:r>
        <w:rPr>
          <w:rFonts w:hint="eastAsia" w:ascii="宋体" w:hAnsi="宋体" w:eastAsia="宋体" w:cs="宋体"/>
          <w:i w:val="0"/>
          <w:iCs w:val="0"/>
          <w:sz w:val="24"/>
          <w:szCs w:val="24"/>
          <w:highlight w:val="none"/>
          <w:lang w:eastAsia="zh-CN"/>
        </w:rPr>
        <w:t>）</w:t>
      </w:r>
    </w:p>
    <w:p w14:paraId="2AB14077">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①供应商须将签字、盖章后的PDF格式电子响应文件在截止时间前上传至玉溪市限额标准以下市场,采购人将以平台的线上线下资料作为评审依据，采购人不接受未在平台报名并上传电子响应文件的供应商。②供应商须在纸质响应文件递交截止时间前到线下提交地点</w:t>
      </w:r>
      <w:r>
        <w:rPr>
          <w:rFonts w:hint="eastAsia" w:ascii="宋体" w:hAnsi="宋体" w:cs="宋体"/>
          <w:i w:val="0"/>
          <w:iCs w:val="0"/>
          <w:sz w:val="24"/>
          <w:szCs w:val="24"/>
          <w:highlight w:val="none"/>
          <w:lang w:val="en-US" w:eastAsia="zh-CN"/>
        </w:rPr>
        <w:t>（</w:t>
      </w:r>
      <w:r>
        <w:rPr>
          <w:rFonts w:hint="eastAsia" w:ascii="宋体" w:hAnsi="宋体" w:eastAsia="宋体" w:cs="宋体"/>
          <w:i w:val="0"/>
          <w:iCs w:val="0"/>
          <w:sz w:val="24"/>
          <w:szCs w:val="24"/>
          <w:highlight w:val="none"/>
        </w:rPr>
        <w:t>云南省玉溪市红塔区李棋街道兰溪路天竹阁</w:t>
      </w:r>
      <w:r>
        <w:rPr>
          <w:rFonts w:hint="eastAsia" w:ascii="宋体" w:hAnsi="宋体" w:eastAsia="宋体" w:cs="宋体"/>
          <w:i w:val="0"/>
          <w:iCs w:val="0"/>
          <w:sz w:val="24"/>
          <w:szCs w:val="24"/>
          <w:highlight w:val="none"/>
          <w:lang w:val="en-US" w:eastAsia="zh-CN"/>
        </w:rPr>
        <w:t>）签到并递交纸质响应文件，参与</w:t>
      </w:r>
      <w:r>
        <w:rPr>
          <w:rFonts w:hint="eastAsia" w:ascii="宋体" w:hAnsi="宋体" w:eastAsia="宋体" w:cs="宋体"/>
          <w:sz w:val="24"/>
          <w:szCs w:val="24"/>
          <w:highlight w:val="none"/>
          <w:lang w:val="en-US" w:eastAsia="zh-CN"/>
        </w:rPr>
        <w:t>谈判</w:t>
      </w:r>
      <w:r>
        <w:rPr>
          <w:rFonts w:hint="eastAsia" w:ascii="宋体" w:hAnsi="宋体" w:eastAsia="宋体" w:cs="宋体"/>
          <w:i w:val="0"/>
          <w:iCs w:val="0"/>
          <w:sz w:val="24"/>
          <w:szCs w:val="24"/>
          <w:highlight w:val="none"/>
          <w:lang w:val="en-US" w:eastAsia="zh-CN"/>
        </w:rPr>
        <w:t>。未按以上要求提交的电子及纸质响应文件，采购人不予受理。</w:t>
      </w:r>
    </w:p>
    <w:p w14:paraId="57406490">
      <w:pPr>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注：供应商现场递交的纸质文件与递交的电子文件须一致。</w:t>
      </w:r>
    </w:p>
    <w:p w14:paraId="6C09C832">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五</w:t>
      </w:r>
      <w:r>
        <w:rPr>
          <w:rFonts w:hint="eastAsia" w:ascii="宋体" w:hAnsi="宋体" w:eastAsia="宋体" w:cs="宋体"/>
          <w:b/>
          <w:bCs/>
          <w:i w:val="0"/>
          <w:iCs w:val="0"/>
          <w:color w:val="auto"/>
          <w:sz w:val="24"/>
          <w:szCs w:val="24"/>
          <w:highlight w:val="none"/>
        </w:rPr>
        <w:t>、公告期限</w:t>
      </w:r>
    </w:p>
    <w:p w14:paraId="4B34D51C">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本次公告在云南省玉溪市政府采购限额标准以下服务市场网（https://cg.zbj.com/）公开发布，采购人及采购代理机构对其他网站或媒体转载的公告及公告内容不承担任何责任</w:t>
      </w:r>
      <w:r>
        <w:rPr>
          <w:rFonts w:hint="eastAsia" w:ascii="宋体" w:hAnsi="宋体" w:eastAsia="宋体" w:cs="宋体"/>
          <w:i w:val="0"/>
          <w:iCs w:val="0"/>
          <w:color w:val="auto"/>
          <w:sz w:val="24"/>
          <w:szCs w:val="24"/>
          <w:highlight w:val="none"/>
          <w:lang w:val="en-US" w:eastAsia="zh-CN"/>
        </w:rPr>
        <w:t>。</w:t>
      </w:r>
    </w:p>
    <w:p w14:paraId="59C76F01">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公告期限：</w:t>
      </w:r>
      <w:r>
        <w:rPr>
          <w:rFonts w:hint="eastAsia" w:ascii="宋体" w:hAnsi="宋体" w:eastAsia="宋体" w:cs="宋体"/>
          <w:i w:val="0"/>
          <w:iCs w:val="0"/>
          <w:color w:val="auto"/>
          <w:sz w:val="24"/>
          <w:szCs w:val="24"/>
          <w:highlight w:val="none"/>
        </w:rPr>
        <w:t>自本公告发布之日起</w:t>
      </w:r>
      <w:r>
        <w:rPr>
          <w:rFonts w:hint="eastAsia" w:ascii="宋体" w:hAnsi="宋体" w:cs="宋体"/>
          <w:i w:val="0"/>
          <w:iCs w:val="0"/>
          <w:color w:val="auto"/>
          <w:sz w:val="24"/>
          <w:szCs w:val="24"/>
          <w:highlight w:val="none"/>
          <w:lang w:val="en-US" w:eastAsia="zh-CN"/>
        </w:rPr>
        <w:t>不少于3</w:t>
      </w:r>
      <w:r>
        <w:rPr>
          <w:rFonts w:hint="eastAsia" w:ascii="宋体" w:hAnsi="宋体" w:eastAsia="宋体" w:cs="宋体"/>
          <w:i w:val="0"/>
          <w:iCs w:val="0"/>
          <w:color w:val="auto"/>
          <w:sz w:val="24"/>
          <w:szCs w:val="24"/>
          <w:highlight w:val="none"/>
        </w:rPr>
        <w:t>个工作日。</w:t>
      </w:r>
    </w:p>
    <w:p w14:paraId="2ED70555">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六</w:t>
      </w:r>
      <w:r>
        <w:rPr>
          <w:rFonts w:hint="eastAsia" w:ascii="宋体" w:hAnsi="宋体" w:eastAsia="宋体" w:cs="宋体"/>
          <w:b/>
          <w:bCs/>
          <w:i w:val="0"/>
          <w:iCs w:val="0"/>
          <w:color w:val="auto"/>
          <w:sz w:val="24"/>
          <w:szCs w:val="24"/>
          <w:highlight w:val="none"/>
        </w:rPr>
        <w:t>、其他补充事宜</w:t>
      </w:r>
    </w:p>
    <w:p w14:paraId="18B987DE">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rPr>
        <w:t>开标方式：现场开标</w:t>
      </w:r>
    </w:p>
    <w:p w14:paraId="3B12D767">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七</w:t>
      </w:r>
      <w:r>
        <w:rPr>
          <w:rFonts w:hint="eastAsia" w:ascii="宋体" w:hAnsi="宋体" w:eastAsia="宋体" w:cs="宋体"/>
          <w:b/>
          <w:bCs/>
          <w:i w:val="0"/>
          <w:iCs w:val="0"/>
          <w:color w:val="auto"/>
          <w:sz w:val="24"/>
          <w:szCs w:val="24"/>
          <w:highlight w:val="none"/>
        </w:rPr>
        <w:t>、凡对本次采购提出询问，请按以下方式联系。</w:t>
      </w:r>
    </w:p>
    <w:p w14:paraId="3F11D8C5">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采购人：</w:t>
      </w:r>
      <w:r>
        <w:rPr>
          <w:rFonts w:hint="eastAsia" w:ascii="宋体" w:hAnsi="宋体" w:cs="宋体"/>
          <w:i w:val="0"/>
          <w:iCs w:val="0"/>
          <w:color w:val="auto"/>
          <w:sz w:val="24"/>
          <w:szCs w:val="24"/>
          <w:highlight w:val="none"/>
          <w:lang w:eastAsia="zh-CN"/>
        </w:rPr>
        <w:t>华宁县人民医院</w:t>
      </w:r>
    </w:p>
    <w:p w14:paraId="1A0A4AD8">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地址：</w:t>
      </w:r>
      <w:r>
        <w:rPr>
          <w:rFonts w:hint="eastAsia" w:ascii="宋体" w:hAnsi="宋体" w:cs="宋体"/>
          <w:i w:val="0"/>
          <w:iCs w:val="0"/>
          <w:color w:val="auto"/>
          <w:sz w:val="24"/>
          <w:szCs w:val="24"/>
          <w:highlight w:val="none"/>
          <w:lang w:eastAsia="zh-CN"/>
        </w:rPr>
        <w:t>华宁县宁州街道办泉</w:t>
      </w:r>
      <w:r>
        <w:rPr>
          <w:rFonts w:hint="eastAsia" w:ascii="宋体" w:hAnsi="宋体" w:cs="宋体"/>
          <w:i w:val="0"/>
          <w:iCs w:val="0"/>
          <w:color w:val="auto"/>
          <w:sz w:val="24"/>
          <w:szCs w:val="24"/>
          <w:highlight w:val="none"/>
          <w:lang w:val="en-US" w:eastAsia="zh-CN"/>
        </w:rPr>
        <w:t>1</w:t>
      </w:r>
      <w:r>
        <w:rPr>
          <w:rFonts w:hint="eastAsia" w:ascii="宋体" w:hAnsi="宋体" w:cs="宋体"/>
          <w:i w:val="0"/>
          <w:iCs w:val="0"/>
          <w:color w:val="auto"/>
          <w:sz w:val="24"/>
          <w:szCs w:val="24"/>
          <w:highlight w:val="none"/>
          <w:lang w:eastAsia="zh-CN"/>
        </w:rPr>
        <w:t>乡路下段山口村路口</w:t>
      </w:r>
    </w:p>
    <w:p w14:paraId="067B9913">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eastAsia="zh-CN"/>
        </w:rPr>
        <w:t>联 系 人：刘老师</w:t>
      </w:r>
    </w:p>
    <w:p w14:paraId="16AC5FE8">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eastAsia="zh-CN"/>
        </w:rPr>
        <w:t>联系电话：0877-5011584</w:t>
      </w:r>
    </w:p>
    <w:p w14:paraId="5A9D4F39">
      <w:pPr>
        <w:pageBreakBefore w:val="0"/>
        <w:kinsoku/>
        <w:wordWrap/>
        <w:overflowPunct/>
        <w:topLinePunct w:val="0"/>
        <w:autoSpaceDE/>
        <w:autoSpaceDN/>
        <w:bidi w:val="0"/>
        <w:adjustRightInd/>
        <w:snapToGrid/>
        <w:spacing w:before="0" w:after="0" w:line="440" w:lineRule="exact"/>
        <w:ind w:firstLine="480" w:firstLineChars="200"/>
        <w:textAlignment w:val="auto"/>
        <w:outlineLvl w:val="9"/>
        <w:rPr>
          <w:rFonts w:hint="eastAsia" w:ascii="宋体" w:hAnsi="宋体" w:eastAsia="宋体" w:cs="宋体"/>
          <w:b w:val="0"/>
          <w:i w:val="0"/>
          <w:iCs w:val="0"/>
          <w:color w:val="auto"/>
          <w:sz w:val="24"/>
          <w:szCs w:val="24"/>
          <w:highlight w:val="none"/>
        </w:rPr>
      </w:pPr>
      <w:bookmarkStart w:id="31" w:name="_Toc10052"/>
      <w:r>
        <w:rPr>
          <w:rFonts w:hint="eastAsia" w:ascii="宋体" w:hAnsi="宋体" w:eastAsia="宋体" w:cs="宋体"/>
          <w:b w:val="0"/>
          <w:i w:val="0"/>
          <w:iCs w:val="0"/>
          <w:color w:val="auto"/>
          <w:sz w:val="24"/>
          <w:szCs w:val="24"/>
          <w:highlight w:val="none"/>
        </w:rPr>
        <w:t>2.采购代理机构信息</w:t>
      </w:r>
      <w:bookmarkEnd w:id="23"/>
      <w:bookmarkEnd w:id="24"/>
      <w:bookmarkEnd w:id="25"/>
      <w:bookmarkEnd w:id="26"/>
      <w:bookmarkEnd w:id="27"/>
      <w:bookmarkEnd w:id="28"/>
      <w:bookmarkEnd w:id="31"/>
    </w:p>
    <w:p w14:paraId="68242B97">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名    称：</w:t>
      </w:r>
      <w:r>
        <w:rPr>
          <w:rFonts w:hint="eastAsia" w:ascii="宋体" w:hAnsi="宋体" w:cs="宋体"/>
          <w:i w:val="0"/>
          <w:iCs w:val="0"/>
          <w:color w:val="auto"/>
          <w:sz w:val="24"/>
          <w:szCs w:val="24"/>
          <w:highlight w:val="none"/>
          <w:lang w:eastAsia="zh-CN"/>
        </w:rPr>
        <w:t>国鼎和诚项目管理集团有限公司</w:t>
      </w:r>
    </w:p>
    <w:p w14:paraId="29D7349D">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地　　址：</w:t>
      </w:r>
      <w:r>
        <w:rPr>
          <w:rFonts w:hint="eastAsia" w:ascii="宋体" w:hAnsi="宋体" w:eastAsia="宋体" w:cs="宋体"/>
          <w:i w:val="0"/>
          <w:iCs w:val="0"/>
          <w:color w:val="auto"/>
          <w:sz w:val="24"/>
          <w:szCs w:val="24"/>
          <w:highlight w:val="none"/>
          <w:lang w:eastAsia="zh-CN"/>
        </w:rPr>
        <w:t>云南省玉溪市红塔区李棋街道兰溪路天竹阁</w:t>
      </w:r>
    </w:p>
    <w:p w14:paraId="0A9B9FCF">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联系方式：</w:t>
      </w:r>
      <w:r>
        <w:rPr>
          <w:rFonts w:hint="eastAsia" w:ascii="宋体" w:hAnsi="宋体" w:cs="宋体"/>
          <w:i w:val="0"/>
          <w:iCs w:val="0"/>
          <w:color w:val="auto"/>
          <w:sz w:val="24"/>
          <w:szCs w:val="24"/>
          <w:highlight w:val="none"/>
          <w:lang w:eastAsia="zh-CN"/>
        </w:rPr>
        <w:t>13887744954</w:t>
      </w:r>
    </w:p>
    <w:p w14:paraId="04DCACE9">
      <w:pPr>
        <w:pageBreakBefore w:val="0"/>
        <w:kinsoku/>
        <w:wordWrap/>
        <w:overflowPunct/>
        <w:topLinePunct w:val="0"/>
        <w:autoSpaceDE/>
        <w:autoSpaceDN/>
        <w:bidi w:val="0"/>
        <w:adjustRightInd/>
        <w:snapToGrid/>
        <w:spacing w:before="0" w:after="0" w:line="440" w:lineRule="exact"/>
        <w:ind w:firstLine="480" w:firstLineChars="200"/>
        <w:textAlignment w:val="auto"/>
        <w:outlineLvl w:val="9"/>
        <w:rPr>
          <w:rFonts w:hint="eastAsia" w:ascii="宋体" w:hAnsi="宋体" w:eastAsia="宋体" w:cs="宋体"/>
          <w:b w:val="0"/>
          <w:i w:val="0"/>
          <w:iCs w:val="0"/>
          <w:color w:val="auto"/>
          <w:sz w:val="24"/>
          <w:szCs w:val="24"/>
          <w:highlight w:val="none"/>
        </w:rPr>
      </w:pPr>
      <w:bookmarkStart w:id="32" w:name="_Toc35393639"/>
      <w:bookmarkStart w:id="33" w:name="_Toc18553"/>
      <w:bookmarkStart w:id="34" w:name="_Toc20483"/>
      <w:bookmarkStart w:id="35" w:name="_Toc35393808"/>
      <w:bookmarkStart w:id="36" w:name="_Toc28359021"/>
      <w:bookmarkStart w:id="37" w:name="_Toc28359098"/>
      <w:bookmarkStart w:id="38" w:name="_Toc6680"/>
      <w:r>
        <w:rPr>
          <w:rFonts w:hint="eastAsia" w:ascii="宋体" w:hAnsi="宋体" w:eastAsia="宋体" w:cs="宋体"/>
          <w:b w:val="0"/>
          <w:i w:val="0"/>
          <w:iCs w:val="0"/>
          <w:color w:val="auto"/>
          <w:sz w:val="24"/>
          <w:szCs w:val="24"/>
          <w:highlight w:val="none"/>
        </w:rPr>
        <w:t>3.项目联系方式</w:t>
      </w:r>
      <w:bookmarkEnd w:id="32"/>
      <w:bookmarkEnd w:id="33"/>
      <w:bookmarkEnd w:id="34"/>
      <w:bookmarkEnd w:id="35"/>
      <w:bookmarkEnd w:id="36"/>
      <w:bookmarkEnd w:id="37"/>
      <w:bookmarkEnd w:id="38"/>
    </w:p>
    <w:p w14:paraId="3DCAA5E1">
      <w:pPr>
        <w:pStyle w:val="25"/>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项目联系人：</w:t>
      </w:r>
      <w:r>
        <w:rPr>
          <w:rFonts w:hint="eastAsia" w:hAnsi="宋体" w:cs="宋体"/>
          <w:i w:val="0"/>
          <w:iCs w:val="0"/>
          <w:color w:val="auto"/>
          <w:sz w:val="24"/>
          <w:szCs w:val="24"/>
          <w:highlight w:val="none"/>
          <w:lang w:val="en-US" w:eastAsia="zh-CN"/>
        </w:rPr>
        <w:t>范师</w:t>
      </w:r>
    </w:p>
    <w:p w14:paraId="2A202ED6">
      <w:pPr>
        <w:pStyle w:val="25"/>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ascii="宋体" w:hAnsi="宋体" w:eastAsia="宋体" w:cs="宋体"/>
          <w:i w:val="0"/>
          <w:iCs w:val="0"/>
          <w:color w:val="auto"/>
          <w:sz w:val="24"/>
          <w:szCs w:val="24"/>
          <w:highlight w:val="none"/>
        </w:rPr>
        <w:t>电　　 话：</w:t>
      </w:r>
      <w:r>
        <w:rPr>
          <w:rFonts w:hint="eastAsia" w:hAnsi="宋体" w:cs="宋体"/>
          <w:i w:val="0"/>
          <w:iCs w:val="0"/>
          <w:color w:val="auto"/>
          <w:sz w:val="24"/>
          <w:szCs w:val="24"/>
          <w:highlight w:val="none"/>
          <w:lang w:eastAsia="zh-CN"/>
        </w:rPr>
        <w:t>13887744954</w:t>
      </w:r>
    </w:p>
    <w:p w14:paraId="75E003F9">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9" w:name="_Toc5806"/>
      <w:r>
        <w:rPr>
          <w:rFonts w:hint="eastAsia" w:ascii="宋体" w:hAnsi="宋体" w:eastAsia="宋体" w:cs="宋体"/>
          <w:color w:val="auto"/>
          <w:highlight w:val="none"/>
        </w:rPr>
        <w:t>第二章 供应商须知</w:t>
      </w:r>
      <w:bookmarkEnd w:id="5"/>
      <w:bookmarkEnd w:id="6"/>
      <w:bookmarkEnd w:id="39"/>
    </w:p>
    <w:p w14:paraId="7375280F">
      <w:pPr>
        <w:pStyle w:val="3"/>
        <w:jc w:val="center"/>
        <w:rPr>
          <w:rFonts w:hint="eastAsia" w:ascii="宋体" w:hAnsi="宋体" w:eastAsia="宋体" w:cs="宋体"/>
          <w:color w:val="auto"/>
          <w:highlight w:val="none"/>
        </w:rPr>
      </w:pPr>
      <w:bookmarkStart w:id="40" w:name="_Toc439975709"/>
      <w:bookmarkStart w:id="41" w:name="_Toc13674"/>
      <w:bookmarkStart w:id="42" w:name="_Toc440665814"/>
      <w:bookmarkStart w:id="43" w:name="_Toc22765"/>
      <w:r>
        <w:rPr>
          <w:rFonts w:hint="eastAsia" w:ascii="宋体" w:hAnsi="宋体" w:eastAsia="宋体" w:cs="宋体"/>
          <w:color w:val="auto"/>
          <w:highlight w:val="none"/>
        </w:rPr>
        <w:t>供应商须知前附表</w:t>
      </w:r>
      <w:bookmarkEnd w:id="40"/>
      <w:bookmarkEnd w:id="41"/>
      <w:bookmarkEnd w:id="42"/>
      <w:bookmarkEnd w:id="43"/>
    </w:p>
    <w:tbl>
      <w:tblPr>
        <w:tblStyle w:val="54"/>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148"/>
        <w:gridCol w:w="6756"/>
      </w:tblGrid>
      <w:tr w14:paraId="4CCC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blHeader/>
        </w:trPr>
        <w:tc>
          <w:tcPr>
            <w:tcW w:w="937" w:type="dxa"/>
            <w:noWrap w:val="0"/>
            <w:vAlign w:val="center"/>
          </w:tcPr>
          <w:p w14:paraId="066BC7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148" w:type="dxa"/>
            <w:noWrap w:val="0"/>
            <w:vAlign w:val="center"/>
          </w:tcPr>
          <w:p w14:paraId="419D17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6756" w:type="dxa"/>
            <w:noWrap w:val="0"/>
            <w:vAlign w:val="center"/>
          </w:tcPr>
          <w:p w14:paraId="7E5B38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6262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937" w:type="dxa"/>
            <w:noWrap w:val="0"/>
            <w:vAlign w:val="center"/>
          </w:tcPr>
          <w:p w14:paraId="5B5423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148" w:type="dxa"/>
            <w:noWrap w:val="0"/>
            <w:vAlign w:val="center"/>
          </w:tcPr>
          <w:p w14:paraId="0F01A55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56" w:type="dxa"/>
            <w:noWrap w:val="0"/>
            <w:vAlign w:val="center"/>
          </w:tcPr>
          <w:p w14:paraId="01696CB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w:t>
            </w:r>
            <w:r>
              <w:rPr>
                <w:rFonts w:hint="eastAsia" w:ascii="宋体" w:hAnsi="宋体" w:cs="宋体"/>
                <w:bCs/>
                <w:color w:val="auto"/>
                <w:sz w:val="24"/>
                <w:szCs w:val="24"/>
                <w:highlight w:val="none"/>
                <w:lang w:eastAsia="zh-CN"/>
              </w:rPr>
              <w:t>华宁县人民医院</w:t>
            </w:r>
            <w:r>
              <w:rPr>
                <w:rFonts w:hint="eastAsia" w:ascii="宋体" w:hAnsi="宋体" w:eastAsia="宋体" w:cs="宋体"/>
                <w:bCs/>
                <w:color w:val="auto"/>
                <w:sz w:val="24"/>
                <w:szCs w:val="24"/>
                <w:highlight w:val="none"/>
              </w:rPr>
              <w:t xml:space="preserve"> </w:t>
            </w:r>
          </w:p>
          <w:p w14:paraId="6818AADA">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eastAsia="zh-CN"/>
              </w:rPr>
              <w:t>华宁县宁州街道办泉乡路下段山口村路口</w:t>
            </w:r>
          </w:p>
          <w:p w14:paraId="02FA2CD1">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eastAsia="zh-CN"/>
              </w:rPr>
              <w:t>联 系 人：刘老师</w:t>
            </w:r>
          </w:p>
          <w:p w14:paraId="2A1FB1BE">
            <w:pPr>
              <w:spacing w:line="360" w:lineRule="auto"/>
              <w:rPr>
                <w:rFonts w:hint="default" w:ascii="宋体" w:hAnsi="宋体" w:eastAsia="宋体" w:cs="宋体"/>
                <w:color w:val="auto"/>
                <w:highlight w:val="none"/>
                <w:lang w:val="en-US" w:eastAsia="zh-CN"/>
              </w:rPr>
            </w:pPr>
            <w:r>
              <w:rPr>
                <w:rFonts w:hint="eastAsia" w:ascii="宋体" w:hAnsi="宋体" w:cs="宋体"/>
                <w:bCs/>
                <w:color w:val="auto"/>
                <w:sz w:val="24"/>
                <w:szCs w:val="24"/>
                <w:highlight w:val="none"/>
                <w:lang w:eastAsia="zh-CN"/>
              </w:rPr>
              <w:t>联系电话：0877-5011584</w:t>
            </w:r>
          </w:p>
        </w:tc>
      </w:tr>
      <w:tr w14:paraId="11E8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37" w:type="dxa"/>
            <w:noWrap w:val="0"/>
            <w:vAlign w:val="center"/>
          </w:tcPr>
          <w:p w14:paraId="1C2BEE0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148" w:type="dxa"/>
            <w:noWrap w:val="0"/>
            <w:vAlign w:val="center"/>
          </w:tcPr>
          <w:p w14:paraId="5874A5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756" w:type="dxa"/>
            <w:noWrap w:val="0"/>
            <w:vAlign w:val="center"/>
          </w:tcPr>
          <w:p w14:paraId="403CE10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bCs/>
                <w:color w:val="auto"/>
                <w:sz w:val="24"/>
                <w:szCs w:val="24"/>
                <w:highlight w:val="none"/>
              </w:rPr>
              <w:t xml:space="preserve"> </w:t>
            </w:r>
            <w:r>
              <w:rPr>
                <w:rFonts w:hint="eastAsia" w:ascii="宋体" w:hAnsi="宋体" w:cs="宋体"/>
                <w:bCs/>
                <w:color w:val="auto"/>
                <w:sz w:val="24"/>
                <w:szCs w:val="24"/>
                <w:highlight w:val="none"/>
                <w:lang w:eastAsia="zh-CN"/>
              </w:rPr>
              <w:t>国鼎和诚项目管理集团有限公司</w:t>
            </w:r>
          </w:p>
          <w:p w14:paraId="7E9CB9DA">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lang w:eastAsia="zh-CN"/>
              </w:rPr>
              <w:t>云南省玉溪市红塔区李棋街道兰溪路天竹阁</w:t>
            </w:r>
          </w:p>
          <w:p w14:paraId="30681E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eastAsia="zh-CN"/>
              </w:rPr>
              <w:t>范师</w:t>
            </w:r>
          </w:p>
          <w:p w14:paraId="602D8B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13887744954</w:t>
            </w:r>
            <w:r>
              <w:rPr>
                <w:rFonts w:hint="eastAsia" w:ascii="宋体" w:hAnsi="宋体" w:eastAsia="宋体" w:cs="宋体"/>
                <w:color w:val="auto"/>
                <w:sz w:val="24"/>
                <w:szCs w:val="24"/>
                <w:highlight w:val="none"/>
              </w:rPr>
              <w:t xml:space="preserve">    </w:t>
            </w:r>
          </w:p>
        </w:tc>
      </w:tr>
      <w:tr w14:paraId="4AE7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noWrap w:val="0"/>
            <w:vAlign w:val="center"/>
          </w:tcPr>
          <w:p w14:paraId="0D40065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148" w:type="dxa"/>
            <w:noWrap w:val="0"/>
            <w:vAlign w:val="center"/>
          </w:tcPr>
          <w:p w14:paraId="07C61D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项目名称及编号</w:t>
            </w:r>
          </w:p>
        </w:tc>
        <w:tc>
          <w:tcPr>
            <w:tcW w:w="6756" w:type="dxa"/>
            <w:noWrap w:val="0"/>
            <w:vAlign w:val="center"/>
          </w:tcPr>
          <w:p w14:paraId="37780A9B">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w:t>
            </w:r>
            <w:r>
              <w:rPr>
                <w:rFonts w:hint="eastAsia" w:ascii="宋体" w:hAnsi="宋体" w:cs="宋体"/>
                <w:i w:val="0"/>
                <w:iCs w:val="0"/>
                <w:color w:val="auto"/>
                <w:sz w:val="24"/>
                <w:szCs w:val="24"/>
                <w:highlight w:val="none"/>
                <w:lang w:eastAsia="zh-CN"/>
              </w:rPr>
              <w:t>华宁县人民医院检验外送服务采购项目</w:t>
            </w:r>
            <w:r>
              <w:rPr>
                <w:rFonts w:hint="eastAsia" w:ascii="宋体" w:hAnsi="宋体" w:eastAsia="宋体" w:cs="宋体"/>
                <w:bCs/>
                <w:color w:val="auto"/>
                <w:sz w:val="24"/>
                <w:szCs w:val="24"/>
                <w:highlight w:val="none"/>
                <w:lang w:val="en-US" w:eastAsia="zh-CN"/>
              </w:rPr>
              <w:t>；</w:t>
            </w:r>
          </w:p>
          <w:p w14:paraId="71BA2DCE">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项目编号：</w:t>
            </w:r>
            <w:r>
              <w:rPr>
                <w:rFonts w:hint="eastAsia" w:ascii="宋体" w:hAnsi="宋体" w:cs="宋体"/>
                <w:bCs/>
                <w:color w:val="auto"/>
                <w:sz w:val="24"/>
                <w:szCs w:val="24"/>
                <w:highlight w:val="none"/>
                <w:lang w:val="en-US" w:eastAsia="zh-CN"/>
              </w:rPr>
              <w:t>GDZB-YXTP2024-001</w:t>
            </w:r>
          </w:p>
        </w:tc>
      </w:tr>
      <w:tr w14:paraId="59AB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noWrap w:val="0"/>
            <w:vAlign w:val="center"/>
          </w:tcPr>
          <w:p w14:paraId="421210F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1.1.5</w:t>
            </w:r>
          </w:p>
        </w:tc>
        <w:tc>
          <w:tcPr>
            <w:tcW w:w="2148" w:type="dxa"/>
            <w:noWrap w:val="0"/>
            <w:vAlign w:val="center"/>
          </w:tcPr>
          <w:p w14:paraId="229593E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服务地点</w:t>
            </w:r>
          </w:p>
        </w:tc>
        <w:tc>
          <w:tcPr>
            <w:tcW w:w="6756" w:type="dxa"/>
            <w:noWrap w:val="0"/>
            <w:vAlign w:val="center"/>
          </w:tcPr>
          <w:p w14:paraId="489E0484">
            <w:pPr>
              <w:spacing w:line="360" w:lineRule="auto"/>
              <w:rPr>
                <w:rFonts w:hint="eastAsia" w:ascii="宋体" w:hAnsi="宋体" w:eastAsia="宋体" w:cs="宋体"/>
                <w:bCs/>
                <w:color w:val="auto"/>
                <w:sz w:val="24"/>
                <w:szCs w:val="24"/>
                <w:highlight w:val="none"/>
                <w:lang w:val="en-US" w:eastAsia="zh-CN"/>
              </w:rPr>
            </w:pPr>
            <w:r>
              <w:rPr>
                <w:rFonts w:hint="eastAsia" w:cs="方正仿宋_GBK" w:asciiTheme="majorEastAsia" w:hAnsiTheme="majorEastAsia" w:eastAsiaTheme="majorEastAsia"/>
                <w:sz w:val="24"/>
                <w:szCs w:val="24"/>
                <w:highlight w:val="none"/>
                <w:lang w:val="en-US" w:eastAsia="zh-CN"/>
              </w:rPr>
              <w:t>采购人指定地点。</w:t>
            </w:r>
          </w:p>
        </w:tc>
      </w:tr>
      <w:tr w14:paraId="4D3F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7" w:type="dxa"/>
            <w:noWrap w:val="0"/>
            <w:vAlign w:val="center"/>
          </w:tcPr>
          <w:p w14:paraId="09D84A5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148" w:type="dxa"/>
            <w:noWrap w:val="0"/>
            <w:vAlign w:val="center"/>
          </w:tcPr>
          <w:p w14:paraId="5D2F2F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756" w:type="dxa"/>
            <w:noWrap w:val="0"/>
            <w:vAlign w:val="center"/>
          </w:tcPr>
          <w:p w14:paraId="086832C0">
            <w:p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政府资金</w:t>
            </w:r>
          </w:p>
        </w:tc>
      </w:tr>
      <w:tr w14:paraId="3C03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7" w:type="dxa"/>
            <w:noWrap w:val="0"/>
            <w:vAlign w:val="center"/>
          </w:tcPr>
          <w:p w14:paraId="574D1C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148" w:type="dxa"/>
            <w:noWrap w:val="0"/>
            <w:vAlign w:val="center"/>
          </w:tcPr>
          <w:p w14:paraId="5099EF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756" w:type="dxa"/>
            <w:noWrap w:val="0"/>
            <w:vAlign w:val="center"/>
          </w:tcPr>
          <w:p w14:paraId="24C11782">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已落实</w:t>
            </w:r>
          </w:p>
        </w:tc>
      </w:tr>
      <w:tr w14:paraId="3B13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37" w:type="dxa"/>
            <w:noWrap w:val="0"/>
            <w:vAlign w:val="center"/>
          </w:tcPr>
          <w:p w14:paraId="20CEED3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cs="宋体"/>
                <w:color w:val="auto"/>
                <w:sz w:val="24"/>
                <w:szCs w:val="24"/>
                <w:highlight w:val="none"/>
                <w:lang w:val="en-US" w:eastAsia="zh-CN"/>
              </w:rPr>
              <w:t>1</w:t>
            </w:r>
          </w:p>
        </w:tc>
        <w:tc>
          <w:tcPr>
            <w:tcW w:w="2148" w:type="dxa"/>
            <w:noWrap w:val="0"/>
            <w:vAlign w:val="center"/>
          </w:tcPr>
          <w:p w14:paraId="351BD058">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采购内容</w:t>
            </w:r>
          </w:p>
          <w:p w14:paraId="75130F86">
            <w:pPr>
              <w:spacing w:line="360" w:lineRule="auto"/>
              <w:jc w:val="center"/>
              <w:rPr>
                <w:rFonts w:hint="eastAsia" w:ascii="宋体" w:hAnsi="宋体" w:eastAsia="宋体" w:cs="宋体"/>
                <w:bCs/>
                <w:color w:val="auto"/>
                <w:kern w:val="0"/>
                <w:sz w:val="24"/>
                <w:szCs w:val="24"/>
                <w:highlight w:val="none"/>
              </w:rPr>
            </w:pPr>
          </w:p>
        </w:tc>
        <w:tc>
          <w:tcPr>
            <w:tcW w:w="6756" w:type="dxa"/>
            <w:noWrap w:val="0"/>
            <w:vAlign w:val="center"/>
          </w:tcPr>
          <w:p w14:paraId="34358D10">
            <w:pPr>
              <w:pStyle w:val="66"/>
              <w:keepNext w:val="0"/>
              <w:keepLines w:val="0"/>
              <w:pageBreakBefore w:val="0"/>
              <w:widowControl w:val="0"/>
              <w:kinsoku/>
              <w:wordWrap/>
              <w:overflowPunct/>
              <w:topLinePunct w:val="0"/>
              <w:autoSpaceDE/>
              <w:autoSpaceDN/>
              <w:bidi w:val="0"/>
              <w:adjustRightInd w:val="0"/>
              <w:snapToGrid/>
              <w:spacing w:line="480" w:lineRule="exact"/>
              <w:textAlignment w:val="baseline"/>
              <w:rPr>
                <w:rFonts w:hint="eastAsia" w:ascii="宋体" w:hAnsi="宋体" w:eastAsia="宋体" w:cs="宋体"/>
                <w:bCs/>
                <w:color w:val="auto"/>
                <w:sz w:val="24"/>
                <w:szCs w:val="24"/>
                <w:highlight w:val="none"/>
              </w:rPr>
            </w:pPr>
            <w:r>
              <w:rPr>
                <w:rFonts w:hint="eastAsia" w:ascii="宋体" w:hAnsi="宋体" w:cs="宋体"/>
                <w:color w:val="auto"/>
                <w:kern w:val="2"/>
                <w:sz w:val="24"/>
                <w:szCs w:val="24"/>
                <w:highlight w:val="none"/>
                <w:lang w:val="en-US" w:eastAsia="zh-CN" w:bidi="ar-SA"/>
              </w:rPr>
              <w:t>为满足病人的医疗需求，方便病人在当地诊断治疗，提高临床诊断准确率，对华宁县人民医院未开展的检验项目，外送第三方检验机构检验，即确定一家符合资质的第三方检验机构合作。开展的检验检测项目多，涵盖普通常规检测、自身免疫性疾病检测、高血压筛查、库欣综合征、嗜铬细胞瘤筛查、用药基因筛查、肿瘤检测等其他检验检测。具体详见第五章“采购需求”。</w:t>
            </w:r>
          </w:p>
        </w:tc>
      </w:tr>
      <w:tr w14:paraId="0294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3D672A8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cs="宋体"/>
                <w:color w:val="auto"/>
                <w:sz w:val="24"/>
                <w:szCs w:val="24"/>
                <w:highlight w:val="none"/>
                <w:lang w:val="en-US" w:eastAsia="zh-CN"/>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5992D47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履行</w:t>
            </w:r>
            <w:r>
              <w:rPr>
                <w:rFonts w:hint="eastAsia" w:ascii="宋体" w:hAnsi="宋体" w:eastAsia="宋体" w:cs="宋体"/>
                <w:color w:val="auto"/>
                <w:sz w:val="24"/>
                <w:szCs w:val="24"/>
                <w:highlight w:val="none"/>
              </w:rPr>
              <w:t>期限</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C3AA5B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自合同签订之日起一年</w:t>
            </w:r>
          </w:p>
        </w:tc>
      </w:tr>
      <w:tr w14:paraId="5E64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3561F5F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cs="宋体"/>
                <w:color w:val="auto"/>
                <w:sz w:val="24"/>
                <w:szCs w:val="24"/>
                <w:highlight w:val="none"/>
                <w:lang w:val="en-US" w:eastAsia="zh-CN"/>
              </w:rPr>
              <w:t>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07522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463695F7">
            <w:pPr>
              <w:spacing w:line="360" w:lineRule="auto"/>
              <w:rPr>
                <w:rFonts w:hint="eastAsia" w:ascii="宋体" w:hAnsi="宋体" w:eastAsia="宋体" w:cs="宋体"/>
                <w:color w:val="auto"/>
                <w:sz w:val="24"/>
                <w:szCs w:val="24"/>
                <w:highlight w:val="none"/>
              </w:rPr>
            </w:pPr>
            <w:r>
              <w:rPr>
                <w:rFonts w:hint="eastAsia" w:cs="方正仿宋_GBK" w:asciiTheme="majorEastAsia" w:hAnsiTheme="majorEastAsia" w:eastAsiaTheme="majorEastAsia"/>
                <w:sz w:val="24"/>
                <w:szCs w:val="24"/>
                <w:highlight w:val="none"/>
              </w:rPr>
              <w:t>符合国家和行业现行相关标准和规范，</w:t>
            </w:r>
            <w:r>
              <w:rPr>
                <w:rFonts w:hint="eastAsia" w:cs="方正仿宋_GBK" w:asciiTheme="majorEastAsia" w:hAnsiTheme="majorEastAsia" w:eastAsiaTheme="majorEastAsia"/>
                <w:sz w:val="24"/>
                <w:szCs w:val="24"/>
                <w:highlight w:val="none"/>
                <w:lang w:eastAsia="zh-CN"/>
              </w:rPr>
              <w:t>提交成果真实准确、清晰有据，合</w:t>
            </w:r>
            <w:r>
              <w:rPr>
                <w:rFonts w:hint="eastAsia" w:cs="方正仿宋_GBK" w:asciiTheme="majorEastAsia" w:hAnsiTheme="majorEastAsia" w:eastAsiaTheme="majorEastAsia"/>
                <w:sz w:val="24"/>
                <w:szCs w:val="24"/>
                <w:highlight w:val="none"/>
              </w:rPr>
              <w:t>同履行过程中不得出现违反国家法规及行业规范的行为。服务质量满足</w:t>
            </w:r>
            <w:r>
              <w:rPr>
                <w:rFonts w:hint="eastAsia" w:cs="方正仿宋_GBK" w:asciiTheme="majorEastAsia" w:hAnsiTheme="majorEastAsia" w:eastAsiaTheme="majorEastAsia"/>
                <w:sz w:val="24"/>
                <w:szCs w:val="24"/>
                <w:highlight w:val="none"/>
                <w:lang w:val="en-US" w:eastAsia="zh-CN"/>
              </w:rPr>
              <w:t>采购人</w:t>
            </w:r>
            <w:r>
              <w:rPr>
                <w:rFonts w:hint="eastAsia" w:cs="方正仿宋_GBK" w:asciiTheme="majorEastAsia" w:hAnsiTheme="majorEastAsia" w:eastAsiaTheme="majorEastAsia"/>
                <w:sz w:val="24"/>
                <w:szCs w:val="24"/>
                <w:highlight w:val="none"/>
              </w:rPr>
              <w:t>标准及要求。</w:t>
            </w:r>
          </w:p>
        </w:tc>
      </w:tr>
      <w:tr w14:paraId="4D95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09FD38B">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FD3416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预算金额</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78938E5C">
            <w:pPr>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s="方正仿宋_GBK" w:asciiTheme="majorEastAsia" w:hAnsiTheme="majorEastAsia" w:eastAsiaTheme="majorEastAsia"/>
                <w:sz w:val="24"/>
                <w:szCs w:val="24"/>
                <w:highlight w:val="none"/>
              </w:rPr>
            </w:pPr>
            <w:r>
              <w:rPr>
                <w:rFonts w:hint="eastAsia" w:ascii="宋体" w:hAnsi="宋体" w:cs="宋体"/>
                <w:i w:val="0"/>
                <w:iCs w:val="0"/>
                <w:color w:val="auto"/>
                <w:sz w:val="24"/>
                <w:szCs w:val="24"/>
                <w:highlight w:val="none"/>
                <w:lang w:val="en-US" w:eastAsia="zh-CN"/>
              </w:rPr>
              <w:t>¥200000.00元/年，大写：人民币贰拾万元整/年</w:t>
            </w:r>
            <w:r>
              <w:rPr>
                <w:rFonts w:hint="eastAsia" w:ascii="宋体" w:hAnsi="宋体" w:eastAsia="宋体" w:cs="宋体"/>
                <w:i w:val="0"/>
                <w:iCs w:val="0"/>
                <w:color w:val="auto"/>
                <w:sz w:val="24"/>
                <w:szCs w:val="24"/>
                <w:highlight w:val="none"/>
              </w:rPr>
              <w:t>；</w:t>
            </w:r>
          </w:p>
        </w:tc>
      </w:tr>
      <w:tr w14:paraId="6C4B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00FA80B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82882C8">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采购限价</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91F336B">
            <w:pPr>
              <w:spacing w:line="360" w:lineRule="auto"/>
              <w:rPr>
                <w:rFonts w:hint="eastAsia" w:cs="方正仿宋_GBK" w:asciiTheme="majorEastAsia" w:hAnsiTheme="majorEastAsia" w:eastAsiaTheme="majorEastAsia"/>
                <w:sz w:val="24"/>
                <w:szCs w:val="24"/>
                <w:highlight w:val="none"/>
              </w:rPr>
            </w:pPr>
            <w:r>
              <w:rPr>
                <w:rFonts w:hint="eastAsia" w:ascii="宋体" w:hAnsi="宋体" w:cs="宋体"/>
                <w:b/>
                <w:bCs/>
                <w:color w:val="auto"/>
                <w:sz w:val="24"/>
                <w:szCs w:val="24"/>
                <w:highlight w:val="none"/>
              </w:rPr>
              <w:t>根据最新《云南省医疗服务价格文件汇编》收费标准计费规定进行计价，最终以</w:t>
            </w:r>
            <w:r>
              <w:rPr>
                <w:rFonts w:hint="eastAsia" w:ascii="宋体" w:hAnsi="宋体" w:cs="宋体"/>
                <w:b/>
                <w:bCs/>
                <w:color w:val="auto"/>
                <w:sz w:val="24"/>
                <w:szCs w:val="24"/>
                <w:highlight w:val="none"/>
                <w:lang w:val="en-US" w:eastAsia="zh-CN"/>
              </w:rPr>
              <w:t>采购人提供外送服务清单</w:t>
            </w:r>
            <w:r>
              <w:rPr>
                <w:rFonts w:hint="eastAsia" w:ascii="宋体" w:hAnsi="宋体" w:cs="宋体"/>
                <w:b/>
                <w:bCs/>
                <w:color w:val="auto"/>
                <w:sz w:val="24"/>
                <w:szCs w:val="24"/>
                <w:highlight w:val="none"/>
              </w:rPr>
              <w:t>的</w:t>
            </w:r>
            <w:r>
              <w:rPr>
                <w:rFonts w:hint="eastAsia" w:ascii="宋体" w:hAnsi="宋体" w:cs="宋体"/>
                <w:b/>
                <w:bCs/>
                <w:color w:val="auto"/>
                <w:sz w:val="24"/>
                <w:szCs w:val="24"/>
                <w:highlight w:val="none"/>
                <w:lang w:val="en-US" w:eastAsia="zh-CN"/>
              </w:rPr>
              <w:t>结算金额</w:t>
            </w:r>
            <w:r>
              <w:rPr>
                <w:rFonts w:hint="eastAsia" w:ascii="宋体" w:hAnsi="宋体" w:cs="宋体"/>
                <w:b/>
                <w:bCs/>
                <w:color w:val="auto"/>
                <w:sz w:val="24"/>
                <w:szCs w:val="24"/>
                <w:highlight w:val="none"/>
              </w:rPr>
              <w:t>基础上下浮xx% 的形式进行</w:t>
            </w:r>
            <w:r>
              <w:rPr>
                <w:rFonts w:hint="eastAsia" w:ascii="宋体" w:hAnsi="宋体" w:cs="宋体"/>
                <w:b/>
                <w:bCs/>
                <w:color w:val="auto"/>
                <w:sz w:val="24"/>
                <w:szCs w:val="24"/>
                <w:highlight w:val="none"/>
                <w:lang w:val="en-US" w:eastAsia="zh-CN"/>
              </w:rPr>
              <w:t>谈判</w:t>
            </w:r>
            <w:r>
              <w:rPr>
                <w:rFonts w:hint="eastAsia" w:ascii="宋体" w:hAnsi="宋体" w:cs="宋体"/>
                <w:b/>
                <w:bCs/>
                <w:color w:val="auto"/>
                <w:sz w:val="24"/>
                <w:szCs w:val="24"/>
                <w:highlight w:val="none"/>
              </w:rPr>
              <w:t>报价</w:t>
            </w:r>
          </w:p>
        </w:tc>
      </w:tr>
      <w:tr w14:paraId="31CB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00B319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74CCA6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18C6FCCB">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具备《中华人民共和国政府采购法》第二十二条规定的条件：</w:t>
            </w:r>
          </w:p>
          <w:p w14:paraId="10C9CDEA">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1.1在中国境内注册，能在国内合法提供采购要求及其相应的服务能力，并持有效的企业法人营业执照；供应商自行承诺符合《中华人民共和国政府采购法》第二十二条规定及《中华人民共和国政府采购法实施条例》第十七条的相关要求</w:t>
            </w:r>
            <w:r>
              <w:rPr>
                <w:rFonts w:hint="eastAsia" w:ascii="宋体" w:hAnsi="宋体" w:eastAsia="宋体" w:cs="宋体"/>
                <w:i w:val="0"/>
                <w:iCs w:val="0"/>
                <w:color w:val="auto"/>
                <w:sz w:val="24"/>
                <w:szCs w:val="24"/>
                <w:highlight w:val="none"/>
                <w:lang w:eastAsia="zh-CN"/>
              </w:rPr>
              <w:t>；</w:t>
            </w:r>
          </w:p>
          <w:p w14:paraId="1B2C8646">
            <w:pPr>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供应商未被列入“信用中国”网站（www.creditchina.gov.cn）“严重失信主体名单”及中国政府采购网（www.ccgp.gov.cn）“政府采购严重违法失信行为信息记录”（失信信息查询结果由谈判（采购）代理机构负责在项目开标后评审会议开始前查询、截图）</w:t>
            </w:r>
            <w:r>
              <w:rPr>
                <w:rFonts w:hint="eastAsia" w:ascii="宋体" w:hAnsi="宋体" w:eastAsia="宋体" w:cs="宋体"/>
                <w:color w:val="auto"/>
                <w:sz w:val="24"/>
                <w:szCs w:val="24"/>
                <w:highlight w:val="none"/>
              </w:rPr>
              <w:t>。</w:t>
            </w:r>
          </w:p>
          <w:p w14:paraId="097BB856">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sz w:val="24"/>
                <w:szCs w:val="24"/>
                <w:highlight w:val="none"/>
                <w:lang w:eastAsia="zh-CN"/>
              </w:rPr>
              <w:t>2、落实政府采购政策需满足的资格要求：本项目不属于专门面向中小企业、监狱企</w:t>
            </w:r>
            <w:r>
              <w:rPr>
                <w:rFonts w:hint="eastAsia" w:ascii="宋体" w:hAnsi="宋体" w:eastAsia="宋体" w:cs="宋体"/>
                <w:i w:val="0"/>
                <w:iCs w:val="0"/>
                <w:color w:val="auto"/>
                <w:sz w:val="24"/>
                <w:szCs w:val="24"/>
                <w:highlight w:val="none"/>
                <w:lang w:val="en-US" w:eastAsia="zh-CN"/>
              </w:rPr>
              <w:t>业、残疾人福利企业采购项目。</w:t>
            </w:r>
          </w:p>
          <w:p w14:paraId="4C41CCF1">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3、本项目的特定资格要求：</w:t>
            </w:r>
          </w:p>
          <w:p w14:paraId="5817905F">
            <w:pPr>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w:t>
            </w:r>
            <w:r>
              <w:rPr>
                <w:rFonts w:hint="eastAsia" w:ascii="宋体" w:hAnsi="宋体" w:cs="宋体"/>
                <w:color w:val="auto"/>
                <w:sz w:val="24"/>
                <w:szCs w:val="24"/>
                <w:highlight w:val="none"/>
                <w:lang w:eastAsia="zh-CN"/>
              </w:rPr>
              <w:t>供应商具备行政主管部门颁发的医疗机构执业许可证，许可范围包含相关检验服务。</w:t>
            </w:r>
          </w:p>
          <w:p w14:paraId="2B275F23">
            <w:pPr>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3.2.本次采购不接受联合体参与谈判。</w:t>
            </w:r>
          </w:p>
        </w:tc>
      </w:tr>
      <w:tr w14:paraId="079D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1B0DE92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74703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4C2512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不组织</w:t>
            </w:r>
          </w:p>
        </w:tc>
      </w:tr>
      <w:tr w14:paraId="61BA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2BD3DFA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BE0673A">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预备会</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711894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不召开</w:t>
            </w:r>
          </w:p>
        </w:tc>
      </w:tr>
      <w:tr w14:paraId="4ADD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A0051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B11EF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供应商提出问题的截止时间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16BF8D7B">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天前</w:t>
            </w:r>
          </w:p>
        </w:tc>
      </w:tr>
      <w:tr w14:paraId="40FE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6251A6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8A36C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采购人书面澄清的时间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3972B4C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收到要求澄清</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文件之日起1日内</w:t>
            </w:r>
          </w:p>
        </w:tc>
      </w:tr>
      <w:tr w14:paraId="5422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D2BD17B">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399AA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51ADEE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不允许</w:t>
            </w:r>
          </w:p>
        </w:tc>
      </w:tr>
      <w:tr w14:paraId="5996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346D8C6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E85489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40B08D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不允许</w:t>
            </w:r>
          </w:p>
        </w:tc>
      </w:tr>
      <w:tr w14:paraId="75EF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632445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DE9AB3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文件的其他文件</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033C35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书面澄清及书面补充文件(如有)。</w:t>
            </w:r>
          </w:p>
        </w:tc>
      </w:tr>
      <w:tr w14:paraId="4E7B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06E028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D1AF05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供应商要求澄清</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文件的截止时间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764ADC52">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天前</w:t>
            </w:r>
          </w:p>
        </w:tc>
      </w:tr>
      <w:tr w14:paraId="255F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796A833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5E22CC2D">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电子响应文件递交截止时间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49C4AF1">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202</w:t>
            </w:r>
            <w:r>
              <w:rPr>
                <w:rFonts w:hint="eastAsia" w:ascii="宋体" w:hAnsi="宋体" w:cs="宋体"/>
                <w:b/>
                <w:color w:val="auto"/>
                <w:sz w:val="24"/>
                <w:szCs w:val="24"/>
                <w:highlight w:val="none"/>
                <w:u w:val="single"/>
                <w:lang w:val="en-US" w:eastAsia="zh-CN"/>
              </w:rPr>
              <w:t>4</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u w:val="single"/>
                <w:lang w:val="en-US" w:eastAsia="zh-CN"/>
              </w:rPr>
              <w:t>05</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r>
      <w:tr w14:paraId="254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6218F7A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9580C4A">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纸质</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41402FF1">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202</w:t>
            </w:r>
            <w:r>
              <w:rPr>
                <w:rFonts w:hint="eastAsia" w:ascii="宋体" w:hAnsi="宋体" w:cs="宋体"/>
                <w:b/>
                <w:color w:val="auto"/>
                <w:sz w:val="24"/>
                <w:szCs w:val="24"/>
                <w:highlight w:val="none"/>
                <w:u w:val="single"/>
                <w:lang w:val="en-US" w:eastAsia="zh-CN"/>
              </w:rPr>
              <w:t>4</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u w:val="single"/>
                <w:lang w:val="en-US" w:eastAsia="zh-CN"/>
              </w:rPr>
              <w:t>05</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val="en-US" w:eastAsia="zh-CN"/>
              </w:rPr>
              <w:t>15</w:t>
            </w:r>
            <w:r>
              <w:rPr>
                <w:rFonts w:hint="eastAsia" w:ascii="宋体" w:hAnsi="宋体" w:eastAsia="宋体" w:cs="宋体"/>
                <w:b/>
                <w:color w:val="auto"/>
                <w:sz w:val="24"/>
                <w:szCs w:val="24"/>
                <w:highlight w:val="none"/>
              </w:rPr>
              <w:t>时</w:t>
            </w:r>
            <w:r>
              <w:rPr>
                <w:rFonts w:hint="eastAsia" w:ascii="宋体" w:hAnsi="宋体" w:cs="宋体"/>
                <w:b/>
                <w:color w:val="auto"/>
                <w:sz w:val="24"/>
                <w:szCs w:val="24"/>
                <w:highlight w:val="none"/>
                <w:lang w:val="en-US" w:eastAsia="zh-CN"/>
              </w:rPr>
              <w:t>00</w:t>
            </w:r>
            <w:r>
              <w:rPr>
                <w:rFonts w:hint="eastAsia" w:ascii="宋体" w:hAnsi="宋体" w:eastAsia="宋体" w:cs="宋体"/>
                <w:b/>
                <w:color w:val="auto"/>
                <w:sz w:val="24"/>
                <w:szCs w:val="24"/>
                <w:highlight w:val="none"/>
              </w:rPr>
              <w:t>分</w:t>
            </w:r>
          </w:p>
        </w:tc>
      </w:tr>
      <w:tr w14:paraId="327C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2272B29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1.9.4</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15B02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供应商确认收到</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文件澄清的时间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335B15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在收到相应澄清文件后 24 小时内</w:t>
            </w:r>
          </w:p>
        </w:tc>
      </w:tr>
      <w:tr w14:paraId="6083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595F4D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E368D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供应商确认收到</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文件修改的时间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1C6E10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在收到相应修改文件后 24 小时内</w:t>
            </w:r>
          </w:p>
        </w:tc>
      </w:tr>
      <w:tr w14:paraId="42C1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0D07393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759DB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构成响应文件的其他材料</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7DC2E2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文件规定外，与本项目有关的</w:t>
            </w:r>
          </w:p>
        </w:tc>
      </w:tr>
      <w:tr w14:paraId="189C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98E5F4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FACEF69">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4DD0A3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为90日历天，从</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之日算起</w:t>
            </w:r>
          </w:p>
        </w:tc>
      </w:tr>
      <w:tr w14:paraId="19C2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33BC9C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B41BB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7CFE47F9">
            <w:pPr>
              <w:snapToGrid w:val="0"/>
              <w:spacing w:line="360" w:lineRule="auto"/>
              <w:jc w:val="left"/>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本项目不递交谈判保证金</w:t>
            </w:r>
          </w:p>
        </w:tc>
      </w:tr>
      <w:tr w14:paraId="4F1F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2D47F59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2D9CA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C5569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文件格式要求签字、盖章</w:t>
            </w:r>
          </w:p>
        </w:tc>
      </w:tr>
      <w:tr w14:paraId="759B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7AF646D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772A2D5">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rPr>
              <w:t>响应文件份数</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2C3B055A">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正本壹份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副本贰份</w:t>
            </w:r>
            <w:r>
              <w:rPr>
                <w:rFonts w:hint="eastAsia" w:ascii="宋体" w:hAnsi="宋体" w:eastAsia="宋体" w:cs="宋体"/>
                <w:color w:val="auto"/>
                <w:sz w:val="24"/>
                <w:szCs w:val="24"/>
                <w:highlight w:val="none"/>
              </w:rPr>
              <w:t>；编制目录及连续的页码，用A4纸打印并装订成册，不得采用活页装订。</w:t>
            </w:r>
            <w:r>
              <w:rPr>
                <w:rFonts w:hint="eastAsia" w:ascii="宋体" w:hAnsi="宋体" w:eastAsia="宋体" w:cs="宋体"/>
                <w:b/>
                <w:bCs/>
                <w:color w:val="000000" w:themeColor="text1"/>
                <w:sz w:val="24"/>
                <w:szCs w:val="24"/>
                <w:highlight w:val="none"/>
                <w14:textFill>
                  <w14:solidFill>
                    <w14:schemeClr w14:val="tx1"/>
                  </w14:solidFill>
                </w14:textFill>
              </w:rPr>
              <w:t>电子标书（U盘或光盘）壹份</w:t>
            </w:r>
            <w:r>
              <w:rPr>
                <w:rFonts w:hint="eastAsia" w:ascii="宋体" w:hAnsi="宋体" w:eastAsia="宋体" w:cs="宋体"/>
                <w:color w:val="000000" w:themeColor="text1"/>
                <w:sz w:val="24"/>
                <w:szCs w:val="24"/>
                <w:highlight w:val="none"/>
                <w14:textFill>
                  <w14:solidFill>
                    <w14:schemeClr w14:val="tx1"/>
                  </w14:solidFill>
                </w14:textFill>
              </w:rPr>
              <w:t>（应包括纸质标书的全部内容）。</w:t>
            </w:r>
          </w:p>
        </w:tc>
      </w:tr>
      <w:tr w14:paraId="0119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8BE844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D1F3C6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574088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倡豪华装帧，响应文件的正本与副本应分别装订成册，响应文件的正本与副本不得采用活页夹等可随时拆换的方式装订。响应文件应编制目录，否则，采购人对由于响应文件装订松散而造成的丢失或其它后果不承担任何责任。</w:t>
            </w:r>
          </w:p>
        </w:tc>
      </w:tr>
      <w:tr w14:paraId="4E64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11656B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AF7B92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封套上应载明信息</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4618DF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21289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采购人名称： </w:t>
            </w:r>
          </w:p>
          <w:p w14:paraId="2046AC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p>
          <w:p w14:paraId="1AAC7C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供应商地址及邮政编码： </w:t>
            </w:r>
          </w:p>
          <w:p w14:paraId="30A9C2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分前不得开启</w:t>
            </w:r>
          </w:p>
        </w:tc>
      </w:tr>
      <w:tr w14:paraId="69C3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317BD25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1C886C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递交电子响应文件地点</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23C37E6D">
            <w:pPr>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cs="宋体"/>
                <w:sz w:val="24"/>
                <w:szCs w:val="24"/>
                <w:highlight w:val="none"/>
              </w:rPr>
              <w:t>供应商登录云南省玉溪市政府采购限额标准以下服务市场网（https://cg.zbj.com/)，</w:t>
            </w:r>
            <w:r>
              <w:rPr>
                <w:rFonts w:hint="eastAsia" w:ascii="宋体" w:hAnsi="宋体" w:cs="宋体"/>
                <w:sz w:val="24"/>
                <w:szCs w:val="24"/>
                <w:highlight w:val="none"/>
                <w:lang w:val="en-US" w:eastAsia="zh-CN"/>
              </w:rPr>
              <w:t>并</w:t>
            </w:r>
            <w:r>
              <w:rPr>
                <w:rFonts w:hint="eastAsia" w:ascii="宋体" w:hAnsi="宋体" w:cs="宋体"/>
                <w:sz w:val="24"/>
                <w:szCs w:val="24"/>
                <w:highlight w:val="none"/>
              </w:rPr>
              <w:t>在</w:t>
            </w:r>
            <w:r>
              <w:rPr>
                <w:rFonts w:hint="eastAsia" w:ascii="宋体" w:hAnsi="宋体" w:cs="宋体"/>
                <w:sz w:val="24"/>
                <w:szCs w:val="24"/>
                <w:highlight w:val="none"/>
                <w:lang w:val="en-US" w:eastAsia="zh-CN"/>
              </w:rPr>
              <w:t>电子响应文件递交</w:t>
            </w:r>
            <w:r>
              <w:rPr>
                <w:rFonts w:hint="eastAsia" w:ascii="宋体" w:hAnsi="宋体" w:cs="宋体"/>
                <w:sz w:val="24"/>
                <w:szCs w:val="24"/>
                <w:highlight w:val="none"/>
              </w:rPr>
              <w:t>截止时间</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202</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lang w:eastAsia="zh-CN"/>
              </w:rPr>
              <w:t>年</w:t>
            </w:r>
            <w:r>
              <w:rPr>
                <w:rFonts w:hint="eastAsia" w:ascii="宋体" w:hAnsi="宋体" w:cs="宋体"/>
                <w:b/>
                <w:bCs/>
                <w:sz w:val="24"/>
                <w:szCs w:val="24"/>
                <w:highlight w:val="none"/>
                <w:lang w:val="en-US" w:eastAsia="zh-CN"/>
              </w:rPr>
              <w:t>07</w:t>
            </w:r>
            <w:r>
              <w:rPr>
                <w:rFonts w:hint="eastAsia" w:ascii="宋体" w:hAnsi="宋体" w:cs="宋体"/>
                <w:b/>
                <w:bCs/>
                <w:sz w:val="24"/>
                <w:szCs w:val="24"/>
                <w:highlight w:val="none"/>
                <w:lang w:eastAsia="zh-CN"/>
              </w:rPr>
              <w:t>月</w:t>
            </w:r>
            <w:r>
              <w:rPr>
                <w:rFonts w:hint="eastAsia" w:ascii="宋体" w:hAnsi="宋体" w:cs="宋体"/>
                <w:b/>
                <w:bCs/>
                <w:sz w:val="24"/>
                <w:szCs w:val="24"/>
                <w:highlight w:val="none"/>
                <w:lang w:val="en-US" w:eastAsia="zh-CN"/>
              </w:rPr>
              <w:t>05</w:t>
            </w:r>
            <w:r>
              <w:rPr>
                <w:rFonts w:hint="eastAsia" w:ascii="宋体" w:hAnsi="宋体" w:cs="宋体"/>
                <w:b/>
                <w:bCs/>
                <w:sz w:val="24"/>
                <w:szCs w:val="24"/>
                <w:highlight w:val="none"/>
                <w:lang w:eastAsia="zh-CN"/>
              </w:rPr>
              <w:t>日</w:t>
            </w:r>
            <w:r>
              <w:rPr>
                <w:rFonts w:hint="eastAsia" w:ascii="宋体" w:hAnsi="宋体" w:cs="宋体"/>
                <w:b/>
                <w:bCs/>
                <w:sz w:val="24"/>
                <w:szCs w:val="24"/>
                <w:highlight w:val="none"/>
                <w:lang w:val="en-US" w:eastAsia="zh-CN"/>
              </w:rPr>
              <w:t>14</w:t>
            </w:r>
            <w:r>
              <w:rPr>
                <w:rFonts w:hint="eastAsia" w:ascii="宋体" w:hAnsi="宋体" w:cs="宋体"/>
                <w:b/>
                <w:bCs/>
                <w:sz w:val="24"/>
                <w:szCs w:val="24"/>
                <w:highlight w:val="none"/>
                <w:lang w:eastAsia="zh-CN"/>
              </w:rPr>
              <w:t>时</w:t>
            </w:r>
            <w:r>
              <w:rPr>
                <w:rFonts w:hint="eastAsia" w:ascii="宋体" w:hAnsi="宋体" w:cs="宋体"/>
                <w:b/>
                <w:bCs/>
                <w:sz w:val="24"/>
                <w:szCs w:val="24"/>
                <w:highlight w:val="none"/>
                <w:lang w:val="en-US" w:eastAsia="zh-CN"/>
              </w:rPr>
              <w:t>30</w:t>
            </w:r>
            <w:r>
              <w:rPr>
                <w:rFonts w:hint="eastAsia" w:ascii="宋体" w:hAnsi="宋体" w:cs="宋体"/>
                <w:b/>
                <w:bCs/>
                <w:sz w:val="24"/>
                <w:szCs w:val="24"/>
                <w:highlight w:val="none"/>
                <w:lang w:eastAsia="zh-CN"/>
              </w:rPr>
              <w:t>分</w:t>
            </w:r>
            <w:r>
              <w:rPr>
                <w:rFonts w:hint="eastAsia" w:ascii="宋体" w:hAnsi="宋体" w:cs="宋体"/>
                <w:sz w:val="24"/>
                <w:szCs w:val="24"/>
                <w:highlight w:val="none"/>
                <w:lang w:eastAsia="zh-CN"/>
              </w:rPr>
              <w:t>）</w:t>
            </w:r>
            <w:r>
              <w:rPr>
                <w:rFonts w:hint="eastAsia" w:ascii="宋体" w:hAnsi="宋体" w:cs="宋体"/>
                <w:sz w:val="24"/>
                <w:szCs w:val="24"/>
                <w:highlight w:val="none"/>
              </w:rPr>
              <w:t>前上传电子版文件（加盖公章）</w:t>
            </w:r>
            <w:r>
              <w:rPr>
                <w:rFonts w:hint="eastAsia" w:ascii="宋体" w:hAnsi="宋体" w:cs="宋体"/>
                <w:sz w:val="24"/>
                <w:szCs w:val="24"/>
                <w:highlight w:val="none"/>
                <w:lang w:eastAsia="zh-CN"/>
              </w:rPr>
              <w:t>。</w:t>
            </w:r>
          </w:p>
        </w:tc>
      </w:tr>
      <w:tr w14:paraId="257A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2B69527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6C901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rPr>
              <w:t>响应文件地点</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0B3180D8">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u w:val="single"/>
                <w:lang w:eastAsia="zh-CN"/>
              </w:rPr>
              <w:t>国鼎和诚项目管理集团有限公司</w:t>
            </w:r>
            <w:r>
              <w:rPr>
                <w:rFonts w:hint="eastAsia" w:ascii="宋体" w:hAnsi="宋体" w:eastAsia="宋体" w:cs="宋体"/>
                <w:b/>
                <w:bCs/>
                <w:color w:val="auto"/>
                <w:sz w:val="24"/>
                <w:szCs w:val="24"/>
                <w:highlight w:val="none"/>
                <w:u w:val="single"/>
              </w:rPr>
              <w:t>会议室（</w:t>
            </w:r>
            <w:r>
              <w:rPr>
                <w:rFonts w:hint="eastAsia" w:ascii="宋体" w:hAnsi="宋体" w:eastAsia="宋体" w:cs="宋体"/>
                <w:b/>
                <w:bCs/>
                <w:color w:val="auto"/>
                <w:sz w:val="24"/>
                <w:szCs w:val="24"/>
                <w:highlight w:val="none"/>
                <w:u w:val="single"/>
                <w:lang w:eastAsia="zh-CN"/>
              </w:rPr>
              <w:t>云南省玉溪市红塔区李棋街道兰溪路天竹阁</w:t>
            </w:r>
            <w:r>
              <w:rPr>
                <w:rFonts w:hint="eastAsia" w:ascii="宋体" w:hAnsi="宋体" w:eastAsia="宋体" w:cs="宋体"/>
                <w:b/>
                <w:bCs/>
                <w:color w:val="auto"/>
                <w:sz w:val="24"/>
                <w:szCs w:val="24"/>
                <w:highlight w:val="none"/>
                <w:u w:val="single"/>
              </w:rPr>
              <w:t>）</w:t>
            </w:r>
          </w:p>
        </w:tc>
      </w:tr>
      <w:tr w14:paraId="745D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70EA11E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0676A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是否退还响应文件</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0BBF2F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p w14:paraId="376016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w:t>
            </w:r>
          </w:p>
        </w:tc>
      </w:tr>
      <w:tr w14:paraId="4E26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3601F7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6585D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谈判时间和地点</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1C21E35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谈判时间：</w:t>
            </w:r>
            <w:r>
              <w:rPr>
                <w:rFonts w:hint="eastAsia" w:ascii="宋体" w:hAnsi="宋体" w:eastAsia="宋体" w:cs="宋体"/>
                <w:b/>
                <w:color w:val="auto"/>
                <w:sz w:val="24"/>
                <w:szCs w:val="24"/>
                <w:highlight w:val="none"/>
                <w:u w:val="single"/>
              </w:rPr>
              <w:t>202</w:t>
            </w:r>
            <w:r>
              <w:rPr>
                <w:rFonts w:hint="eastAsia" w:ascii="宋体" w:hAnsi="宋体" w:cs="宋体"/>
                <w:b/>
                <w:color w:val="auto"/>
                <w:sz w:val="24"/>
                <w:szCs w:val="24"/>
                <w:highlight w:val="none"/>
                <w:u w:val="single"/>
                <w:lang w:val="en-US" w:eastAsia="zh-CN"/>
              </w:rPr>
              <w:t>4</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u w:val="single"/>
                <w:lang w:val="en-US" w:eastAsia="zh-CN"/>
              </w:rPr>
              <w:t>05</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u w:val="single"/>
                <w:lang w:val="en-US" w:eastAsia="zh-CN"/>
              </w:rPr>
              <w:t>15</w:t>
            </w:r>
            <w:r>
              <w:rPr>
                <w:rFonts w:hint="eastAsia" w:ascii="宋体" w:hAnsi="宋体" w:eastAsia="宋体" w:cs="宋体"/>
                <w:b/>
                <w:color w:val="auto"/>
                <w:sz w:val="24"/>
                <w:szCs w:val="24"/>
                <w:highlight w:val="none"/>
              </w:rPr>
              <w:t>点</w:t>
            </w:r>
            <w:r>
              <w:rPr>
                <w:rFonts w:hint="eastAsia" w:ascii="宋体" w:hAnsi="宋体" w:cs="宋体"/>
                <w:b/>
                <w:color w:val="auto"/>
                <w:sz w:val="24"/>
                <w:szCs w:val="24"/>
                <w:highlight w:val="none"/>
                <w:u w:val="single"/>
                <w:lang w:val="en-US" w:eastAsia="zh-CN"/>
              </w:rPr>
              <w:t>00</w:t>
            </w:r>
            <w:r>
              <w:rPr>
                <w:rFonts w:hint="eastAsia" w:ascii="宋体" w:hAnsi="宋体" w:eastAsia="宋体" w:cs="宋体"/>
                <w:b/>
                <w:color w:val="auto"/>
                <w:sz w:val="24"/>
                <w:szCs w:val="24"/>
                <w:highlight w:val="none"/>
              </w:rPr>
              <w:t xml:space="preserve">分； </w:t>
            </w:r>
          </w:p>
          <w:p w14:paraId="5F7DCBC5">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 点：</w:t>
            </w:r>
            <w:r>
              <w:rPr>
                <w:rFonts w:hint="eastAsia" w:ascii="宋体" w:hAnsi="宋体" w:cs="宋体"/>
                <w:b/>
                <w:bCs/>
                <w:color w:val="auto"/>
                <w:sz w:val="24"/>
                <w:szCs w:val="24"/>
                <w:highlight w:val="none"/>
                <w:u w:val="single"/>
                <w:lang w:eastAsia="zh-CN"/>
              </w:rPr>
              <w:t>国鼎和诚项目管理集团有限公司</w:t>
            </w:r>
            <w:r>
              <w:rPr>
                <w:rFonts w:hint="eastAsia" w:ascii="宋体" w:hAnsi="宋体" w:eastAsia="宋体" w:cs="宋体"/>
                <w:b/>
                <w:bCs/>
                <w:color w:val="auto"/>
                <w:sz w:val="24"/>
                <w:szCs w:val="24"/>
                <w:highlight w:val="none"/>
                <w:u w:val="single"/>
              </w:rPr>
              <w:t>会议室（</w:t>
            </w:r>
            <w:r>
              <w:rPr>
                <w:rFonts w:hint="eastAsia" w:ascii="宋体" w:hAnsi="宋体" w:eastAsia="宋体" w:cs="宋体"/>
                <w:b/>
                <w:bCs/>
                <w:color w:val="auto"/>
                <w:sz w:val="24"/>
                <w:szCs w:val="24"/>
                <w:highlight w:val="none"/>
                <w:u w:val="single"/>
                <w:lang w:eastAsia="zh-CN"/>
              </w:rPr>
              <w:t>云南省玉溪市红塔区李棋街道兰溪路天竹阁</w:t>
            </w:r>
            <w:r>
              <w:rPr>
                <w:rFonts w:hint="eastAsia" w:ascii="宋体" w:hAnsi="宋体" w:eastAsia="宋体" w:cs="宋体"/>
                <w:b/>
                <w:bCs/>
                <w:color w:val="auto"/>
                <w:sz w:val="24"/>
                <w:szCs w:val="24"/>
                <w:highlight w:val="none"/>
                <w:u w:val="single"/>
              </w:rPr>
              <w:t>）</w:t>
            </w:r>
          </w:p>
        </w:tc>
      </w:tr>
      <w:tr w14:paraId="201A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0732E5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23DF9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谈判程序</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3F869E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）密封情况检查：经工作人员检查密封完好</w:t>
            </w:r>
          </w:p>
          <w:p w14:paraId="39CA14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）谈判顺序：随机开启</w:t>
            </w:r>
          </w:p>
        </w:tc>
      </w:tr>
      <w:tr w14:paraId="336E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15133B5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39366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谈判小组的组建</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B091CE7">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谈判小组构成：3人及以上单数</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6D72F36">
            <w:pPr>
              <w:spacing w:line="360" w:lineRule="auto"/>
              <w:rPr>
                <w:rFonts w:hint="eastAsia" w:ascii="宋体" w:hAnsi="宋体" w:eastAsia="宋体" w:cs="宋体"/>
                <w:color w:val="auto"/>
                <w:sz w:val="24"/>
                <w:szCs w:val="24"/>
                <w:highlight w:val="none"/>
              </w:rPr>
            </w:pPr>
            <w:r>
              <w:rPr>
                <w:rFonts w:hint="eastAsia" w:ascii="宋体" w:hAnsi="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专家确定方式：从专家库随机抽取。</w:t>
            </w:r>
          </w:p>
        </w:tc>
      </w:tr>
      <w:tr w14:paraId="3203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26F875A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F4A64B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是否授权谈判小组确定</w:t>
            </w:r>
            <w:r>
              <w:rPr>
                <w:rFonts w:hint="eastAsia" w:ascii="宋体" w:hAnsi="宋体" w:cs="宋体"/>
                <w:color w:val="auto"/>
                <w:sz w:val="24"/>
                <w:szCs w:val="24"/>
                <w:highlight w:val="none"/>
                <w:lang w:eastAsia="zh-CN"/>
              </w:rPr>
              <w:t>成交人</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24AE60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p w14:paraId="12D3DC07">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否，推荐的</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候选人数</w:t>
            </w:r>
            <w:r>
              <w:rPr>
                <w:rFonts w:hint="eastAsia" w:ascii="宋体" w:hAnsi="宋体" w:cs="宋体"/>
                <w:color w:val="auto"/>
                <w:sz w:val="24"/>
                <w:szCs w:val="24"/>
                <w:highlight w:val="none"/>
                <w:lang w:val="en-US" w:eastAsia="zh-CN"/>
              </w:rPr>
              <w:t>不少于2名</w:t>
            </w:r>
          </w:p>
        </w:tc>
      </w:tr>
      <w:tr w14:paraId="12B7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3E27BC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07412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BF6920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履约保证金的形式:支票、汇票、本票或者金融机构、担保机构出具的保函等非现金形式</w:t>
            </w:r>
          </w:p>
          <w:p w14:paraId="2553EB4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履约保证金的金额:无</w:t>
            </w:r>
          </w:p>
        </w:tc>
      </w:tr>
      <w:tr w14:paraId="7A4C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841" w:type="dxa"/>
            <w:gridSpan w:val="3"/>
            <w:noWrap w:val="0"/>
            <w:vAlign w:val="center"/>
          </w:tcPr>
          <w:p w14:paraId="47301E8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9．需要补充的其他内容</w:t>
            </w:r>
          </w:p>
        </w:tc>
      </w:tr>
      <w:tr w14:paraId="2CB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7" w:type="dxa"/>
            <w:noWrap w:val="0"/>
            <w:vAlign w:val="center"/>
          </w:tcPr>
          <w:p w14:paraId="26F1CCC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1</w:t>
            </w:r>
          </w:p>
        </w:tc>
        <w:tc>
          <w:tcPr>
            <w:tcW w:w="2148" w:type="dxa"/>
            <w:noWrap w:val="0"/>
            <w:vAlign w:val="center"/>
          </w:tcPr>
          <w:p w14:paraId="4FFEC4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的情形</w:t>
            </w:r>
          </w:p>
        </w:tc>
        <w:tc>
          <w:tcPr>
            <w:tcW w:w="6756" w:type="dxa"/>
            <w:noWrap w:val="0"/>
            <w:vAlign w:val="center"/>
          </w:tcPr>
          <w:p w14:paraId="639F935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自发布</w:t>
            </w:r>
            <w:r>
              <w:rPr>
                <w:rFonts w:hint="eastAsia" w:ascii="宋体" w:hAnsi="宋体" w:eastAsia="宋体" w:cs="宋体"/>
                <w:color w:val="auto"/>
                <w:sz w:val="24"/>
                <w:szCs w:val="24"/>
                <w:highlight w:val="none"/>
                <w:lang w:val="en-US" w:eastAsia="zh-CN"/>
              </w:rPr>
              <w:t>谈判采购公告</w:t>
            </w:r>
            <w:r>
              <w:rPr>
                <w:rFonts w:hint="eastAsia" w:ascii="宋体" w:hAnsi="宋体" w:eastAsia="宋体" w:cs="宋体"/>
                <w:color w:val="auto"/>
                <w:sz w:val="24"/>
                <w:szCs w:val="24"/>
                <w:highlight w:val="none"/>
              </w:rPr>
              <w:t>之日起至报名截止时间止，报名单位不足</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家时，采购人须组织本项目重新</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tc>
      </w:tr>
      <w:tr w14:paraId="1262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noWrap w:val="0"/>
            <w:vAlign w:val="center"/>
          </w:tcPr>
          <w:p w14:paraId="1576D2C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2</w:t>
            </w:r>
          </w:p>
        </w:tc>
        <w:tc>
          <w:tcPr>
            <w:tcW w:w="2148" w:type="dxa"/>
            <w:noWrap w:val="0"/>
            <w:vAlign w:val="center"/>
          </w:tcPr>
          <w:p w14:paraId="5123ED5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同义词语</w:t>
            </w:r>
          </w:p>
        </w:tc>
        <w:tc>
          <w:tcPr>
            <w:tcW w:w="6756" w:type="dxa"/>
            <w:noWrap w:val="0"/>
            <w:vAlign w:val="center"/>
          </w:tcPr>
          <w:p w14:paraId="0481235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文件组成部分的“通用合同条款”、“专用合同条款”、“</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”等章节中出现的措辞“发包人”和“承包人”，在</w:t>
            </w:r>
            <w:r>
              <w:rPr>
                <w:rFonts w:hint="eastAsia" w:ascii="宋体" w:hAnsi="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阶段应当分别按“采购人”和“供应商”进行理解。</w:t>
            </w:r>
          </w:p>
        </w:tc>
      </w:tr>
      <w:tr w14:paraId="3E8C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7" w:type="dxa"/>
            <w:noWrap w:val="0"/>
            <w:vAlign w:val="center"/>
          </w:tcPr>
          <w:p w14:paraId="1124A13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3</w:t>
            </w:r>
          </w:p>
        </w:tc>
        <w:tc>
          <w:tcPr>
            <w:tcW w:w="2148" w:type="dxa"/>
            <w:noWrap w:val="0"/>
            <w:vAlign w:val="center"/>
          </w:tcPr>
          <w:p w14:paraId="67BDBC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w:t>
            </w:r>
          </w:p>
        </w:tc>
        <w:tc>
          <w:tcPr>
            <w:tcW w:w="6756" w:type="dxa"/>
            <w:noWrap w:val="0"/>
            <w:vAlign w:val="center"/>
          </w:tcPr>
          <w:p w14:paraId="15D8E09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文件中有特别规定外，仅适用于</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阶段的规定，按</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谈判采购公告</w:t>
            </w:r>
            <w:r>
              <w:rPr>
                <w:rFonts w:hint="eastAsia" w:ascii="宋体" w:hAnsi="宋体" w:eastAsia="宋体" w:cs="宋体"/>
                <w:color w:val="auto"/>
                <w:sz w:val="24"/>
                <w:szCs w:val="24"/>
                <w:highlight w:val="none"/>
              </w:rPr>
              <w:t>）、供应商须知、</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办法、响应文件格式的先后顺序解释；同一组成文件中就同一事项的规定或约定不一致的，以编排顺序在后者为准；同一组成文件不同版本之间有不一致的，以形成时间在后者为准，按本条款仍不能形成结论的由采购人负责解释。</w:t>
            </w:r>
          </w:p>
        </w:tc>
      </w:tr>
      <w:tr w14:paraId="2FC3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7" w:type="dxa"/>
            <w:noWrap w:val="0"/>
            <w:vAlign w:val="center"/>
          </w:tcPr>
          <w:p w14:paraId="71E1B01D">
            <w:pPr>
              <w:spacing w:line="360" w:lineRule="auto"/>
              <w:jc w:val="center"/>
              <w:rPr>
                <w:rFonts w:hint="eastAsia" w:ascii="宋体" w:hAnsi="宋体" w:eastAsia="宋体" w:cs="宋体"/>
                <w:color w:val="auto"/>
                <w:sz w:val="24"/>
                <w:szCs w:val="24"/>
                <w:highlight w:val="none"/>
                <w:lang w:val="en-US" w:eastAsia="zh-CN"/>
              </w:rPr>
            </w:pPr>
            <w:bookmarkStart w:id="44" w:name="_Toc440665815"/>
            <w:bookmarkStart w:id="45" w:name="_Toc439975710"/>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4</w:t>
            </w:r>
          </w:p>
        </w:tc>
        <w:tc>
          <w:tcPr>
            <w:tcW w:w="2148" w:type="dxa"/>
            <w:noWrap w:val="0"/>
            <w:vAlign w:val="center"/>
          </w:tcPr>
          <w:p w14:paraId="036EA8E4">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付款方式</w:t>
            </w:r>
          </w:p>
        </w:tc>
        <w:tc>
          <w:tcPr>
            <w:tcW w:w="6756" w:type="dxa"/>
            <w:noWrap w:val="0"/>
            <w:vAlign w:val="center"/>
          </w:tcPr>
          <w:p w14:paraId="5D57A766">
            <w:pPr>
              <w:spacing w:line="360" w:lineRule="auto"/>
              <w:jc w:val="left"/>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据实结算，次月结算上月费用。</w:t>
            </w:r>
          </w:p>
        </w:tc>
      </w:tr>
    </w:tbl>
    <w:p w14:paraId="1A29322D">
      <w:pPr>
        <w:rPr>
          <w:rFonts w:hint="eastAsia" w:ascii="宋体" w:hAnsi="宋体" w:eastAsia="宋体" w:cs="宋体"/>
          <w:color w:val="auto"/>
          <w:highlight w:val="none"/>
        </w:rPr>
        <w:sectPr>
          <w:pgSz w:w="11905" w:h="16838"/>
          <w:pgMar w:top="1383" w:right="1366" w:bottom="1383" w:left="1366" w:header="907" w:footer="737" w:gutter="0"/>
          <w:pgBorders>
            <w:top w:val="none" w:sz="0" w:space="0"/>
            <w:left w:val="none" w:sz="0" w:space="0"/>
            <w:bottom w:val="single" w:color="auto" w:sz="4" w:space="1"/>
            <w:right w:val="none" w:sz="0" w:space="0"/>
          </w:pgBorders>
          <w:pgNumType w:fmt="decimal"/>
          <w:cols w:space="0" w:num="1"/>
          <w:rtlGutter w:val="0"/>
          <w:docGrid w:type="lines" w:linePitch="320" w:charSpace="0"/>
        </w:sectPr>
      </w:pPr>
    </w:p>
    <w:p w14:paraId="0D18771C">
      <w:pPr>
        <w:pStyle w:val="3"/>
        <w:rPr>
          <w:rFonts w:hint="eastAsia" w:ascii="宋体" w:hAnsi="宋体" w:eastAsia="宋体" w:cs="宋体"/>
          <w:color w:val="auto"/>
          <w:highlight w:val="none"/>
        </w:rPr>
      </w:pPr>
      <w:bookmarkStart w:id="46" w:name="_Toc8369"/>
      <w:bookmarkStart w:id="47" w:name="_Toc2663"/>
      <w:r>
        <w:rPr>
          <w:rFonts w:hint="eastAsia" w:ascii="宋体" w:hAnsi="宋体" w:eastAsia="宋体" w:cs="宋体"/>
          <w:color w:val="auto"/>
          <w:highlight w:val="none"/>
        </w:rPr>
        <w:t>1. 总则</w:t>
      </w:r>
      <w:bookmarkEnd w:id="46"/>
      <w:bookmarkEnd w:id="47"/>
    </w:p>
    <w:p w14:paraId="14244B0E">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1.1 项目概况</w:t>
      </w:r>
    </w:p>
    <w:p w14:paraId="7A097A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1.1.1根据有关法律、法规和规章的规定，本</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项目已具备</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条件，现对本项目进行</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w:t>
      </w:r>
    </w:p>
    <w:p w14:paraId="2A108A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本</w:t>
      </w:r>
      <w:r>
        <w:rPr>
          <w:rFonts w:hint="eastAsia" w:ascii="宋体" w:hAnsi="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项目采购人：见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2E626E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本项目采购代理机构：见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7BB92B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本谈判采购项目名称及编号：见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7576D9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本项目服务地点：见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13960B18">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1.2 资金来源和落实情况</w:t>
      </w:r>
    </w:p>
    <w:p w14:paraId="633FB9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1.2.1本谈判采购项目的资金来源：见供应商须知前附表。</w:t>
      </w:r>
    </w:p>
    <w:p w14:paraId="1BF629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本</w:t>
      </w:r>
      <w:r>
        <w:rPr>
          <w:rFonts w:hint="eastAsia" w:ascii="宋体" w:hAnsi="宋体" w:cs="宋体"/>
          <w:color w:val="auto"/>
          <w:sz w:val="24"/>
          <w:szCs w:val="24"/>
          <w:highlight w:val="none"/>
          <w:lang w:val="en-US" w:eastAsia="zh-CN"/>
        </w:rPr>
        <w:t>谈判采购项目</w:t>
      </w:r>
      <w:r>
        <w:rPr>
          <w:rFonts w:hint="eastAsia" w:ascii="宋体" w:hAnsi="宋体" w:eastAsia="宋体" w:cs="宋体"/>
          <w:color w:val="auto"/>
          <w:sz w:val="24"/>
          <w:szCs w:val="24"/>
          <w:highlight w:val="none"/>
        </w:rPr>
        <w:t>的资金落实情况：见供应商须知前附表。</w:t>
      </w:r>
    </w:p>
    <w:p w14:paraId="5ADCFF1E">
      <w:pPr>
        <w:spacing w:line="360" w:lineRule="auto"/>
        <w:rPr>
          <w:rStyle w:val="57"/>
          <w:rFonts w:hint="default" w:ascii="宋体" w:hAnsi="宋体" w:eastAsia="宋体" w:cs="宋体"/>
          <w:color w:val="auto"/>
          <w:sz w:val="24"/>
          <w:szCs w:val="24"/>
          <w:highlight w:val="none"/>
          <w:lang w:val="en-US" w:eastAsia="zh-CN"/>
        </w:rPr>
      </w:pPr>
      <w:r>
        <w:rPr>
          <w:rStyle w:val="57"/>
          <w:rFonts w:hint="eastAsia" w:ascii="宋体" w:hAnsi="宋体" w:eastAsia="宋体" w:cs="宋体"/>
          <w:color w:val="auto"/>
          <w:sz w:val="24"/>
          <w:szCs w:val="24"/>
          <w:highlight w:val="none"/>
        </w:rPr>
        <w:t xml:space="preserve">1.3 </w:t>
      </w:r>
      <w:r>
        <w:rPr>
          <w:rStyle w:val="57"/>
          <w:rFonts w:hint="eastAsia" w:ascii="宋体" w:hAnsi="宋体" w:cs="宋体"/>
          <w:color w:val="auto"/>
          <w:sz w:val="24"/>
          <w:szCs w:val="24"/>
          <w:highlight w:val="none"/>
          <w:lang w:val="en-US" w:eastAsia="zh-CN"/>
        </w:rPr>
        <w:t>采购</w:t>
      </w:r>
      <w:r>
        <w:rPr>
          <w:rStyle w:val="57"/>
          <w:rFonts w:hint="eastAsia" w:ascii="宋体" w:hAnsi="宋体" w:eastAsia="宋体" w:cs="宋体"/>
          <w:color w:val="auto"/>
          <w:sz w:val="24"/>
          <w:szCs w:val="24"/>
          <w:highlight w:val="none"/>
        </w:rPr>
        <w:t>内容、</w:t>
      </w:r>
      <w:r>
        <w:rPr>
          <w:rFonts w:hint="eastAsia" w:ascii="宋体" w:hAnsi="宋体" w:eastAsia="宋体" w:cs="宋体"/>
          <w:b/>
          <w:bCs/>
          <w:color w:val="auto"/>
          <w:sz w:val="24"/>
          <w:szCs w:val="24"/>
          <w:highlight w:val="none"/>
        </w:rPr>
        <w:t>合同</w:t>
      </w:r>
      <w:r>
        <w:rPr>
          <w:rFonts w:hint="eastAsia" w:ascii="宋体" w:hAnsi="宋体" w:cs="宋体"/>
          <w:b/>
          <w:bCs/>
          <w:color w:val="auto"/>
          <w:sz w:val="24"/>
          <w:szCs w:val="24"/>
          <w:highlight w:val="none"/>
          <w:lang w:val="en-US" w:eastAsia="zh-CN"/>
        </w:rPr>
        <w:t>履约</w:t>
      </w:r>
      <w:r>
        <w:rPr>
          <w:rFonts w:hint="eastAsia" w:ascii="宋体" w:hAnsi="宋体" w:eastAsia="宋体" w:cs="宋体"/>
          <w:b/>
          <w:bCs/>
          <w:color w:val="auto"/>
          <w:sz w:val="24"/>
          <w:szCs w:val="24"/>
          <w:highlight w:val="none"/>
        </w:rPr>
        <w:t>期限</w:t>
      </w:r>
      <w:r>
        <w:rPr>
          <w:rFonts w:hint="eastAsia" w:ascii="宋体" w:hAnsi="宋体" w:cs="宋体"/>
          <w:b/>
          <w:bCs/>
          <w:color w:val="auto"/>
          <w:sz w:val="24"/>
          <w:szCs w:val="24"/>
          <w:highlight w:val="none"/>
          <w:lang w:eastAsia="zh-CN"/>
        </w:rPr>
        <w:t>、</w:t>
      </w:r>
      <w:r>
        <w:rPr>
          <w:rStyle w:val="57"/>
          <w:rFonts w:hint="eastAsia" w:ascii="宋体" w:hAnsi="宋体" w:eastAsia="宋体" w:cs="宋体"/>
          <w:color w:val="auto"/>
          <w:sz w:val="24"/>
          <w:szCs w:val="24"/>
          <w:highlight w:val="none"/>
        </w:rPr>
        <w:t>质量要求</w:t>
      </w:r>
      <w:r>
        <w:rPr>
          <w:rStyle w:val="57"/>
          <w:rFonts w:hint="eastAsia" w:ascii="宋体" w:hAnsi="宋体" w:cs="宋体"/>
          <w:color w:val="auto"/>
          <w:sz w:val="24"/>
          <w:szCs w:val="24"/>
          <w:highlight w:val="none"/>
          <w:lang w:eastAsia="zh-CN"/>
        </w:rPr>
        <w:t>、</w:t>
      </w:r>
      <w:r>
        <w:rPr>
          <w:rStyle w:val="57"/>
          <w:rFonts w:hint="eastAsia" w:ascii="宋体" w:hAnsi="宋体" w:cs="宋体"/>
          <w:color w:val="auto"/>
          <w:sz w:val="24"/>
          <w:szCs w:val="24"/>
          <w:highlight w:val="none"/>
          <w:lang w:val="en-US" w:eastAsia="zh-CN"/>
        </w:rPr>
        <w:t>预算金额及采购限价</w:t>
      </w:r>
    </w:p>
    <w:p w14:paraId="57EFEB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本次</w:t>
      </w:r>
      <w:r>
        <w:rPr>
          <w:rFonts w:hint="eastAsia" w:ascii="宋体" w:hAnsi="宋体" w:cs="宋体"/>
          <w:bCs/>
          <w:color w:val="auto"/>
          <w:sz w:val="24"/>
          <w:szCs w:val="24"/>
          <w:highlight w:val="none"/>
          <w:lang w:val="en-US" w:eastAsia="zh-CN"/>
        </w:rPr>
        <w:t>谈判采购</w:t>
      </w:r>
      <w:r>
        <w:rPr>
          <w:rFonts w:hint="eastAsia" w:ascii="宋体" w:hAnsi="宋体" w:eastAsia="宋体" w:cs="宋体"/>
          <w:bCs/>
          <w:color w:val="auto"/>
          <w:sz w:val="24"/>
          <w:szCs w:val="24"/>
          <w:highlight w:val="none"/>
        </w:rPr>
        <w:t>内容</w:t>
      </w:r>
      <w:r>
        <w:rPr>
          <w:rFonts w:hint="eastAsia" w:ascii="宋体" w:hAnsi="宋体" w:eastAsia="宋体" w:cs="宋体"/>
          <w:color w:val="auto"/>
          <w:sz w:val="24"/>
          <w:szCs w:val="24"/>
          <w:highlight w:val="none"/>
        </w:rPr>
        <w:t>：见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2EC4CE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 </w:t>
      </w:r>
      <w:r>
        <w:rPr>
          <w:rFonts w:hint="eastAsia" w:ascii="宋体" w:hAnsi="宋体" w:eastAsia="宋体" w:cs="宋体"/>
          <w:bCs/>
          <w:color w:val="auto"/>
          <w:sz w:val="24"/>
          <w:szCs w:val="24"/>
          <w:highlight w:val="none"/>
        </w:rPr>
        <w:t>合同</w:t>
      </w:r>
      <w:r>
        <w:rPr>
          <w:rFonts w:hint="eastAsia" w:ascii="宋体" w:hAnsi="宋体" w:cs="宋体"/>
          <w:bCs/>
          <w:color w:val="auto"/>
          <w:sz w:val="24"/>
          <w:szCs w:val="24"/>
          <w:highlight w:val="none"/>
          <w:lang w:val="en-US" w:eastAsia="zh-CN"/>
        </w:rPr>
        <w:t>履约</w:t>
      </w:r>
      <w:r>
        <w:rPr>
          <w:rFonts w:hint="eastAsia" w:ascii="宋体" w:hAnsi="宋体" w:eastAsia="宋体" w:cs="宋体"/>
          <w:bCs/>
          <w:color w:val="auto"/>
          <w:sz w:val="24"/>
          <w:szCs w:val="24"/>
          <w:highlight w:val="none"/>
        </w:rPr>
        <w:t>期限</w:t>
      </w:r>
      <w:r>
        <w:rPr>
          <w:rFonts w:hint="eastAsia" w:ascii="宋体" w:hAnsi="宋体" w:eastAsia="宋体" w:cs="宋体"/>
          <w:color w:val="auto"/>
          <w:sz w:val="24"/>
          <w:szCs w:val="24"/>
          <w:highlight w:val="none"/>
        </w:rPr>
        <w:t>：见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4DADE7B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1.3.3本项目的质量要求：见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237BC38F">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1.3.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本项目的</w:t>
      </w:r>
      <w:r>
        <w:rPr>
          <w:rFonts w:hint="eastAsia" w:ascii="宋体" w:hAnsi="宋体" w:cs="宋体"/>
          <w:color w:val="auto"/>
          <w:sz w:val="24"/>
          <w:szCs w:val="24"/>
          <w:highlight w:val="none"/>
          <w:lang w:val="en-US" w:eastAsia="zh-CN"/>
        </w:rPr>
        <w:t>预算金额</w:t>
      </w:r>
      <w:r>
        <w:rPr>
          <w:rFonts w:hint="eastAsia" w:ascii="宋体" w:hAnsi="宋体" w:eastAsia="宋体" w:cs="宋体"/>
          <w:color w:val="auto"/>
          <w:sz w:val="24"/>
          <w:szCs w:val="24"/>
          <w:highlight w:val="none"/>
        </w:rPr>
        <w:t>：见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Cs w:val="21"/>
          <w:highlight w:val="none"/>
        </w:rPr>
        <w:t>。</w:t>
      </w:r>
    </w:p>
    <w:p w14:paraId="57535707">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1.3.</w:t>
      </w: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本项目的</w:t>
      </w:r>
      <w:r>
        <w:rPr>
          <w:rFonts w:hint="eastAsia" w:ascii="宋体" w:hAnsi="宋体" w:cs="宋体"/>
          <w:color w:val="auto"/>
          <w:sz w:val="24"/>
          <w:szCs w:val="24"/>
          <w:highlight w:val="none"/>
          <w:lang w:val="en-US" w:eastAsia="zh-CN"/>
        </w:rPr>
        <w:t>采购限价</w:t>
      </w:r>
      <w:r>
        <w:rPr>
          <w:rFonts w:hint="eastAsia" w:ascii="宋体" w:hAnsi="宋体" w:eastAsia="宋体" w:cs="宋体"/>
          <w:color w:val="auto"/>
          <w:sz w:val="24"/>
          <w:szCs w:val="24"/>
          <w:highlight w:val="none"/>
        </w:rPr>
        <w:t>：见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Cs w:val="21"/>
          <w:highlight w:val="none"/>
        </w:rPr>
        <w:t>。</w:t>
      </w:r>
    </w:p>
    <w:p w14:paraId="67058945">
      <w:pPr>
        <w:spacing w:line="360" w:lineRule="auto"/>
        <w:jc w:val="left"/>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1.4 供应商资格要求</w:t>
      </w:r>
    </w:p>
    <w:p w14:paraId="2EBC3525">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1.4.1供应商资格要求：见供应商须知前附表。</w:t>
      </w:r>
    </w:p>
    <w:p w14:paraId="492ACE69">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1.4.2供应商不得存在下列情形之一：</w:t>
      </w:r>
    </w:p>
    <w:p w14:paraId="790EA39C">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14:paraId="349072F0">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 xml:space="preserve">项目前期准备提供设计或咨询服务的； </w:t>
      </w:r>
    </w:p>
    <w:p w14:paraId="2FA87CE3">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项目的监理人；</w:t>
      </w:r>
    </w:p>
    <w:p w14:paraId="59875F3D">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 xml:space="preserve">项目的代建人； </w:t>
      </w:r>
    </w:p>
    <w:p w14:paraId="32FD7DE1">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项目提供</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 xml:space="preserve">代理服务的； </w:t>
      </w:r>
    </w:p>
    <w:p w14:paraId="075A32C6">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项目的监理人或代建人或采购代理机构同为一个法定代表人的；</w:t>
      </w:r>
    </w:p>
    <w:p w14:paraId="27EB3FB7">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项目的监理人或代建人或采购代理机构相互控股或参股的；</w:t>
      </w:r>
    </w:p>
    <w:p w14:paraId="4C870B05">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项目的监理人或代建人或采购代理机构相互任职或工作的；</w:t>
      </w:r>
    </w:p>
    <w:p w14:paraId="70D6F0F9">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（9）被责令停业的； </w:t>
      </w:r>
    </w:p>
    <w:p w14:paraId="15BDE48A">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（10）被暂停或取消投标资格的； </w:t>
      </w:r>
    </w:p>
    <w:p w14:paraId="464E8B14">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（11）财产被接管或冻结的；</w:t>
      </w:r>
    </w:p>
    <w:p w14:paraId="47555AE5">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（12）在最近三年内有骗取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或严重违约或重大项目质量问题的。</w:t>
      </w:r>
    </w:p>
    <w:p w14:paraId="7FE5BFD8">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1.5 费用承担</w:t>
      </w:r>
    </w:p>
    <w:p w14:paraId="06EFB2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在整个</w:t>
      </w:r>
      <w:r>
        <w:rPr>
          <w:rFonts w:hint="eastAsia" w:ascii="宋体" w:hAnsi="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标活动自身所发生的费用自己承担。</w:t>
      </w:r>
    </w:p>
    <w:p w14:paraId="3F0311F8">
      <w:pPr>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本项目代理服务费：¥25</w:t>
      </w:r>
      <w:r>
        <w:rPr>
          <w:rFonts w:hint="eastAsia" w:ascii="宋体" w:hAnsi="宋体" w:eastAsia="宋体" w:cs="宋体"/>
          <w:kern w:val="2"/>
          <w:sz w:val="24"/>
          <w:szCs w:val="24"/>
          <w:highlight w:val="none"/>
        </w:rPr>
        <w:t>00.00元</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大写：人民币贰仟伍佰元整</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代理服务费由成交</w:t>
      </w:r>
      <w:r>
        <w:rPr>
          <w:rFonts w:hint="eastAsia" w:ascii="宋体" w:hAnsi="宋体" w:cs="宋体"/>
          <w:kern w:val="2"/>
          <w:sz w:val="24"/>
          <w:szCs w:val="24"/>
          <w:highlight w:val="none"/>
          <w:lang w:val="en-US" w:eastAsia="zh-CN"/>
        </w:rPr>
        <w:t>供应商</w:t>
      </w:r>
      <w:r>
        <w:rPr>
          <w:rFonts w:hint="eastAsia" w:ascii="宋体" w:hAnsi="宋体" w:eastAsia="宋体" w:cs="宋体"/>
          <w:kern w:val="2"/>
          <w:sz w:val="24"/>
          <w:szCs w:val="24"/>
          <w:highlight w:val="none"/>
        </w:rPr>
        <w:t>在领取成交通知书前一次性支付</w:t>
      </w:r>
      <w:r>
        <w:rPr>
          <w:rFonts w:hint="eastAsia" w:ascii="宋体" w:hAnsi="宋体" w:cs="宋体"/>
          <w:kern w:val="2"/>
          <w:sz w:val="24"/>
          <w:szCs w:val="24"/>
          <w:highlight w:val="none"/>
          <w:lang w:val="en-US" w:eastAsia="zh-CN"/>
        </w:rPr>
        <w:t>给采购代理机构</w:t>
      </w:r>
      <w:r>
        <w:rPr>
          <w:rFonts w:hint="eastAsia" w:ascii="宋体" w:hAnsi="宋体" w:eastAsia="宋体" w:cs="宋体"/>
          <w:kern w:val="2"/>
          <w:sz w:val="24"/>
          <w:szCs w:val="24"/>
          <w:highlight w:val="none"/>
        </w:rPr>
        <w:t>。</w:t>
      </w:r>
    </w:p>
    <w:p w14:paraId="7029FBED">
      <w:pPr>
        <w:spacing w:line="360" w:lineRule="auto"/>
        <w:ind w:firstLine="482" w:firstLineChars="200"/>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1.6 保密</w:t>
      </w:r>
    </w:p>
    <w:p w14:paraId="6EC29B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标活动的各方应对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文件和响应文件中的商业和技术等秘密保密，违者应对由此造成的后果承担法律责任。</w:t>
      </w:r>
    </w:p>
    <w:p w14:paraId="745CEAB5">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1.7 语言文字</w:t>
      </w:r>
    </w:p>
    <w:p w14:paraId="2D56FA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响应文件使用的语言文字为中文。专用术语使用外文的，应附有中文注释。</w:t>
      </w:r>
    </w:p>
    <w:p w14:paraId="166AE921">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1.8 计量单位</w:t>
      </w:r>
    </w:p>
    <w:p w14:paraId="301426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2C4A9CDC">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1.9 踏勘现场</w:t>
      </w:r>
    </w:p>
    <w:p w14:paraId="6DF818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b/>
          <w:color w:val="auto"/>
          <w:sz w:val="24"/>
          <w:szCs w:val="24"/>
          <w:highlight w:val="none"/>
        </w:rPr>
        <w:t xml:space="preserve"> 供应商须知前附表</w:t>
      </w:r>
      <w:r>
        <w:rPr>
          <w:rFonts w:hint="eastAsia" w:ascii="宋体" w:hAnsi="宋体" w:eastAsia="宋体" w:cs="宋体"/>
          <w:color w:val="auto"/>
          <w:sz w:val="24"/>
          <w:szCs w:val="24"/>
          <w:highlight w:val="none"/>
        </w:rPr>
        <w:t>规定组织踏勘现场的，采购人按</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 xml:space="preserve">规定的时间、地点组织供应商踏勘项目现场。 </w:t>
      </w:r>
    </w:p>
    <w:p w14:paraId="42EB60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供应商踏勘现场发生的费用自理。</w:t>
      </w:r>
    </w:p>
    <w:p w14:paraId="316403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除采购人的原因外，供应商自行负责在踏勘现场中所发生的人员伤亡和财产损失。</w:t>
      </w:r>
    </w:p>
    <w:p w14:paraId="29619A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采购人在踏勘现场中介绍的项目场地和相关的周边环境情况，供供应商在编制响应文件时参考，采购人不对供应商据此作出的判断和决策负责。</w:t>
      </w:r>
    </w:p>
    <w:p w14:paraId="302E2FA0">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1.10 </w:t>
      </w:r>
      <w:r>
        <w:rPr>
          <w:rStyle w:val="57"/>
          <w:rFonts w:hint="eastAsia" w:ascii="宋体" w:hAnsi="宋体" w:cs="宋体"/>
          <w:color w:val="auto"/>
          <w:sz w:val="24"/>
          <w:szCs w:val="24"/>
          <w:highlight w:val="none"/>
          <w:lang w:val="en-US" w:eastAsia="zh-CN"/>
        </w:rPr>
        <w:t>谈判</w:t>
      </w:r>
      <w:r>
        <w:rPr>
          <w:rStyle w:val="57"/>
          <w:rFonts w:hint="eastAsia" w:ascii="宋体" w:hAnsi="宋体" w:eastAsia="宋体" w:cs="宋体"/>
          <w:color w:val="auto"/>
          <w:sz w:val="24"/>
          <w:szCs w:val="24"/>
          <w:highlight w:val="none"/>
        </w:rPr>
        <w:t>预备会</w:t>
      </w:r>
    </w:p>
    <w:p w14:paraId="2B2914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1.10.1 </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规定召开</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预备会的，采购人按</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规定的时间和地点召开</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预备会，澄清供应商提出的问题。</w:t>
      </w:r>
    </w:p>
    <w:p w14:paraId="1A1E53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供应商应在</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规定的时间前，以书面形式将提出的问题送达采购人，以便采购人在会议期间澄清。</w:t>
      </w:r>
    </w:p>
    <w:p w14:paraId="1CCF00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1.10.3 </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预备会后，采购人在</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规定的时间内，将对供应商所提问题的澄清，以书面方式通知所有购买</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文件的供应商。该澄清内容为</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文件的组成部分。</w:t>
      </w:r>
    </w:p>
    <w:p w14:paraId="2D5FEB56">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1.11偏离</w:t>
      </w:r>
    </w:p>
    <w:p w14:paraId="3223EB9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允许响应文件偏离</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文件某些要求的，偏离应当符合</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文件规定的偏离范围和幅度。</w:t>
      </w:r>
    </w:p>
    <w:p w14:paraId="7B078F8A">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1.12分包</w:t>
      </w:r>
    </w:p>
    <w:p w14:paraId="3DD85245">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允许分包的，分包应当符合</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文件规定的分包范围。</w:t>
      </w:r>
    </w:p>
    <w:p w14:paraId="7C127F85">
      <w:pPr>
        <w:pStyle w:val="3"/>
        <w:rPr>
          <w:rFonts w:hint="eastAsia" w:ascii="宋体" w:hAnsi="宋体" w:eastAsia="宋体" w:cs="宋体"/>
          <w:color w:val="auto"/>
          <w:szCs w:val="24"/>
          <w:highlight w:val="none"/>
        </w:rPr>
      </w:pPr>
      <w:bookmarkStart w:id="48" w:name="_Toc7276"/>
      <w:bookmarkStart w:id="49" w:name="_Toc14747"/>
      <w:r>
        <w:rPr>
          <w:rFonts w:hint="eastAsia" w:ascii="宋体" w:hAnsi="宋体" w:eastAsia="宋体" w:cs="宋体"/>
          <w:color w:val="auto"/>
          <w:szCs w:val="24"/>
          <w:highlight w:val="none"/>
        </w:rPr>
        <w:t xml:space="preserve">2. </w:t>
      </w:r>
      <w:r>
        <w:rPr>
          <w:rFonts w:hint="eastAsia" w:ascii="宋体" w:hAnsi="宋体" w:eastAsia="宋体" w:cs="宋体"/>
          <w:color w:val="auto"/>
          <w:szCs w:val="24"/>
          <w:highlight w:val="none"/>
          <w:lang w:eastAsia="zh-CN"/>
        </w:rPr>
        <w:t>谈判采购</w:t>
      </w:r>
      <w:r>
        <w:rPr>
          <w:rFonts w:hint="eastAsia" w:ascii="宋体" w:hAnsi="宋体" w:eastAsia="宋体" w:cs="宋体"/>
          <w:color w:val="auto"/>
          <w:szCs w:val="24"/>
          <w:highlight w:val="none"/>
        </w:rPr>
        <w:t>文件</w:t>
      </w:r>
      <w:bookmarkEnd w:id="48"/>
      <w:bookmarkEnd w:id="49"/>
    </w:p>
    <w:p w14:paraId="6C1198AC">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2.1 </w:t>
      </w:r>
      <w:r>
        <w:rPr>
          <w:rStyle w:val="57"/>
          <w:rFonts w:hint="eastAsia" w:ascii="宋体" w:hAnsi="宋体" w:eastAsia="宋体" w:cs="宋体"/>
          <w:color w:val="auto"/>
          <w:sz w:val="24"/>
          <w:szCs w:val="24"/>
          <w:highlight w:val="none"/>
          <w:lang w:eastAsia="zh-CN"/>
        </w:rPr>
        <w:t>谈判采购</w:t>
      </w:r>
      <w:r>
        <w:rPr>
          <w:rStyle w:val="57"/>
          <w:rFonts w:hint="eastAsia" w:ascii="宋体" w:hAnsi="宋体" w:eastAsia="宋体" w:cs="宋体"/>
          <w:color w:val="auto"/>
          <w:sz w:val="24"/>
          <w:szCs w:val="24"/>
          <w:highlight w:val="none"/>
        </w:rPr>
        <w:t>文件的组成</w:t>
      </w:r>
    </w:p>
    <w:p w14:paraId="7AE12B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文件包括：</w:t>
      </w:r>
    </w:p>
    <w:p w14:paraId="4D5BFF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谈判采购公告</w:t>
      </w:r>
      <w:r>
        <w:rPr>
          <w:rFonts w:hint="eastAsia" w:ascii="宋体" w:hAnsi="宋体" w:eastAsia="宋体" w:cs="宋体"/>
          <w:color w:val="auto"/>
          <w:sz w:val="24"/>
          <w:szCs w:val="24"/>
          <w:highlight w:val="none"/>
        </w:rPr>
        <w:t>；</w:t>
      </w:r>
    </w:p>
    <w:p w14:paraId="6F2FF6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3A6AAA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办法；</w:t>
      </w:r>
    </w:p>
    <w:p w14:paraId="09CB60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3601A9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 xml:space="preserve">； </w:t>
      </w:r>
    </w:p>
    <w:p w14:paraId="77D96F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（6）响应文件格式；</w:t>
      </w:r>
    </w:p>
    <w:p w14:paraId="7848C7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2.1.2根据本章第1.10款、第2.2款和第2.3款对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文件所作的澄清、修改，构成</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文件的组成部分。</w:t>
      </w:r>
    </w:p>
    <w:p w14:paraId="381D7AA4">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2.2 </w:t>
      </w:r>
      <w:r>
        <w:rPr>
          <w:rStyle w:val="57"/>
          <w:rFonts w:hint="eastAsia" w:ascii="宋体" w:hAnsi="宋体" w:eastAsia="宋体" w:cs="宋体"/>
          <w:color w:val="auto"/>
          <w:sz w:val="24"/>
          <w:szCs w:val="24"/>
          <w:highlight w:val="none"/>
          <w:lang w:eastAsia="zh-CN"/>
        </w:rPr>
        <w:t>谈判采购</w:t>
      </w:r>
      <w:r>
        <w:rPr>
          <w:rStyle w:val="57"/>
          <w:rFonts w:hint="eastAsia" w:ascii="宋体" w:hAnsi="宋体" w:eastAsia="宋体" w:cs="宋体"/>
          <w:color w:val="auto"/>
          <w:sz w:val="24"/>
          <w:szCs w:val="24"/>
          <w:highlight w:val="none"/>
        </w:rPr>
        <w:t>文件的澄清</w:t>
      </w:r>
    </w:p>
    <w:p w14:paraId="77F2F7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供应商应仔细阅读和检查</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全部内容。如发现缺页或附件不全，应及时向采购人提出，以便补齐。如有疑问，应在供应商须知前附表规定的时间前以书面形式（包括信函、电报、传真等可以有形地表现所载内容的形式，下同），要求采购人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文件予以澄清。</w:t>
      </w:r>
    </w:p>
    <w:p w14:paraId="5EF1D7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2.2.2 </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文件的澄清将在供应商须知前附表规定的</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时间3天前以书面形式发给所有购买</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文件的供应商，但不指明澄清问题的来源。如果澄清发出的时间距</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时间不足3天，相应延长</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w:t>
      </w:r>
    </w:p>
    <w:p w14:paraId="522C8C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供应商在收到澄清后，应在供应商须知前附表规定的时间内以书面形式通知采购人，确认己收到该澄清。</w:t>
      </w:r>
    </w:p>
    <w:p w14:paraId="17B5747F">
      <w:pPr>
        <w:spacing w:before="156" w:beforeLines="50"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2.3 </w:t>
      </w:r>
      <w:r>
        <w:rPr>
          <w:rStyle w:val="57"/>
          <w:rFonts w:hint="eastAsia" w:ascii="宋体" w:hAnsi="宋体" w:eastAsia="宋体" w:cs="宋体"/>
          <w:color w:val="auto"/>
          <w:sz w:val="24"/>
          <w:szCs w:val="24"/>
          <w:highlight w:val="none"/>
          <w:lang w:eastAsia="zh-CN"/>
        </w:rPr>
        <w:t>谈判采购</w:t>
      </w:r>
      <w:r>
        <w:rPr>
          <w:rStyle w:val="57"/>
          <w:rFonts w:hint="eastAsia" w:ascii="宋体" w:hAnsi="宋体" w:eastAsia="宋体" w:cs="宋体"/>
          <w:color w:val="auto"/>
          <w:sz w:val="24"/>
          <w:szCs w:val="24"/>
          <w:highlight w:val="none"/>
        </w:rPr>
        <w:t>文件的修改</w:t>
      </w:r>
    </w:p>
    <w:p w14:paraId="293718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在</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时间3天前，采购人可以书面形式修改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文件，并通知所有已购买</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文件的供应商。如果修改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文件的时间距</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时间不足3天，相应延长</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w:t>
      </w:r>
    </w:p>
    <w:p w14:paraId="495B95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供应商收到修改内容后，应在</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规定的时间内以书面形式通知采购人，确认己收到该修改。</w:t>
      </w:r>
    </w:p>
    <w:p w14:paraId="50D6CC85">
      <w:pPr>
        <w:pStyle w:val="3"/>
        <w:rPr>
          <w:rFonts w:hint="eastAsia" w:ascii="宋体" w:hAnsi="宋体" w:eastAsia="宋体" w:cs="宋体"/>
          <w:color w:val="auto"/>
          <w:szCs w:val="24"/>
          <w:highlight w:val="none"/>
        </w:rPr>
      </w:pPr>
      <w:bookmarkStart w:id="50" w:name="_Toc27828"/>
      <w:bookmarkStart w:id="51" w:name="_Toc2829"/>
      <w:r>
        <w:rPr>
          <w:rFonts w:hint="eastAsia" w:ascii="宋体" w:hAnsi="宋体" w:eastAsia="宋体" w:cs="宋体"/>
          <w:color w:val="auto"/>
          <w:szCs w:val="24"/>
          <w:highlight w:val="none"/>
        </w:rPr>
        <w:t>3. 响应文件及格式</w:t>
      </w:r>
      <w:bookmarkEnd w:id="50"/>
      <w:bookmarkEnd w:id="51"/>
    </w:p>
    <w:p w14:paraId="116095D3">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3.1 响应文件的组成</w:t>
      </w:r>
    </w:p>
    <w:p w14:paraId="7B3B9FB6">
      <w:pPr>
        <w:spacing w:line="360" w:lineRule="auto"/>
        <w:rPr>
          <w:rStyle w:val="57"/>
          <w:rFonts w:hint="eastAsia" w:ascii="宋体" w:hAnsi="宋体"/>
          <w:b w:val="0"/>
          <w:bCs w:val="0"/>
          <w:sz w:val="24"/>
          <w:szCs w:val="24"/>
          <w:highlight w:val="none"/>
        </w:rPr>
      </w:pPr>
      <w:r>
        <w:rPr>
          <w:rStyle w:val="57"/>
          <w:rFonts w:hint="eastAsia" w:ascii="宋体" w:hAnsi="宋体"/>
          <w:b w:val="0"/>
          <w:bCs w:val="0"/>
          <w:sz w:val="24"/>
          <w:szCs w:val="24"/>
          <w:highlight w:val="none"/>
          <w:lang w:val="en-US" w:eastAsia="zh-CN"/>
        </w:rPr>
        <w:t>3.1.</w:t>
      </w:r>
      <w:r>
        <w:rPr>
          <w:rStyle w:val="57"/>
          <w:rFonts w:hint="eastAsia" w:ascii="宋体" w:hAnsi="宋体"/>
          <w:b w:val="0"/>
          <w:bCs w:val="0"/>
          <w:sz w:val="24"/>
          <w:szCs w:val="24"/>
          <w:highlight w:val="none"/>
        </w:rPr>
        <w:t xml:space="preserve">1 </w:t>
      </w:r>
      <w:r>
        <w:rPr>
          <w:rStyle w:val="57"/>
          <w:rFonts w:hint="eastAsia" w:ascii="宋体" w:hAnsi="宋体"/>
          <w:b w:val="0"/>
          <w:bCs w:val="0"/>
          <w:sz w:val="24"/>
          <w:szCs w:val="24"/>
          <w:highlight w:val="none"/>
          <w:lang w:eastAsia="zh-CN"/>
        </w:rPr>
        <w:t>响应文件</w:t>
      </w:r>
      <w:r>
        <w:rPr>
          <w:rStyle w:val="57"/>
          <w:rFonts w:hint="eastAsia" w:ascii="宋体" w:hAnsi="宋体"/>
          <w:b w:val="0"/>
          <w:bCs w:val="0"/>
          <w:sz w:val="24"/>
          <w:szCs w:val="24"/>
          <w:highlight w:val="none"/>
        </w:rPr>
        <w:t>组成</w:t>
      </w:r>
      <w:r>
        <w:rPr>
          <w:rStyle w:val="57"/>
          <w:rFonts w:hint="eastAsia" w:ascii="宋体" w:hAnsi="宋体"/>
          <w:b w:val="0"/>
          <w:bCs w:val="0"/>
          <w:sz w:val="24"/>
          <w:szCs w:val="24"/>
          <w:highlight w:val="none"/>
          <w:lang w:val="en-US" w:eastAsia="zh-CN"/>
        </w:rPr>
        <w:t>部分详见第六章</w:t>
      </w:r>
      <w:r>
        <w:rPr>
          <w:rStyle w:val="57"/>
          <w:rFonts w:hint="eastAsia" w:ascii="宋体" w:hAnsi="宋体"/>
          <w:b w:val="0"/>
          <w:bCs w:val="0"/>
          <w:sz w:val="24"/>
          <w:szCs w:val="24"/>
          <w:highlight w:val="none"/>
        </w:rPr>
        <w:t>：</w:t>
      </w:r>
    </w:p>
    <w:p w14:paraId="531768BD">
      <w:pPr>
        <w:spacing w:line="360" w:lineRule="auto"/>
        <w:rPr>
          <w:rStyle w:val="57"/>
          <w:rFonts w:hint="eastAsia" w:ascii="宋体" w:hAnsi="宋体"/>
          <w:b w:val="0"/>
          <w:bCs w:val="0"/>
          <w:sz w:val="24"/>
          <w:szCs w:val="24"/>
          <w:highlight w:val="none"/>
        </w:rPr>
      </w:pPr>
      <w:r>
        <w:rPr>
          <w:rStyle w:val="57"/>
          <w:rFonts w:hint="eastAsia" w:ascii="宋体" w:hAnsi="宋体"/>
          <w:b w:val="0"/>
          <w:bCs w:val="0"/>
          <w:sz w:val="24"/>
          <w:szCs w:val="24"/>
          <w:highlight w:val="none"/>
          <w:lang w:val="en-US" w:eastAsia="zh-CN"/>
        </w:rPr>
        <w:t>3.1.2</w:t>
      </w:r>
      <w:r>
        <w:rPr>
          <w:rStyle w:val="57"/>
          <w:rFonts w:hint="eastAsia" w:ascii="宋体" w:hAnsi="宋体"/>
          <w:b w:val="0"/>
          <w:bCs w:val="0"/>
          <w:sz w:val="24"/>
          <w:szCs w:val="24"/>
          <w:highlight w:val="none"/>
        </w:rPr>
        <w:t xml:space="preserve"> 电子标书由</w:t>
      </w:r>
      <w:r>
        <w:rPr>
          <w:rStyle w:val="57"/>
          <w:rFonts w:hint="eastAsia" w:ascii="宋体" w:hAnsi="宋体"/>
          <w:b w:val="0"/>
          <w:bCs w:val="0"/>
          <w:sz w:val="24"/>
          <w:szCs w:val="24"/>
          <w:highlight w:val="none"/>
          <w:lang w:eastAsia="zh-CN"/>
        </w:rPr>
        <w:t>供应商</w:t>
      </w:r>
      <w:r>
        <w:rPr>
          <w:rStyle w:val="57"/>
          <w:rFonts w:hint="eastAsia" w:ascii="宋体" w:hAnsi="宋体"/>
          <w:b w:val="0"/>
          <w:bCs w:val="0"/>
          <w:sz w:val="24"/>
          <w:szCs w:val="24"/>
          <w:highlight w:val="none"/>
        </w:rPr>
        <w:t>采用光盘或U盘进行录制。</w:t>
      </w:r>
    </w:p>
    <w:p w14:paraId="0E2DA142">
      <w:pPr>
        <w:spacing w:line="360" w:lineRule="auto"/>
        <w:rPr>
          <w:rStyle w:val="57"/>
          <w:rFonts w:hint="eastAsia" w:ascii="宋体" w:hAnsi="宋体"/>
          <w:b w:val="0"/>
          <w:bCs w:val="0"/>
          <w:sz w:val="24"/>
          <w:szCs w:val="24"/>
          <w:highlight w:val="none"/>
        </w:rPr>
      </w:pPr>
      <w:r>
        <w:rPr>
          <w:rStyle w:val="57"/>
          <w:rFonts w:hint="eastAsia" w:ascii="宋体" w:hAnsi="宋体"/>
          <w:b w:val="0"/>
          <w:bCs w:val="0"/>
          <w:sz w:val="24"/>
          <w:szCs w:val="24"/>
          <w:highlight w:val="none"/>
          <w:lang w:val="en-US" w:eastAsia="zh-CN"/>
        </w:rPr>
        <w:t>3.1.3</w:t>
      </w:r>
      <w:r>
        <w:rPr>
          <w:rStyle w:val="57"/>
          <w:rFonts w:hint="eastAsia" w:ascii="宋体" w:hAnsi="宋体"/>
          <w:b w:val="0"/>
          <w:bCs w:val="0"/>
          <w:sz w:val="24"/>
          <w:szCs w:val="24"/>
          <w:highlight w:val="none"/>
        </w:rPr>
        <w:t xml:space="preserve"> </w:t>
      </w:r>
      <w:r>
        <w:rPr>
          <w:rStyle w:val="57"/>
          <w:rFonts w:hint="eastAsia" w:ascii="宋体" w:hAnsi="宋体"/>
          <w:b w:val="0"/>
          <w:bCs w:val="0"/>
          <w:sz w:val="24"/>
          <w:szCs w:val="24"/>
          <w:highlight w:val="none"/>
          <w:lang w:eastAsia="zh-CN"/>
        </w:rPr>
        <w:t>供应商</w:t>
      </w:r>
      <w:r>
        <w:rPr>
          <w:rStyle w:val="57"/>
          <w:rFonts w:hint="eastAsia" w:ascii="宋体" w:hAnsi="宋体"/>
          <w:b w:val="0"/>
          <w:bCs w:val="0"/>
          <w:sz w:val="24"/>
          <w:szCs w:val="24"/>
          <w:highlight w:val="none"/>
        </w:rPr>
        <w:t>的</w:t>
      </w:r>
      <w:r>
        <w:rPr>
          <w:rStyle w:val="57"/>
          <w:rFonts w:hint="eastAsia" w:ascii="宋体" w:hAnsi="宋体"/>
          <w:b w:val="0"/>
          <w:bCs w:val="0"/>
          <w:sz w:val="24"/>
          <w:szCs w:val="24"/>
          <w:highlight w:val="none"/>
          <w:lang w:eastAsia="zh-CN"/>
        </w:rPr>
        <w:t>响应文件</w:t>
      </w:r>
      <w:r>
        <w:rPr>
          <w:rStyle w:val="57"/>
          <w:rFonts w:hint="eastAsia" w:ascii="宋体" w:hAnsi="宋体"/>
          <w:b w:val="0"/>
          <w:bCs w:val="0"/>
          <w:sz w:val="24"/>
          <w:szCs w:val="24"/>
          <w:highlight w:val="none"/>
        </w:rPr>
        <w:t>的书面文件与电子标书的内容应当一致，不一致时，以书面文件正本为准，且该</w:t>
      </w:r>
      <w:r>
        <w:rPr>
          <w:rStyle w:val="57"/>
          <w:rFonts w:hint="eastAsia" w:ascii="宋体" w:hAnsi="宋体"/>
          <w:b w:val="0"/>
          <w:bCs w:val="0"/>
          <w:sz w:val="24"/>
          <w:szCs w:val="24"/>
          <w:highlight w:val="none"/>
          <w:lang w:eastAsia="zh-CN"/>
        </w:rPr>
        <w:t>供应商</w:t>
      </w:r>
      <w:r>
        <w:rPr>
          <w:rStyle w:val="57"/>
          <w:rFonts w:hint="eastAsia" w:ascii="宋体" w:hAnsi="宋体"/>
          <w:b w:val="0"/>
          <w:bCs w:val="0"/>
          <w:sz w:val="24"/>
          <w:szCs w:val="24"/>
          <w:highlight w:val="none"/>
        </w:rPr>
        <w:t>的</w:t>
      </w:r>
      <w:r>
        <w:rPr>
          <w:rStyle w:val="57"/>
          <w:rFonts w:hint="eastAsia" w:ascii="宋体" w:hAnsi="宋体"/>
          <w:b w:val="0"/>
          <w:bCs w:val="0"/>
          <w:sz w:val="24"/>
          <w:szCs w:val="24"/>
          <w:highlight w:val="none"/>
          <w:lang w:eastAsia="zh-CN"/>
        </w:rPr>
        <w:t>响应文件</w:t>
      </w:r>
      <w:r>
        <w:rPr>
          <w:rStyle w:val="57"/>
          <w:rFonts w:hint="eastAsia" w:ascii="宋体" w:hAnsi="宋体"/>
          <w:b w:val="0"/>
          <w:bCs w:val="0"/>
          <w:sz w:val="24"/>
          <w:szCs w:val="24"/>
          <w:highlight w:val="none"/>
        </w:rPr>
        <w:t>均按最不利于该</w:t>
      </w:r>
      <w:r>
        <w:rPr>
          <w:rStyle w:val="57"/>
          <w:rFonts w:hint="eastAsia" w:ascii="宋体" w:hAnsi="宋体"/>
          <w:b w:val="0"/>
          <w:bCs w:val="0"/>
          <w:sz w:val="24"/>
          <w:szCs w:val="24"/>
          <w:highlight w:val="none"/>
          <w:lang w:eastAsia="zh-CN"/>
        </w:rPr>
        <w:t>供应商</w:t>
      </w:r>
      <w:r>
        <w:rPr>
          <w:rStyle w:val="57"/>
          <w:rFonts w:hint="eastAsia" w:ascii="宋体" w:hAnsi="宋体"/>
          <w:b w:val="0"/>
          <w:bCs w:val="0"/>
          <w:sz w:val="24"/>
          <w:szCs w:val="24"/>
          <w:highlight w:val="none"/>
        </w:rPr>
        <w:t>的原则处理。</w:t>
      </w:r>
    </w:p>
    <w:p w14:paraId="2A868DD4">
      <w:pPr>
        <w:spacing w:line="360" w:lineRule="auto"/>
        <w:rPr>
          <w:rStyle w:val="57"/>
          <w:rFonts w:hint="eastAsia" w:ascii="宋体" w:hAnsi="宋体" w:eastAsia="宋体" w:cs="宋体"/>
          <w:color w:val="auto"/>
          <w:sz w:val="24"/>
          <w:szCs w:val="24"/>
          <w:highlight w:val="none"/>
          <w:lang w:eastAsia="zh-CN"/>
        </w:rPr>
      </w:pPr>
      <w:r>
        <w:rPr>
          <w:rStyle w:val="57"/>
          <w:rFonts w:hint="eastAsia" w:ascii="宋体" w:hAnsi="宋体" w:eastAsia="宋体" w:cs="宋体"/>
          <w:color w:val="auto"/>
          <w:sz w:val="24"/>
          <w:szCs w:val="24"/>
          <w:highlight w:val="none"/>
        </w:rPr>
        <w:t xml:space="preserve">3.2 </w:t>
      </w:r>
      <w:r>
        <w:rPr>
          <w:rStyle w:val="57"/>
          <w:rFonts w:hint="eastAsia" w:ascii="宋体" w:hAnsi="宋体" w:cs="宋体"/>
          <w:color w:val="auto"/>
          <w:sz w:val="24"/>
          <w:szCs w:val="24"/>
          <w:highlight w:val="none"/>
          <w:lang w:eastAsia="zh-CN"/>
        </w:rPr>
        <w:t>谈判报价</w:t>
      </w:r>
    </w:p>
    <w:p w14:paraId="2CDD960E">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3.2.1</w:t>
      </w:r>
      <w:r>
        <w:rPr>
          <w:rFonts w:hint="eastAsia" w:ascii="宋体" w:hAnsi="宋体" w:cs="宋体"/>
          <w:color w:val="auto"/>
          <w:sz w:val="24"/>
          <w:szCs w:val="24"/>
          <w:highlight w:val="none"/>
          <w:lang w:eastAsia="zh-CN"/>
        </w:rPr>
        <w:t>谈判报价</w:t>
      </w:r>
      <w:r>
        <w:rPr>
          <w:rFonts w:hint="eastAsia" w:ascii="宋体" w:hAnsi="宋体" w:eastAsia="宋体" w:cs="宋体"/>
          <w:color w:val="auto"/>
          <w:sz w:val="24"/>
          <w:szCs w:val="24"/>
          <w:highlight w:val="none"/>
        </w:rPr>
        <w:t>方式：</w:t>
      </w:r>
      <w:r>
        <w:rPr>
          <w:rFonts w:hint="eastAsia" w:ascii="宋体" w:hAnsi="宋体" w:cs="宋体"/>
          <w:b/>
          <w:bCs/>
          <w:sz w:val="24"/>
          <w:szCs w:val="24"/>
          <w:highlight w:val="none"/>
        </w:rPr>
        <w:t>本项目报价采用下浮率报价方式</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注：供应商报出的百分比下浮率报价指单价收费标准和组套价收费标准两项内容的下浮率</w:t>
      </w:r>
      <w:r>
        <w:rPr>
          <w:rFonts w:hint="eastAsia" w:ascii="宋体" w:hAnsi="宋体" w:cs="宋体"/>
          <w:b/>
          <w:bCs/>
          <w:sz w:val="24"/>
          <w:szCs w:val="24"/>
          <w:highlight w:val="none"/>
          <w:lang w:eastAsia="zh-CN"/>
        </w:rPr>
        <w:t>）</w:t>
      </w:r>
      <w:r>
        <w:rPr>
          <w:rFonts w:hint="eastAsia" w:ascii="宋体" w:hAnsi="宋体" w:cs="宋体"/>
          <w:sz w:val="24"/>
          <w:szCs w:val="24"/>
          <w:highlight w:val="none"/>
        </w:rPr>
        <w:t>。根据最新《云南省医疗服务价格文件汇编》收费标准计费规定进行计价，最终以采购人提供外送服务清单的结算金额基础上下浮xx% 的形式进行谈判报价</w:t>
      </w:r>
      <w:r>
        <w:rPr>
          <w:rFonts w:hint="eastAsia" w:ascii="宋体" w:hAnsi="宋体" w:cs="宋体"/>
          <w:sz w:val="24"/>
          <w:szCs w:val="24"/>
          <w:highlight w:val="none"/>
          <w:lang w:eastAsia="zh-CN"/>
        </w:rPr>
        <w:t>。</w:t>
      </w:r>
    </w:p>
    <w:p w14:paraId="4E8903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3.2.2本项目</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报价包含但不限于完成本项目</w:t>
      </w:r>
      <w:r>
        <w:rPr>
          <w:rFonts w:hint="eastAsia" w:ascii="宋体" w:hAnsi="宋体" w:eastAsia="宋体" w:cs="宋体"/>
          <w:color w:val="auto"/>
          <w:sz w:val="24"/>
          <w:szCs w:val="24"/>
          <w:highlight w:val="none"/>
          <w:lang w:val="en-US" w:eastAsia="zh-CN"/>
        </w:rPr>
        <w:t>全部费用，</w:t>
      </w:r>
      <w:r>
        <w:rPr>
          <w:rFonts w:hint="eastAsia" w:ascii="宋体" w:hAnsi="宋体" w:eastAsia="宋体"/>
          <w:b/>
          <w:bCs/>
          <w:sz w:val="24"/>
          <w:highlight w:val="none"/>
        </w:rPr>
        <w:t>报价</w:t>
      </w:r>
      <w:r>
        <w:rPr>
          <w:rFonts w:hint="eastAsia" w:ascii="宋体" w:hAnsi="宋体" w:eastAsia="宋体"/>
          <w:b/>
          <w:bCs/>
          <w:sz w:val="24"/>
          <w:highlight w:val="none"/>
          <w:lang w:eastAsia="zh-CN"/>
        </w:rPr>
        <w:t>包括但不限于《云南省医疗服务价格文件汇编》</w:t>
      </w:r>
      <w:r>
        <w:rPr>
          <w:rFonts w:hint="eastAsia" w:ascii="宋体" w:hAnsi="宋体"/>
          <w:b/>
          <w:bCs/>
          <w:sz w:val="24"/>
          <w:highlight w:val="none"/>
          <w:lang w:val="en-US" w:eastAsia="zh-CN"/>
        </w:rPr>
        <w:t>已明确的费用外，包含人工费</w:t>
      </w:r>
      <w:r>
        <w:rPr>
          <w:rFonts w:hint="eastAsia" w:ascii="宋体" w:hAnsi="宋体" w:eastAsia="宋体"/>
          <w:b/>
          <w:bCs/>
          <w:sz w:val="24"/>
          <w:highlight w:val="none"/>
          <w:lang w:eastAsia="zh-CN"/>
        </w:rPr>
        <w:t>、耗材费用、配件费用、实施服务费、</w:t>
      </w:r>
      <w:r>
        <w:rPr>
          <w:rFonts w:hint="eastAsia" w:ascii="宋体" w:hAnsi="宋体"/>
          <w:b/>
          <w:bCs/>
          <w:sz w:val="24"/>
          <w:highlight w:val="none"/>
          <w:lang w:val="en-US" w:eastAsia="zh-CN"/>
        </w:rPr>
        <w:t>检验费用、报告费、检验物品取件费用或配送费用、管理费、后期服务费、</w:t>
      </w:r>
      <w:r>
        <w:rPr>
          <w:rFonts w:hint="eastAsia" w:ascii="宋体" w:hAnsi="宋体" w:eastAsia="宋体"/>
          <w:b/>
          <w:bCs/>
          <w:sz w:val="24"/>
          <w:highlight w:val="none"/>
          <w:lang w:eastAsia="zh-CN"/>
        </w:rPr>
        <w:t>交通、通信以及项目利润、税金以及在服务期内发生的所有费用</w:t>
      </w:r>
      <w:r>
        <w:rPr>
          <w:rFonts w:hint="eastAsia" w:ascii="宋体" w:hAnsi="宋体" w:eastAsia="宋体" w:cs="宋体"/>
          <w:b/>
          <w:bCs/>
          <w:color w:val="auto"/>
          <w:sz w:val="24"/>
          <w:szCs w:val="24"/>
          <w:highlight w:val="none"/>
        </w:rPr>
        <w:t>。</w:t>
      </w:r>
      <w:r>
        <w:rPr>
          <w:rFonts w:hint="eastAsia" w:ascii="宋体" w:hAnsi="宋体" w:eastAsia="宋体"/>
          <w:sz w:val="24"/>
          <w:highlight w:val="none"/>
        </w:rPr>
        <w:t>该报价应符合国内行情并能保证</w:t>
      </w:r>
      <w:r>
        <w:rPr>
          <w:rFonts w:hint="eastAsia" w:ascii="宋体" w:hAnsi="宋体" w:eastAsia="宋体"/>
          <w:sz w:val="24"/>
          <w:highlight w:val="none"/>
          <w:lang w:val="en-US" w:eastAsia="zh-CN"/>
        </w:rPr>
        <w:t>供应商</w:t>
      </w:r>
      <w:r>
        <w:rPr>
          <w:rFonts w:hint="eastAsia" w:ascii="宋体" w:hAnsi="宋体" w:eastAsia="宋体"/>
          <w:sz w:val="24"/>
          <w:highlight w:val="none"/>
        </w:rPr>
        <w:t>完成履行合同所需的一切工作。合同一旦签订，此合同价格在合同实施期间将不因市场价格的变化而调整。</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应充分考虑本项目合同实施期间可能发生的一切费用，并承担由此而带来的风险。恶意报价视为不能完全履行合同内容</w:t>
      </w:r>
      <w:r>
        <w:rPr>
          <w:rFonts w:hint="eastAsia" w:ascii="宋体" w:hAnsi="宋体" w:eastAsia="宋体" w:cs="宋体"/>
          <w:color w:val="auto"/>
          <w:sz w:val="24"/>
          <w:szCs w:val="24"/>
          <w:highlight w:val="none"/>
        </w:rPr>
        <w:t>。</w:t>
      </w:r>
    </w:p>
    <w:p w14:paraId="2A997F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r>
        <w:rPr>
          <w:rFonts w:hint="eastAsia" w:ascii="宋体" w:hAnsi="宋体" w:cs="宋体"/>
          <w:color w:val="auto"/>
          <w:sz w:val="24"/>
          <w:szCs w:val="24"/>
          <w:highlight w:val="none"/>
          <w:lang w:eastAsia="zh-CN"/>
        </w:rPr>
        <w:t>谈判报价</w:t>
      </w:r>
      <w:r>
        <w:rPr>
          <w:rFonts w:hint="eastAsia" w:ascii="宋体" w:hAnsi="宋体" w:eastAsia="宋体" w:cs="宋体"/>
          <w:color w:val="auto"/>
          <w:sz w:val="24"/>
          <w:szCs w:val="24"/>
          <w:highlight w:val="none"/>
        </w:rPr>
        <w:t>大小写金额不一致的，以大写金额为准；总价金额与按单价汇总金额不一致的，以单价金额计算结果为准；单价金额小数点有明显错位的，应以总价为准，并修改单价；对不同文字文本</w:t>
      </w:r>
      <w:r>
        <w:rPr>
          <w:rFonts w:hint="eastAsia" w:ascii="宋体" w:hAnsi="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文件的解释发生异议的，以中文文本为准。本项目</w:t>
      </w:r>
      <w:r>
        <w:rPr>
          <w:rFonts w:hint="eastAsia" w:ascii="宋体" w:hAnsi="宋体" w:cs="宋体"/>
          <w:color w:val="auto"/>
          <w:sz w:val="24"/>
          <w:szCs w:val="24"/>
          <w:highlight w:val="none"/>
          <w:lang w:eastAsia="zh-CN"/>
        </w:rPr>
        <w:t>谈判报价</w:t>
      </w:r>
      <w:r>
        <w:rPr>
          <w:rFonts w:hint="eastAsia" w:ascii="宋体" w:hAnsi="宋体" w:eastAsia="宋体" w:cs="宋体"/>
          <w:color w:val="auto"/>
          <w:sz w:val="24"/>
          <w:szCs w:val="24"/>
          <w:highlight w:val="none"/>
        </w:rPr>
        <w:t>在合同实施期间不因其他因素的变动而调整。</w:t>
      </w:r>
    </w:p>
    <w:p w14:paraId="2E9E7D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供应商报价时应充分考虑所有可能影响到报价的报价因素，一旦最终成交，成交价将包定，不予调整。如发生漏、缺、少项，都将被认为是成交供应商的报价让利行为，损失自负。</w:t>
      </w:r>
    </w:p>
    <w:p w14:paraId="77DAD2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最终结算价款以实际供货及成交供应商最终报价，审核审定的结算价为准。</w:t>
      </w:r>
    </w:p>
    <w:p w14:paraId="229E9C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6合同履约期间</w:t>
      </w:r>
      <w:r>
        <w:rPr>
          <w:rFonts w:hint="eastAsia" w:ascii="宋体" w:hAnsi="宋体" w:eastAsia="宋体" w:cs="宋体"/>
          <w:color w:val="auto"/>
          <w:sz w:val="24"/>
          <w:szCs w:val="24"/>
          <w:highlight w:val="none"/>
        </w:rPr>
        <w:t>因上级部门或国家政策调整，需要统一管理或统一配送本次采购内容，则执行上级部门或国家最新政策规定。若影响合同执行的，合同自行终止，招标人对此不承担违约、赔偿、缔约过失等责任，且不给予任何形式的补偿。</w:t>
      </w:r>
    </w:p>
    <w:p w14:paraId="2CF5608A">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3.3 </w:t>
      </w:r>
      <w:r>
        <w:rPr>
          <w:rStyle w:val="57"/>
          <w:rFonts w:hint="eastAsia" w:ascii="宋体" w:hAnsi="宋体" w:cs="宋体"/>
          <w:color w:val="auto"/>
          <w:sz w:val="24"/>
          <w:szCs w:val="24"/>
          <w:highlight w:val="none"/>
          <w:lang w:val="en-US" w:eastAsia="zh-CN"/>
        </w:rPr>
        <w:t>谈判</w:t>
      </w:r>
      <w:r>
        <w:rPr>
          <w:rStyle w:val="57"/>
          <w:rFonts w:hint="eastAsia" w:ascii="宋体" w:hAnsi="宋体" w:eastAsia="宋体" w:cs="宋体"/>
          <w:color w:val="auto"/>
          <w:sz w:val="24"/>
          <w:szCs w:val="24"/>
          <w:highlight w:val="none"/>
        </w:rPr>
        <w:t>有效期</w:t>
      </w:r>
    </w:p>
    <w:p w14:paraId="7E9596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另有规定外，</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有效期为90天。</w:t>
      </w:r>
    </w:p>
    <w:p w14:paraId="34EE16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有效期内，供应商撤销或修改其响应文件的，应承担</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文件和法律规定的责任。</w:t>
      </w:r>
    </w:p>
    <w:p w14:paraId="0B5691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有效期的，采购人以书面形式通知所有供应商延长</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w:t>
      </w:r>
    </w:p>
    <w:p w14:paraId="36F92148">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3.4 谈判保证金</w:t>
      </w:r>
    </w:p>
    <w:p w14:paraId="062B745A">
      <w:pPr>
        <w:kinsoku/>
        <w:overflowPunct/>
        <w:bidi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3.4.1</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应在提交</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的同时，按有关规定提交本须知前附表所规定数额的</w:t>
      </w:r>
      <w:r>
        <w:rPr>
          <w:rFonts w:hint="eastAsia" w:ascii="宋体" w:hAnsi="宋体" w:cs="宋体"/>
          <w:color w:val="000000" w:themeColor="text1"/>
          <w:sz w:val="24"/>
          <w:highlight w:val="none"/>
          <w:lang w:eastAsia="zh-CN"/>
          <w14:textFill>
            <w14:solidFill>
              <w14:schemeClr w14:val="tx1"/>
            </w14:solidFill>
          </w14:textFill>
        </w:rPr>
        <w:t>谈判保证金</w:t>
      </w:r>
      <w:r>
        <w:rPr>
          <w:rFonts w:hint="eastAsia" w:ascii="宋体" w:hAnsi="宋体" w:eastAsia="宋体" w:cs="宋体"/>
          <w:color w:val="000000" w:themeColor="text1"/>
          <w:sz w:val="24"/>
          <w:highlight w:val="none"/>
          <w14:textFill>
            <w14:solidFill>
              <w14:schemeClr w14:val="tx1"/>
            </w14:solidFill>
          </w14:textFill>
        </w:rPr>
        <w:t>，并作为其</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的一部分。</w:t>
      </w:r>
    </w:p>
    <w:p w14:paraId="437054BD">
      <w:pPr>
        <w:kinsoku/>
        <w:overflowPunct/>
        <w:bidi w:val="0"/>
        <w:snapToGrid w:val="0"/>
        <w:spacing w:line="360" w:lineRule="auto"/>
        <w:ind w:firstLine="480"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对于未能按要求提交</w:t>
      </w:r>
      <w:r>
        <w:rPr>
          <w:rFonts w:hint="eastAsia" w:ascii="宋体" w:hAnsi="宋体" w:cs="宋体"/>
          <w:color w:val="000000" w:themeColor="text1"/>
          <w:spacing w:val="-6"/>
          <w:sz w:val="24"/>
          <w:highlight w:val="none"/>
          <w:lang w:eastAsia="zh-CN"/>
          <w14:textFill>
            <w14:solidFill>
              <w14:schemeClr w14:val="tx1"/>
            </w14:solidFill>
          </w14:textFill>
        </w:rPr>
        <w:t>谈判保证金</w:t>
      </w:r>
      <w:r>
        <w:rPr>
          <w:rFonts w:hint="eastAsia" w:ascii="宋体" w:hAnsi="宋体" w:eastAsia="宋体" w:cs="宋体"/>
          <w:color w:val="000000" w:themeColor="text1"/>
          <w:spacing w:val="-6"/>
          <w:sz w:val="24"/>
          <w:highlight w:val="none"/>
          <w14:textFill>
            <w14:solidFill>
              <w14:schemeClr w14:val="tx1"/>
            </w14:solidFill>
          </w14:textFill>
        </w:rPr>
        <w:t>的</w:t>
      </w:r>
      <w:r>
        <w:rPr>
          <w:rFonts w:hint="eastAsia" w:ascii="宋体" w:hAnsi="宋体" w:cs="宋体"/>
          <w:color w:val="000000" w:themeColor="text1"/>
          <w:spacing w:val="-6"/>
          <w:sz w:val="24"/>
          <w:highlight w:val="none"/>
          <w:lang w:val="en-US" w:eastAsia="zh-CN"/>
          <w14:textFill>
            <w14:solidFill>
              <w14:schemeClr w14:val="tx1"/>
            </w14:solidFill>
          </w14:textFill>
        </w:rPr>
        <w:t>谈判</w:t>
      </w:r>
      <w:r>
        <w:rPr>
          <w:rFonts w:hint="eastAsia" w:ascii="宋体" w:hAnsi="宋体" w:eastAsia="宋体" w:cs="宋体"/>
          <w:color w:val="000000" w:themeColor="text1"/>
          <w:spacing w:val="-6"/>
          <w:sz w:val="24"/>
          <w:highlight w:val="none"/>
          <w14:textFill>
            <w14:solidFill>
              <w14:schemeClr w14:val="tx1"/>
            </w14:solidFill>
          </w14:textFill>
        </w:rPr>
        <w:t>，</w:t>
      </w:r>
      <w:r>
        <w:rPr>
          <w:rFonts w:hint="eastAsia" w:ascii="宋体" w:hAnsi="宋体" w:cs="宋体"/>
          <w:color w:val="000000" w:themeColor="text1"/>
          <w:spacing w:val="-6"/>
          <w:sz w:val="24"/>
          <w:highlight w:val="none"/>
          <w:lang w:eastAsia="zh-CN"/>
          <w14:textFill>
            <w14:solidFill>
              <w14:schemeClr w14:val="tx1"/>
            </w14:solidFill>
          </w14:textFill>
        </w:rPr>
        <w:t>谈判</w:t>
      </w:r>
      <w:r>
        <w:rPr>
          <w:rFonts w:hint="eastAsia" w:ascii="宋体" w:hAnsi="宋体" w:eastAsia="宋体" w:cs="宋体"/>
          <w:color w:val="000000" w:themeColor="text1"/>
          <w:spacing w:val="-6"/>
          <w:sz w:val="24"/>
          <w:highlight w:val="none"/>
          <w14:textFill>
            <w14:solidFill>
              <w14:schemeClr w14:val="tx1"/>
            </w14:solidFill>
          </w14:textFill>
        </w:rPr>
        <w:t>人将视为不响应</w:t>
      </w:r>
      <w:r>
        <w:rPr>
          <w:rFonts w:hint="eastAsia" w:ascii="宋体" w:hAnsi="宋体" w:cs="宋体"/>
          <w:color w:val="000000" w:themeColor="text1"/>
          <w:spacing w:val="-6"/>
          <w:sz w:val="24"/>
          <w:highlight w:val="none"/>
          <w:lang w:eastAsia="zh-CN"/>
          <w14:textFill>
            <w14:solidFill>
              <w14:schemeClr w14:val="tx1"/>
            </w14:solidFill>
          </w14:textFill>
        </w:rPr>
        <w:t>谈判采购文件</w:t>
      </w:r>
      <w:r>
        <w:rPr>
          <w:rFonts w:hint="eastAsia" w:ascii="宋体" w:hAnsi="宋体" w:eastAsia="宋体" w:cs="宋体"/>
          <w:color w:val="000000" w:themeColor="text1"/>
          <w:spacing w:val="-6"/>
          <w:sz w:val="24"/>
          <w:highlight w:val="none"/>
          <w14:textFill>
            <w14:solidFill>
              <w14:schemeClr w14:val="tx1"/>
            </w14:solidFill>
          </w14:textFill>
        </w:rPr>
        <w:t>而予以拒绝。</w:t>
      </w:r>
    </w:p>
    <w:p w14:paraId="39F26AC1">
      <w:pPr>
        <w:kinsoku/>
        <w:overflowPunct/>
        <w:bidi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 未</w:t>
      </w:r>
      <w:r>
        <w:rPr>
          <w:rFonts w:hint="eastAsia" w:ascii="宋体" w:hAnsi="宋体" w:cs="宋体"/>
          <w:color w:val="000000" w:themeColor="text1"/>
          <w:sz w:val="24"/>
          <w:highlight w:val="none"/>
          <w:lang w:eastAsia="zh-CN"/>
          <w14:textFill>
            <w14:solidFill>
              <w14:schemeClr w14:val="tx1"/>
            </w14:solidFill>
          </w14:textFill>
        </w:rPr>
        <w:t>成交人</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谈判保证金</w:t>
      </w:r>
      <w:r>
        <w:rPr>
          <w:rFonts w:hint="eastAsia" w:ascii="宋体" w:hAnsi="宋体" w:eastAsia="宋体" w:cs="宋体"/>
          <w:color w:val="000000" w:themeColor="text1"/>
          <w:sz w:val="24"/>
          <w:highlight w:val="none"/>
          <w14:textFill>
            <w14:solidFill>
              <w14:schemeClr w14:val="tx1"/>
            </w14:solidFill>
          </w14:textFill>
        </w:rPr>
        <w:t>将在</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eastAsia="宋体" w:cs="宋体"/>
          <w:color w:val="000000" w:themeColor="text1"/>
          <w:sz w:val="24"/>
          <w:highlight w:val="none"/>
          <w14:textFill>
            <w14:solidFill>
              <w14:schemeClr w14:val="tx1"/>
            </w14:solidFill>
          </w14:textFill>
        </w:rPr>
        <w:t>通知书发出后5日内</w:t>
      </w:r>
      <w:r>
        <w:rPr>
          <w:rFonts w:hint="eastAsia" w:ascii="宋体" w:hAnsi="宋体" w:eastAsia="宋体" w:cs="宋体"/>
          <w:color w:val="000000" w:themeColor="text1"/>
          <w:sz w:val="24"/>
          <w:highlight w:val="none"/>
          <w:lang w:val="en-US" w:eastAsia="zh-CN"/>
          <w14:textFill>
            <w14:solidFill>
              <w14:schemeClr w14:val="tx1"/>
            </w14:solidFill>
          </w14:textFill>
        </w:rPr>
        <w:t>按规定</w:t>
      </w:r>
      <w:r>
        <w:rPr>
          <w:rFonts w:hint="eastAsia" w:ascii="宋体" w:hAnsi="宋体" w:eastAsia="宋体" w:cs="宋体"/>
          <w:color w:val="000000" w:themeColor="text1"/>
          <w:sz w:val="24"/>
          <w:highlight w:val="none"/>
          <w14:textFill>
            <w14:solidFill>
              <w14:schemeClr w14:val="tx1"/>
            </w14:solidFill>
          </w14:textFill>
        </w:rPr>
        <w:t>退还；</w:t>
      </w:r>
      <w:r>
        <w:rPr>
          <w:rFonts w:hint="eastAsia" w:ascii="宋体" w:hAnsi="宋体" w:cs="宋体"/>
          <w:color w:val="000000" w:themeColor="text1"/>
          <w:sz w:val="24"/>
          <w:highlight w:val="none"/>
          <w:lang w:eastAsia="zh-CN"/>
          <w14:textFill>
            <w14:solidFill>
              <w14:schemeClr w14:val="tx1"/>
            </w14:solidFill>
          </w14:textFill>
        </w:rPr>
        <w:t>成交人</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谈判保证金</w:t>
      </w:r>
      <w:r>
        <w:rPr>
          <w:rFonts w:hint="eastAsia" w:ascii="宋体" w:hAnsi="宋体" w:eastAsia="宋体" w:cs="宋体"/>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lang w:eastAsia="zh-CN"/>
          <w14:textFill>
            <w14:solidFill>
              <w14:schemeClr w14:val="tx1"/>
            </w14:solidFill>
          </w14:textFill>
        </w:rPr>
        <w:t>成交人</w:t>
      </w:r>
      <w:r>
        <w:rPr>
          <w:rFonts w:hint="eastAsia" w:ascii="宋体" w:hAnsi="宋体" w:eastAsia="宋体" w:cs="宋体"/>
          <w:color w:val="000000" w:themeColor="text1"/>
          <w:sz w:val="24"/>
          <w:highlight w:val="none"/>
          <w14:textFill>
            <w14:solidFill>
              <w14:schemeClr w14:val="tx1"/>
            </w14:solidFill>
          </w14:textFill>
        </w:rPr>
        <w:t>按本须知规定签订合同后5日内</w:t>
      </w:r>
      <w:r>
        <w:rPr>
          <w:rFonts w:hint="eastAsia" w:ascii="宋体" w:hAnsi="宋体" w:eastAsia="宋体" w:cs="宋体"/>
          <w:color w:val="000000" w:themeColor="text1"/>
          <w:sz w:val="24"/>
          <w:highlight w:val="none"/>
          <w:lang w:val="en-US" w:eastAsia="zh-CN"/>
          <w14:textFill>
            <w14:solidFill>
              <w14:schemeClr w14:val="tx1"/>
            </w14:solidFill>
          </w14:textFill>
        </w:rPr>
        <w:t>按规定</w:t>
      </w:r>
      <w:r>
        <w:rPr>
          <w:rFonts w:hint="eastAsia" w:ascii="宋体" w:hAnsi="宋体" w:eastAsia="宋体" w:cs="宋体"/>
          <w:color w:val="000000" w:themeColor="text1"/>
          <w:sz w:val="24"/>
          <w:highlight w:val="none"/>
          <w14:textFill>
            <w14:solidFill>
              <w14:schemeClr w14:val="tx1"/>
            </w14:solidFill>
          </w14:textFill>
        </w:rPr>
        <w:t>退还。</w:t>
      </w:r>
    </w:p>
    <w:p w14:paraId="6DCF3557">
      <w:pPr>
        <w:kinsoku/>
        <w:overflowPunct/>
        <w:bidi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 xml:space="preserve"> 如</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发生下列情况之一时，</w:t>
      </w:r>
      <w:r>
        <w:rPr>
          <w:rFonts w:hint="eastAsia" w:ascii="宋体" w:hAnsi="宋体" w:cs="宋体"/>
          <w:color w:val="000000" w:themeColor="text1"/>
          <w:sz w:val="24"/>
          <w:highlight w:val="none"/>
          <w:lang w:eastAsia="zh-CN"/>
          <w14:textFill>
            <w14:solidFill>
              <w14:schemeClr w14:val="tx1"/>
            </w14:solidFill>
          </w14:textFill>
        </w:rPr>
        <w:t>谈判保证金</w:t>
      </w:r>
      <w:r>
        <w:rPr>
          <w:rFonts w:hint="eastAsia" w:ascii="宋体" w:hAnsi="宋体" w:eastAsia="宋体" w:cs="宋体"/>
          <w:color w:val="000000" w:themeColor="text1"/>
          <w:sz w:val="24"/>
          <w:highlight w:val="none"/>
          <w14:textFill>
            <w14:solidFill>
              <w14:schemeClr w14:val="tx1"/>
            </w14:solidFill>
          </w14:textFill>
        </w:rPr>
        <w:t>将被没收：</w:t>
      </w:r>
    </w:p>
    <w:p w14:paraId="2C53771D">
      <w:pPr>
        <w:kinsoku/>
        <w:overflowPunct/>
        <w:bidi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4.1</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lang w:val="en-US" w:eastAsia="zh-CN"/>
          <w14:textFill>
            <w14:solidFill>
              <w14:schemeClr w14:val="tx1"/>
            </w14:solidFill>
          </w14:textFill>
        </w:rPr>
        <w:t>谈判</w:t>
      </w:r>
      <w:r>
        <w:rPr>
          <w:rFonts w:hint="eastAsia" w:ascii="宋体" w:hAnsi="宋体" w:eastAsia="宋体" w:cs="宋体"/>
          <w:color w:val="000000" w:themeColor="text1"/>
          <w:sz w:val="24"/>
          <w:highlight w:val="none"/>
          <w14:textFill>
            <w14:solidFill>
              <w14:schemeClr w14:val="tx1"/>
            </w14:solidFill>
          </w14:textFill>
        </w:rPr>
        <w:t>有效期中撤回其</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w:t>
      </w:r>
    </w:p>
    <w:p w14:paraId="06A0FBFF">
      <w:pPr>
        <w:kinsoku/>
        <w:overflowPunct/>
        <w:bidi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4.2</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eastAsia="宋体" w:cs="宋体"/>
          <w:color w:val="000000" w:themeColor="text1"/>
          <w:sz w:val="24"/>
          <w:highlight w:val="none"/>
          <w14:textFill>
            <w14:solidFill>
              <w14:schemeClr w14:val="tx1"/>
            </w14:solidFill>
          </w14:textFill>
        </w:rPr>
        <w:t>人未能在规定期限内提交履约</w:t>
      </w:r>
      <w:r>
        <w:rPr>
          <w:rFonts w:hint="eastAsia" w:ascii="宋体" w:hAnsi="宋体" w:eastAsia="宋体" w:cs="宋体"/>
          <w:color w:val="000000" w:themeColor="text1"/>
          <w:sz w:val="24"/>
          <w:highlight w:val="none"/>
          <w:lang w:val="en-US" w:eastAsia="zh-CN"/>
          <w14:textFill>
            <w14:solidFill>
              <w14:schemeClr w14:val="tx1"/>
            </w14:solidFill>
          </w14:textFill>
        </w:rPr>
        <w:t>保证金</w:t>
      </w:r>
      <w:r>
        <w:rPr>
          <w:rFonts w:hint="eastAsia" w:ascii="宋体" w:hAnsi="宋体" w:eastAsia="宋体" w:cs="宋体"/>
          <w:color w:val="000000" w:themeColor="text1"/>
          <w:sz w:val="24"/>
          <w:highlight w:val="none"/>
          <w14:textFill>
            <w14:solidFill>
              <w14:schemeClr w14:val="tx1"/>
            </w14:solidFill>
          </w14:textFill>
        </w:rPr>
        <w:t>或签订合同协议</w:t>
      </w:r>
      <w:r>
        <w:rPr>
          <w:rFonts w:hint="eastAsia" w:ascii="宋体" w:hAnsi="宋体" w:eastAsia="宋体" w:cs="宋体"/>
          <w:color w:val="000000" w:themeColor="text1"/>
          <w:sz w:val="24"/>
          <w:highlight w:val="none"/>
          <w:lang w:eastAsia="zh-CN"/>
          <w14:textFill>
            <w14:solidFill>
              <w14:schemeClr w14:val="tx1"/>
            </w14:solidFill>
          </w14:textFill>
        </w:rPr>
        <w:t>；</w:t>
      </w:r>
    </w:p>
    <w:p w14:paraId="4CCBE9A1">
      <w:pPr>
        <w:kinsoku/>
        <w:overflowPunct/>
        <w:bidi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4.3</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lang w:val="en-US" w:eastAsia="zh-CN"/>
          <w14:textFill>
            <w14:solidFill>
              <w14:schemeClr w14:val="tx1"/>
            </w14:solidFill>
          </w14:textFill>
        </w:rPr>
        <w:t>谈判</w:t>
      </w:r>
      <w:r>
        <w:rPr>
          <w:rFonts w:hint="eastAsia" w:ascii="宋体" w:hAnsi="宋体" w:eastAsia="宋体" w:cs="宋体"/>
          <w:color w:val="000000" w:themeColor="text1"/>
          <w:sz w:val="24"/>
          <w:highlight w:val="none"/>
          <w14:textFill>
            <w14:solidFill>
              <w14:schemeClr w14:val="tx1"/>
            </w14:solidFill>
          </w14:textFill>
        </w:rPr>
        <w:t>有效期中撤回其</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w:t>
      </w:r>
    </w:p>
    <w:p w14:paraId="45940032">
      <w:pPr>
        <w:kinsoku/>
        <w:overflowPunct/>
        <w:bidi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.4 </w:t>
      </w:r>
      <w:r>
        <w:rPr>
          <w:rFonts w:hint="eastAsia" w:ascii="宋体" w:hAnsi="宋体" w:cs="宋体"/>
          <w:color w:val="000000" w:themeColor="text1"/>
          <w:sz w:val="24"/>
          <w:highlight w:val="none"/>
          <w:lang w:val="en-US" w:eastAsia="zh-CN"/>
          <w14:textFill>
            <w14:solidFill>
              <w14:schemeClr w14:val="tx1"/>
            </w14:solidFill>
          </w14:textFill>
        </w:rPr>
        <w:t>谈判采购文件</w:t>
      </w:r>
      <w:r>
        <w:rPr>
          <w:rFonts w:hint="eastAsia" w:ascii="宋体" w:hAnsi="宋体" w:eastAsia="宋体" w:cs="宋体"/>
          <w:color w:val="000000" w:themeColor="text1"/>
          <w:sz w:val="24"/>
          <w:highlight w:val="none"/>
          <w14:textFill>
            <w14:solidFill>
              <w14:schemeClr w14:val="tx1"/>
            </w14:solidFill>
          </w14:textFill>
        </w:rPr>
        <w:t>或法律法规规定的其他情形。</w:t>
      </w:r>
    </w:p>
    <w:p w14:paraId="4A850107">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3.5响应文件的编制</w:t>
      </w:r>
    </w:p>
    <w:p w14:paraId="4085D4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3.5.1响应文件应按第六章“响应文件格式”进行编写，如有必要，可以增加附页，作为响应文件的组成部分。其中，</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函附录在满足</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文件实质性要求的基础上，可以提出比</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文件要求更有利于采购人的承诺。</w:t>
      </w:r>
    </w:p>
    <w:p w14:paraId="72FAC2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响应文件应当对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文件有关</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有效期、质量要求、</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、主要服务内容等实质性内容作出响应。</w:t>
      </w:r>
    </w:p>
    <w:p w14:paraId="0D8790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响应文件应用不褪色的材料书写或打印，并由供应商的法定代表人或其委托代理人签字或盖章且盖单位章。委托代理人签字或盖章的，响应文件应附法定代表人签署的授权委托书。响应文件应尽量避免涂改、行间插字或删除。如果出现上述情况，改动之处应加盖单位章或由供应商的法定代表人或其授权的代理人签字或盖章确认。签字或盖章的具体要求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58F879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响应文件正本一份, 副本份数</w:t>
      </w:r>
      <w:r>
        <w:rPr>
          <w:rFonts w:hint="eastAsia" w:ascii="宋体" w:hAnsi="宋体" w:eastAsia="宋体" w:cs="宋体"/>
          <w:color w:val="auto"/>
          <w:sz w:val="24"/>
          <w:szCs w:val="24"/>
          <w:highlight w:val="none"/>
          <w:lang w:val="en-US" w:eastAsia="zh-CN"/>
        </w:rPr>
        <w:t>及电子标书详</w:t>
      </w:r>
      <w:r>
        <w:rPr>
          <w:rFonts w:hint="eastAsia" w:ascii="宋体" w:hAnsi="宋体" w:eastAsia="宋体" w:cs="宋体"/>
          <w:color w:val="auto"/>
          <w:sz w:val="24"/>
          <w:szCs w:val="24"/>
          <w:highlight w:val="none"/>
        </w:rPr>
        <w:t>见供应商须知前附表。正本和副本的封面上应清楚地标记“正本”或“副本”的字样。当副本和正本不一致时，以正本为准。</w:t>
      </w:r>
    </w:p>
    <w:p w14:paraId="4DD8E2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 响应文件的正本与副本应分别装订成册，具体装订要求见供应商须知前附表规定。</w:t>
      </w:r>
    </w:p>
    <w:p w14:paraId="07377605">
      <w:pPr>
        <w:pStyle w:val="3"/>
        <w:rPr>
          <w:rFonts w:hint="eastAsia" w:ascii="宋体" w:hAnsi="宋体" w:eastAsia="宋体" w:cs="宋体"/>
          <w:color w:val="auto"/>
          <w:szCs w:val="24"/>
          <w:highlight w:val="none"/>
          <w:lang w:eastAsia="zh-CN"/>
        </w:rPr>
      </w:pPr>
      <w:bookmarkStart w:id="52" w:name="_Toc31961"/>
      <w:bookmarkStart w:id="53" w:name="_Toc22027"/>
      <w:r>
        <w:rPr>
          <w:rFonts w:hint="eastAsia" w:ascii="宋体" w:hAnsi="宋体" w:eastAsia="宋体" w:cs="宋体"/>
          <w:color w:val="auto"/>
          <w:szCs w:val="24"/>
          <w:highlight w:val="none"/>
        </w:rPr>
        <w:t xml:space="preserve">4. </w:t>
      </w:r>
      <w:bookmarkEnd w:id="52"/>
      <w:bookmarkEnd w:id="53"/>
      <w:r>
        <w:rPr>
          <w:rFonts w:hint="eastAsia" w:ascii="宋体" w:hAnsi="宋体" w:cs="宋体"/>
          <w:color w:val="auto"/>
          <w:szCs w:val="24"/>
          <w:highlight w:val="none"/>
          <w:lang w:val="en-US" w:eastAsia="zh-CN"/>
        </w:rPr>
        <w:t>谈判</w:t>
      </w:r>
    </w:p>
    <w:p w14:paraId="41505978">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4.1 响应文件的密封</w:t>
      </w:r>
    </w:p>
    <w:p w14:paraId="39AFBF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4.1.1响应文件要求密封完好，并加盖单位章或密封章。</w:t>
      </w:r>
    </w:p>
    <w:p w14:paraId="5A3B39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响应文件封套上应写明的内容见供应商须知前附表。</w:t>
      </w:r>
    </w:p>
    <w:p w14:paraId="500B9A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未按本章第4.1.1项或第4.1.2项要求密封和加写标记的响应文件，采购人应予拒收。</w:t>
      </w:r>
    </w:p>
    <w:p w14:paraId="0223DBA5">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4.2 响应文件的递交</w:t>
      </w:r>
    </w:p>
    <w:p w14:paraId="76A958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供应商应在本章第2.2.2项规定的</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时间前递交响应文件。</w:t>
      </w:r>
    </w:p>
    <w:p w14:paraId="68EDA2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供应商递交响应文件的地点：见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484F39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除</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另有规定外，供应商所递交的响应文件不予退还。</w:t>
      </w:r>
    </w:p>
    <w:p w14:paraId="6AC570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 采购人收到响应文件后，向供应商出具签收凭证。</w:t>
      </w:r>
    </w:p>
    <w:p w14:paraId="35A5A2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逾期送达的或者未送达指定地点的响应文件，采购人不予受理。</w:t>
      </w:r>
    </w:p>
    <w:p w14:paraId="0FA22818">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4.3 响应文件的修改与撤回</w:t>
      </w:r>
    </w:p>
    <w:p w14:paraId="096D23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在本章第2.2.2项规定的</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时间前，供应商可以修改或撤回已递交的响应文件，但应以书面形式通知采购人。</w:t>
      </w:r>
    </w:p>
    <w:p w14:paraId="76C417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供应商修改或撤回已递交响应文件的书面通知应按照本章第3.5.3项的要求签字或盖章。采购人收到书面通知后，向供应商出具签收凭证。</w:t>
      </w:r>
    </w:p>
    <w:p w14:paraId="7FE4F4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 修改的内容为响应文件的组成部分。修改的响应文件应按照本章第3条、第4条规定进行编制、密封、标记和递交，并标明“修改”字样。</w:t>
      </w:r>
    </w:p>
    <w:p w14:paraId="6078E6D0">
      <w:pPr>
        <w:pStyle w:val="3"/>
        <w:rPr>
          <w:rFonts w:hint="eastAsia" w:ascii="宋体" w:hAnsi="宋体" w:eastAsia="宋体" w:cs="宋体"/>
          <w:color w:val="auto"/>
          <w:szCs w:val="24"/>
          <w:highlight w:val="none"/>
        </w:rPr>
      </w:pPr>
      <w:bookmarkStart w:id="54" w:name="_Toc1275"/>
      <w:bookmarkStart w:id="55" w:name="_Toc23359"/>
      <w:r>
        <w:rPr>
          <w:rFonts w:hint="eastAsia" w:ascii="宋体" w:hAnsi="宋体" w:eastAsia="宋体" w:cs="宋体"/>
          <w:color w:val="auto"/>
          <w:szCs w:val="24"/>
          <w:highlight w:val="none"/>
        </w:rPr>
        <w:t>5. 谈判</w:t>
      </w:r>
      <w:bookmarkEnd w:id="54"/>
      <w:bookmarkEnd w:id="55"/>
    </w:p>
    <w:p w14:paraId="481B7CA3">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5.1 谈判时间和地点</w:t>
      </w:r>
    </w:p>
    <w:p w14:paraId="2F77A0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采购人在本章</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第2.2.2项规定的</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时间（谈判时间）和</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 xml:space="preserve">规定的地点公开谈判，所有供应商的法定代表人或授权代理人准时参加。 </w:t>
      </w:r>
    </w:p>
    <w:p w14:paraId="3444993B">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5.2 谈判程序</w:t>
      </w:r>
    </w:p>
    <w:p w14:paraId="401E07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主持人按下列程序进行谈判：</w:t>
      </w:r>
    </w:p>
    <w:p w14:paraId="56446E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(l）宣布谈判纪律；</w:t>
      </w:r>
    </w:p>
    <w:p w14:paraId="29B978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公布在</w:t>
      </w:r>
      <w:r>
        <w:rPr>
          <w:rFonts w:hint="eastAsia" w:ascii="宋体" w:hAnsi="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时间前递交响应文件的供应商名称，并点名确认供应商是否派人到场；</w:t>
      </w:r>
    </w:p>
    <w:p w14:paraId="38E01C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(3）宣布谈判人、记录人、监标人等有关人员姓名；</w:t>
      </w:r>
    </w:p>
    <w:p w14:paraId="1EC032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规定检查响应文件的密封情况；</w:t>
      </w:r>
    </w:p>
    <w:p w14:paraId="7A3831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的规定确定并宣布响应文件谈判顺序；</w:t>
      </w:r>
    </w:p>
    <w:p w14:paraId="446FAE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(6）设有标底的，公布标底；</w:t>
      </w:r>
    </w:p>
    <w:p w14:paraId="68044D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(7）供应商代表、采购人代表、监标人、记录人等有关人员在谈判记录上签字确认，本次</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，一轮报价不公开；</w:t>
      </w:r>
    </w:p>
    <w:p w14:paraId="0CCD95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(8）谈判结束。</w:t>
      </w:r>
    </w:p>
    <w:p w14:paraId="15F982B5">
      <w:pPr>
        <w:pStyle w:val="3"/>
        <w:rPr>
          <w:rFonts w:hint="eastAsia" w:ascii="宋体" w:hAnsi="宋体" w:eastAsia="宋体" w:cs="宋体"/>
          <w:color w:val="auto"/>
          <w:szCs w:val="24"/>
          <w:highlight w:val="none"/>
          <w:lang w:eastAsia="zh-CN"/>
        </w:rPr>
      </w:pPr>
      <w:bookmarkStart w:id="56" w:name="_Toc20537"/>
      <w:bookmarkStart w:id="57" w:name="_Toc25651"/>
      <w:r>
        <w:rPr>
          <w:rFonts w:hint="eastAsia" w:ascii="宋体" w:hAnsi="宋体" w:eastAsia="宋体" w:cs="宋体"/>
          <w:color w:val="auto"/>
          <w:szCs w:val="24"/>
          <w:highlight w:val="none"/>
        </w:rPr>
        <w:t xml:space="preserve">6. </w:t>
      </w:r>
      <w:bookmarkEnd w:id="56"/>
      <w:bookmarkEnd w:id="57"/>
      <w:r>
        <w:rPr>
          <w:rFonts w:hint="eastAsia" w:ascii="宋体" w:hAnsi="宋体" w:cs="宋体"/>
          <w:color w:val="auto"/>
          <w:szCs w:val="24"/>
          <w:highlight w:val="none"/>
          <w:lang w:eastAsia="zh-CN"/>
        </w:rPr>
        <w:t>评审</w:t>
      </w:r>
    </w:p>
    <w:p w14:paraId="47790268">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6.1 谈判小组</w:t>
      </w:r>
    </w:p>
    <w:p w14:paraId="2234BA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6.1.1 </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由采购人依法组建的谈判小组负责。谈判小组由采购人或其委托的采购代理机构熟悉相关业务的代表，以及有关技术、经济等方面的专家组成。谈判小组成员人数以及技术、经济等方面专家的确定方式见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05D9D6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谈判小组成员有下列情形之一的，应当回避：</w:t>
      </w:r>
    </w:p>
    <w:p w14:paraId="5A5420D3">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（1）供应商或供应商主要负责人的近亲属；</w:t>
      </w:r>
    </w:p>
    <w:p w14:paraId="64547AF4">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17DB39C9">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（3）与供应商有经济利益关系；</w:t>
      </w:r>
    </w:p>
    <w:p w14:paraId="431B4103">
      <w:pPr>
        <w:spacing w:line="360" w:lineRule="auto"/>
        <w:ind w:firstLine="410" w:firstLineChars="17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以及其他与</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有关活动中从事违法行为而受过行政处罚或刑事处罚的；</w:t>
      </w:r>
    </w:p>
    <w:p w14:paraId="78488EFE">
      <w:pPr>
        <w:spacing w:line="360" w:lineRule="auto"/>
        <w:ind w:firstLine="410" w:firstLineChars="17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（5）与供应商有其他利害关系。</w:t>
      </w:r>
    </w:p>
    <w:p w14:paraId="73DAA01D">
      <w:pPr>
        <w:spacing w:line="360" w:lineRule="auto"/>
        <w:jc w:val="left"/>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6.2 </w:t>
      </w:r>
      <w:r>
        <w:rPr>
          <w:rStyle w:val="57"/>
          <w:rFonts w:hint="eastAsia" w:ascii="宋体" w:hAnsi="宋体" w:cs="宋体"/>
          <w:color w:val="auto"/>
          <w:sz w:val="24"/>
          <w:szCs w:val="24"/>
          <w:highlight w:val="none"/>
          <w:lang w:eastAsia="zh-CN"/>
        </w:rPr>
        <w:t>评审</w:t>
      </w:r>
      <w:r>
        <w:rPr>
          <w:rStyle w:val="57"/>
          <w:rFonts w:hint="eastAsia" w:ascii="宋体" w:hAnsi="宋体" w:eastAsia="宋体" w:cs="宋体"/>
          <w:color w:val="auto"/>
          <w:sz w:val="24"/>
          <w:szCs w:val="24"/>
          <w:highlight w:val="none"/>
        </w:rPr>
        <w:t>原则</w:t>
      </w:r>
    </w:p>
    <w:p w14:paraId="5C6B50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活动遵循公平、公正、科学和择优的原则。</w:t>
      </w:r>
    </w:p>
    <w:p w14:paraId="3B93B914">
      <w:pPr>
        <w:spacing w:line="360" w:lineRule="auto"/>
        <w:rPr>
          <w:rStyle w:val="57"/>
          <w:rFonts w:hint="eastAsia" w:ascii="宋体" w:hAnsi="宋体" w:eastAsia="宋体" w:cs="宋体"/>
          <w:color w:val="auto"/>
          <w:sz w:val="24"/>
          <w:szCs w:val="24"/>
          <w:highlight w:val="none"/>
          <w:lang w:eastAsia="zh-CN"/>
        </w:rPr>
      </w:pPr>
      <w:r>
        <w:rPr>
          <w:rStyle w:val="57"/>
          <w:rFonts w:hint="eastAsia" w:ascii="宋体" w:hAnsi="宋体" w:eastAsia="宋体" w:cs="宋体"/>
          <w:color w:val="auto"/>
          <w:sz w:val="24"/>
          <w:szCs w:val="24"/>
          <w:highlight w:val="none"/>
        </w:rPr>
        <w:t xml:space="preserve">6.3 </w:t>
      </w:r>
      <w:r>
        <w:rPr>
          <w:rStyle w:val="57"/>
          <w:rFonts w:hint="eastAsia" w:ascii="宋体" w:hAnsi="宋体" w:cs="宋体"/>
          <w:color w:val="auto"/>
          <w:sz w:val="24"/>
          <w:szCs w:val="24"/>
          <w:highlight w:val="none"/>
          <w:lang w:eastAsia="zh-CN"/>
        </w:rPr>
        <w:t>评审</w:t>
      </w:r>
    </w:p>
    <w:p w14:paraId="7C7677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谈判小组按照第三章“</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办法”规定的方法、评审因素、标准和程序对响应文件进行评审。第三章“</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办法”没有规定的方法、评审因素和标准，不作为</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依据。</w:t>
      </w:r>
    </w:p>
    <w:p w14:paraId="28D82139">
      <w:pPr>
        <w:pStyle w:val="3"/>
        <w:rPr>
          <w:rFonts w:hint="eastAsia" w:ascii="宋体" w:hAnsi="宋体" w:eastAsia="宋体" w:cs="宋体"/>
          <w:color w:val="auto"/>
          <w:szCs w:val="24"/>
          <w:highlight w:val="none"/>
        </w:rPr>
      </w:pPr>
      <w:bookmarkStart w:id="58" w:name="_Toc28451"/>
      <w:bookmarkStart w:id="59" w:name="_Toc8568"/>
      <w:r>
        <w:rPr>
          <w:rFonts w:hint="eastAsia" w:ascii="宋体" w:hAnsi="宋体" w:eastAsia="宋体" w:cs="宋体"/>
          <w:color w:val="auto"/>
          <w:szCs w:val="24"/>
          <w:highlight w:val="none"/>
        </w:rPr>
        <w:t>7. 合同授予</w:t>
      </w:r>
      <w:bookmarkEnd w:id="58"/>
      <w:bookmarkEnd w:id="59"/>
    </w:p>
    <w:p w14:paraId="01960F76">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7.1 定标方式</w:t>
      </w:r>
    </w:p>
    <w:p w14:paraId="636FAD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规定谈判小组直接确定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外，采购人依据谈判小组推荐的</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候选人确定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，谈判小组推荐</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候选人的人数见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0BAC36D4">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7.2 </w:t>
      </w:r>
      <w:r>
        <w:rPr>
          <w:rStyle w:val="57"/>
          <w:rFonts w:hint="eastAsia" w:ascii="宋体" w:hAnsi="宋体" w:cs="宋体"/>
          <w:color w:val="auto"/>
          <w:sz w:val="24"/>
          <w:szCs w:val="24"/>
          <w:highlight w:val="none"/>
          <w:lang w:eastAsia="zh-CN"/>
        </w:rPr>
        <w:t>成交</w:t>
      </w:r>
      <w:r>
        <w:rPr>
          <w:rStyle w:val="57"/>
          <w:rFonts w:hint="eastAsia" w:ascii="宋体" w:hAnsi="宋体" w:eastAsia="宋体" w:cs="宋体"/>
          <w:color w:val="auto"/>
          <w:sz w:val="24"/>
          <w:szCs w:val="24"/>
          <w:highlight w:val="none"/>
        </w:rPr>
        <w:t>通知</w:t>
      </w:r>
    </w:p>
    <w:p w14:paraId="78C099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结果将</w:t>
      </w:r>
      <w:r>
        <w:rPr>
          <w:rFonts w:hint="eastAsia" w:ascii="宋体" w:hAnsi="宋体" w:cs="宋体"/>
          <w:color w:val="000000" w:themeColor="text1"/>
          <w:sz w:val="24"/>
          <w:szCs w:val="24"/>
          <w:highlight w:val="none"/>
          <w:lang w:val="en-US" w:eastAsia="zh-CN"/>
          <w14:textFill>
            <w14:solidFill>
              <w14:schemeClr w14:val="tx1"/>
            </w14:solidFill>
          </w14:textFill>
        </w:rPr>
        <w:t>在云南省玉溪市政府采购限额标准以下服务市场网（https://cg.zbj.com/）公开发布</w:t>
      </w:r>
      <w:r>
        <w:rPr>
          <w:rFonts w:hint="eastAsia" w:ascii="宋体" w:hAnsi="宋体" w:eastAsia="宋体" w:cs="宋体"/>
          <w:color w:val="auto"/>
          <w:sz w:val="24"/>
          <w:szCs w:val="24"/>
          <w:highlight w:val="none"/>
        </w:rPr>
        <w:t>，排名第一的</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候选人放弃</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、因不可抗力不能履行合同、不按照</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文件要求提交履约保证金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，或者被查实存在影响</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结果的违法行为等情形，不符合</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条件的，采购人可以按照谈判小组提出的</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候选人名单排序依次确定其他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。依次确定其他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候选人与采购人预期差距较大，或者对采购人明显不利的，采购人可以选择重新</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6DB75300">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7.3 履约担保</w:t>
      </w:r>
    </w:p>
    <w:p w14:paraId="723A30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222EE9E4">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7.4 签订合同</w:t>
      </w:r>
    </w:p>
    <w:p w14:paraId="26CA2B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7.4.1采购人和</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通知书发出之日起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天内，根据</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文件和</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的响应文件订立书面合同。</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无正当理由拒签合同的，采购人取消其</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资格。</w:t>
      </w:r>
    </w:p>
    <w:p w14:paraId="738745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发出</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通知书后，采购人无正当理由拒签合同的，采购人向</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退还谈判保证金；给</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造成损失的，还应当赔偿损失。</w:t>
      </w:r>
    </w:p>
    <w:p w14:paraId="72338E7F">
      <w:pPr>
        <w:pStyle w:val="3"/>
        <w:rPr>
          <w:rFonts w:hint="eastAsia" w:ascii="宋体" w:hAnsi="宋体" w:eastAsia="宋体" w:cs="宋体"/>
          <w:color w:val="auto"/>
          <w:szCs w:val="24"/>
          <w:highlight w:val="none"/>
        </w:rPr>
      </w:pPr>
      <w:bookmarkStart w:id="60" w:name="_Toc9064"/>
      <w:bookmarkStart w:id="61" w:name="_Toc26168"/>
      <w:r>
        <w:rPr>
          <w:rFonts w:hint="eastAsia" w:ascii="宋体" w:hAnsi="宋体" w:eastAsia="宋体" w:cs="宋体"/>
          <w:color w:val="auto"/>
          <w:szCs w:val="24"/>
          <w:highlight w:val="none"/>
        </w:rPr>
        <w:t>8. 纪律和监督</w:t>
      </w:r>
      <w:bookmarkEnd w:id="60"/>
      <w:bookmarkEnd w:id="61"/>
    </w:p>
    <w:p w14:paraId="7CA95017">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8.1 对采购人的纪律要求</w:t>
      </w:r>
    </w:p>
    <w:p w14:paraId="35D92D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采购人不得泄漏</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活动中应当保密的情况和资料，不得与供应商串通损害国家利益、社会公共利益或者他人合法权益。</w:t>
      </w:r>
    </w:p>
    <w:p w14:paraId="19CF2E89">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8.2 对供应商的纪律要求</w:t>
      </w:r>
    </w:p>
    <w:p w14:paraId="11C203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供应商不得相互串通</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或者与采购人串通</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，不得向采购人或者谈判小组成员行贿谋取中</w:t>
      </w:r>
      <w:r>
        <w:rPr>
          <w:rFonts w:hint="eastAsia" w:ascii="宋体" w:hAnsi="宋体" w:cs="宋体"/>
          <w:color w:val="auto"/>
          <w:sz w:val="24"/>
          <w:szCs w:val="24"/>
          <w:highlight w:val="none"/>
          <w:lang w:val="en-US" w:eastAsia="zh-CN"/>
        </w:rPr>
        <w:t>选</w:t>
      </w:r>
      <w:r>
        <w:rPr>
          <w:rFonts w:hint="eastAsia" w:ascii="宋体" w:hAnsi="宋体" w:eastAsia="宋体" w:cs="宋体"/>
          <w:color w:val="auto"/>
          <w:sz w:val="24"/>
          <w:szCs w:val="24"/>
          <w:highlight w:val="none"/>
        </w:rPr>
        <w:t>，不得以他人名义</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或者以其他方式弄虚作假骗取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；供应商不得以任何方式干扰、影响</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工作。</w:t>
      </w:r>
    </w:p>
    <w:p w14:paraId="42EA1E17">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8.3 对谈判小组成员的纪律要求</w:t>
      </w:r>
    </w:p>
    <w:p w14:paraId="4A0BD8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谈判小组成员不得收受他人的财物或者其他好处，不得向他人透漏对响应文件的评审和比较、</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有关的其他情况。在</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活动中，谈判小组成员应当客观、公正地履行职责，遵守职业道德，不得擅离职守，影响</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程序正常进行，不得使用第三章“</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办法”没有规定的评审因素和标准进行</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1C76C852">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8.4 对与</w:t>
      </w:r>
      <w:r>
        <w:rPr>
          <w:rStyle w:val="57"/>
          <w:rFonts w:hint="eastAsia" w:ascii="宋体" w:hAnsi="宋体" w:cs="宋体"/>
          <w:color w:val="auto"/>
          <w:sz w:val="24"/>
          <w:szCs w:val="24"/>
          <w:highlight w:val="none"/>
          <w:lang w:eastAsia="zh-CN"/>
        </w:rPr>
        <w:t>评审</w:t>
      </w:r>
      <w:r>
        <w:rPr>
          <w:rStyle w:val="57"/>
          <w:rFonts w:hint="eastAsia" w:ascii="宋体" w:hAnsi="宋体" w:eastAsia="宋体" w:cs="宋体"/>
          <w:color w:val="auto"/>
          <w:sz w:val="24"/>
          <w:szCs w:val="24"/>
          <w:highlight w:val="none"/>
        </w:rPr>
        <w:t>活动有关的工作人员的纪律要求</w:t>
      </w:r>
    </w:p>
    <w:p w14:paraId="70E26A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活动有关的工作人员不得收受他人的财物或者其他好处，不得向他人透漏对响应文件的评审和比较、</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候选人的推荐情况以及</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有关的其他情况。在</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活动中，与</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活动有关的工作人员不得擅离职守，影响</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程序正常进行。</w:t>
      </w:r>
    </w:p>
    <w:p w14:paraId="32ACC781">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8.5 投诉</w:t>
      </w:r>
    </w:p>
    <w:p w14:paraId="3C78E2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供应商和其他利害关系人认为本次</w:t>
      </w:r>
      <w:r>
        <w:rPr>
          <w:rFonts w:hint="eastAsia" w:ascii="宋体" w:hAnsi="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活动违反法律、法规和规章规定的，有权向有关行政监督部门投诉。</w:t>
      </w:r>
    </w:p>
    <w:p w14:paraId="6AD5D5DC">
      <w:pPr>
        <w:pStyle w:val="3"/>
        <w:rPr>
          <w:rFonts w:hint="eastAsia" w:ascii="宋体" w:hAnsi="宋体" w:eastAsia="宋体" w:cs="宋体"/>
          <w:color w:val="auto"/>
          <w:szCs w:val="24"/>
          <w:highlight w:val="none"/>
        </w:rPr>
      </w:pPr>
      <w:bookmarkStart w:id="62" w:name="_Toc17464"/>
      <w:bookmarkStart w:id="63" w:name="_Toc27138"/>
      <w:r>
        <w:rPr>
          <w:rFonts w:hint="eastAsia" w:ascii="宋体" w:hAnsi="宋体" w:eastAsia="宋体" w:cs="宋体"/>
          <w:color w:val="auto"/>
          <w:szCs w:val="24"/>
          <w:highlight w:val="none"/>
        </w:rPr>
        <w:t>9. 需要补充的其他内容</w:t>
      </w:r>
      <w:bookmarkEnd w:id="62"/>
      <w:bookmarkEnd w:id="63"/>
    </w:p>
    <w:p w14:paraId="070C27B8">
      <w:pPr>
        <w:spacing w:line="360" w:lineRule="auto"/>
        <w:ind w:firstLine="480" w:firstLineChars="200"/>
        <w:rPr>
          <w:rFonts w:hint="eastAsia" w:ascii="宋体" w:hAnsi="宋体" w:eastAsia="宋体" w:cs="宋体"/>
          <w:color w:val="auto"/>
          <w:sz w:val="24"/>
          <w:szCs w:val="24"/>
          <w:highlight w:val="none"/>
        </w:rPr>
        <w:sectPr>
          <w:pgSz w:w="11905" w:h="16838"/>
          <w:pgMar w:top="1383" w:right="1366" w:bottom="1383" w:left="1366" w:header="907" w:footer="737" w:gutter="0"/>
          <w:pgBorders>
            <w:top w:val="none" w:sz="0" w:space="0"/>
            <w:left w:val="none" w:sz="0" w:space="0"/>
            <w:bottom w:val="single" w:color="auto" w:sz="4" w:space="1"/>
            <w:right w:val="none" w:sz="0" w:space="0"/>
          </w:pgBorders>
          <w:pgNumType w:fmt="decimal"/>
          <w:cols w:space="0" w:num="1"/>
          <w:rtlGutter w:val="0"/>
          <w:docGrid w:type="lines" w:linePitch="320" w:charSpace="0"/>
        </w:sectPr>
      </w:pPr>
      <w:r>
        <w:rPr>
          <w:rFonts w:hint="eastAsia" w:ascii="宋体" w:hAnsi="宋体" w:eastAsia="宋体" w:cs="宋体"/>
          <w:color w:val="auto"/>
          <w:sz w:val="24"/>
          <w:szCs w:val="24"/>
          <w:highlight w:val="none"/>
        </w:rPr>
        <w:t>需要补充的其他内容：见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bookmarkEnd w:id="44"/>
    <w:bookmarkEnd w:id="45"/>
    <w:p w14:paraId="598559DE">
      <w:pPr>
        <w:pStyle w:val="2"/>
        <w:rPr>
          <w:rFonts w:hint="eastAsia" w:ascii="宋体" w:hAnsi="宋体" w:eastAsia="宋体" w:cs="宋体"/>
          <w:color w:val="auto"/>
          <w:highlight w:val="none"/>
        </w:rPr>
      </w:pPr>
      <w:bookmarkStart w:id="64" w:name="_Toc32686"/>
      <w:bookmarkStart w:id="65" w:name="_Toc484211529"/>
      <w:r>
        <w:rPr>
          <w:rFonts w:hint="eastAsia" w:ascii="宋体" w:hAnsi="宋体" w:eastAsia="宋体" w:cs="宋体"/>
          <w:color w:val="auto"/>
          <w:highlight w:val="none"/>
        </w:rPr>
        <w:t>第三章 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w:t>
      </w:r>
      <w:bookmarkEnd w:id="64"/>
      <w:bookmarkEnd w:id="65"/>
    </w:p>
    <w:p w14:paraId="34AE4C9F">
      <w:pPr>
        <w:rPr>
          <w:rFonts w:hint="eastAsia" w:ascii="宋体" w:hAnsi="宋体" w:eastAsia="宋体" w:cs="宋体"/>
          <w:color w:val="auto"/>
          <w:highlight w:val="none"/>
        </w:rPr>
      </w:pPr>
    </w:p>
    <w:p w14:paraId="7567CE24">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本次谈判活动遵循公平、公正、公开的原则，并邀请有关监督部门对谈判活动进行全过程监督。</w:t>
      </w:r>
    </w:p>
    <w:p w14:paraId="3C1C4D42">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1.2 本项目谈判小组根据谈判文件规定及项目的实际情况，对谈判文件进行系统地评审和比较。</w:t>
      </w:r>
    </w:p>
    <w:p w14:paraId="76D252E8">
      <w:pPr>
        <w:pStyle w:val="3"/>
        <w:ind w:left="720" w:hanging="720"/>
        <w:outlineLvl w:val="1"/>
        <w:rPr>
          <w:rFonts w:hint="eastAsia" w:ascii="宋体" w:hAnsi="宋体" w:eastAsia="宋体" w:cs="宋体"/>
          <w:color w:val="auto"/>
          <w:szCs w:val="24"/>
          <w:highlight w:val="none"/>
        </w:rPr>
      </w:pPr>
      <w:bookmarkStart w:id="66" w:name="_Toc7235"/>
      <w:bookmarkStart w:id="67" w:name="_Toc316029017"/>
      <w:bookmarkStart w:id="68" w:name="_Toc213106429"/>
      <w:bookmarkStart w:id="69" w:name="_Toc316998495"/>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）谈判程序</w:t>
      </w:r>
      <w:bookmarkEnd w:id="66"/>
      <w:bookmarkEnd w:id="67"/>
      <w:bookmarkEnd w:id="68"/>
      <w:bookmarkEnd w:id="69"/>
    </w:p>
    <w:p w14:paraId="6ECF0C9B">
      <w:pPr>
        <w:spacing w:line="360" w:lineRule="auto"/>
        <w:ind w:firstLine="540" w:firstLineChars="225"/>
        <w:rPr>
          <w:rFonts w:hint="eastAsia" w:ascii="宋体" w:hAnsi="宋体" w:eastAsia="宋体" w:cs="宋体"/>
          <w:color w:val="auto"/>
          <w:sz w:val="24"/>
          <w:highlight w:val="none"/>
        </w:rPr>
      </w:pPr>
      <w:bookmarkStart w:id="70" w:name="_Toc316998496"/>
      <w:bookmarkStart w:id="71" w:name="_Toc316029018"/>
      <w:r>
        <w:rPr>
          <w:rFonts w:hint="eastAsia" w:ascii="宋体" w:hAnsi="宋体" w:eastAsia="宋体" w:cs="宋体"/>
          <w:color w:val="auto"/>
          <w:sz w:val="24"/>
          <w:highlight w:val="none"/>
        </w:rPr>
        <w:t>2.1 谈判流程</w:t>
      </w:r>
      <w:bookmarkEnd w:id="70"/>
      <w:bookmarkEnd w:id="71"/>
    </w:p>
    <w:p w14:paraId="5E461939">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（1）资格审查；</w:t>
      </w:r>
    </w:p>
    <w:p w14:paraId="6621FE3C">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（2）有效性、完整性和响应程度审查； </w:t>
      </w:r>
    </w:p>
    <w:p w14:paraId="78DFA3C5">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（3）最后报价及承诺书；</w:t>
      </w:r>
    </w:p>
    <w:p w14:paraId="772FF85E">
      <w:pPr>
        <w:spacing w:line="360" w:lineRule="auto"/>
        <w:ind w:firstLine="540" w:firstLineChars="22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（4）商务报价及技术评审；</w:t>
      </w:r>
    </w:p>
    <w:p w14:paraId="7C15B433">
      <w:pPr>
        <w:spacing w:line="360" w:lineRule="auto"/>
        <w:ind w:firstLine="540" w:firstLineChars="22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（5）供应商得分汇总；</w:t>
      </w:r>
    </w:p>
    <w:p w14:paraId="268FA013">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）推荐</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候选人。</w:t>
      </w:r>
    </w:p>
    <w:p w14:paraId="040E5FAE">
      <w:pPr>
        <w:spacing w:line="360" w:lineRule="auto"/>
        <w:outlineLvl w:val="1"/>
        <w:rPr>
          <w:rFonts w:hint="eastAsia" w:ascii="宋体" w:hAnsi="宋体" w:eastAsia="宋体" w:cs="宋体"/>
          <w:b/>
          <w:bCs/>
          <w:color w:val="auto"/>
          <w:sz w:val="24"/>
          <w:highlight w:val="none"/>
        </w:rPr>
      </w:pPr>
      <w:bookmarkStart w:id="72" w:name="_Toc316029019"/>
      <w:bookmarkStart w:id="73" w:name="_Toc316998497"/>
      <w:bookmarkStart w:id="74" w:name="_Toc25581"/>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）资格审查</w:t>
      </w:r>
      <w:bookmarkEnd w:id="72"/>
      <w:bookmarkEnd w:id="73"/>
      <w:bookmarkEnd w:id="74"/>
    </w:p>
    <w:p w14:paraId="1D48B48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rPr>
      </w:pPr>
      <w:bookmarkStart w:id="75" w:name="_Toc316998498"/>
      <w:bookmarkStart w:id="76" w:name="_Toc23087"/>
      <w:bookmarkStart w:id="77" w:name="_Toc316029020"/>
      <w:r>
        <w:rPr>
          <w:rFonts w:hint="eastAsia" w:ascii="宋体" w:hAnsi="宋体" w:cs="宋体"/>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具备《中华人民共和国政府采购法》第二十二条规定的条件：</w:t>
      </w:r>
    </w:p>
    <w:p w14:paraId="6050CAD3">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1.1在中国境内注册，能在国内合法提供采购要求及其相应的服务能力，并持有效的企业法人营业执照；供应商自行承诺符合《中华人民共和国政府采购法》第二十二条规定及《中华人民共和国政府采购法实施条例》第十七条的相关要求</w:t>
      </w:r>
      <w:r>
        <w:rPr>
          <w:rFonts w:hint="eastAsia" w:ascii="宋体" w:hAnsi="宋体" w:eastAsia="宋体" w:cs="宋体"/>
          <w:i w:val="0"/>
          <w:iCs w:val="0"/>
          <w:color w:val="auto"/>
          <w:sz w:val="24"/>
          <w:szCs w:val="24"/>
          <w:highlight w:val="none"/>
          <w:lang w:eastAsia="zh-CN"/>
        </w:rPr>
        <w:t>；</w:t>
      </w:r>
    </w:p>
    <w:p w14:paraId="3DBDB418">
      <w:pPr>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供应商未被列入“信用中国”网站（www.creditchina.gov.cn）“严重失信主体名单”及中国政府采购网（www.ccgp.gov.cn）“政府采购严重违法失信行为信息记录”（失信信息查询结果由谈判（采购）代理机构负责在项目开标后评审会议开始前查询、截图）</w:t>
      </w:r>
      <w:r>
        <w:rPr>
          <w:rFonts w:hint="eastAsia" w:ascii="宋体" w:hAnsi="宋体" w:eastAsia="宋体" w:cs="宋体"/>
          <w:color w:val="auto"/>
          <w:sz w:val="24"/>
          <w:szCs w:val="24"/>
          <w:highlight w:val="none"/>
        </w:rPr>
        <w:t>。</w:t>
      </w:r>
    </w:p>
    <w:p w14:paraId="62F4E9CE">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sz w:val="24"/>
          <w:szCs w:val="24"/>
          <w:highlight w:val="none"/>
          <w:lang w:eastAsia="zh-CN"/>
        </w:rPr>
        <w:t>2、落实政府采购政策需满足的资格要求：本项目不属于专门面向中小企业、监狱企</w:t>
      </w:r>
      <w:r>
        <w:rPr>
          <w:rFonts w:hint="eastAsia" w:ascii="宋体" w:hAnsi="宋体" w:eastAsia="宋体" w:cs="宋体"/>
          <w:i w:val="0"/>
          <w:iCs w:val="0"/>
          <w:color w:val="auto"/>
          <w:sz w:val="24"/>
          <w:szCs w:val="24"/>
          <w:highlight w:val="none"/>
          <w:lang w:val="en-US" w:eastAsia="zh-CN"/>
        </w:rPr>
        <w:t>业、残疾人福利企业采购项目。</w:t>
      </w:r>
    </w:p>
    <w:p w14:paraId="023C0877">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3、本项目的特定资格要求：</w:t>
      </w:r>
    </w:p>
    <w:p w14:paraId="0626FEA3">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3.1</w:t>
      </w:r>
      <w:r>
        <w:rPr>
          <w:rFonts w:hint="eastAsia" w:ascii="宋体" w:hAnsi="宋体" w:cs="宋体"/>
          <w:i w:val="0"/>
          <w:iCs w:val="0"/>
          <w:color w:val="auto"/>
          <w:sz w:val="24"/>
          <w:szCs w:val="24"/>
          <w:highlight w:val="none"/>
          <w:lang w:val="en-US" w:eastAsia="zh-CN"/>
        </w:rPr>
        <w:t>供应商具备行政主管部门颁发的医疗机构执业许可证，许可范围包含相关检验服务。</w:t>
      </w:r>
    </w:p>
    <w:p w14:paraId="4D65B4CF">
      <w:pPr>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3.2</w:t>
      </w:r>
      <w:r>
        <w:rPr>
          <w:rFonts w:hint="eastAsia" w:ascii="宋体" w:hAnsi="宋体" w:eastAsia="宋体" w:cs="宋体"/>
          <w:color w:val="auto"/>
          <w:sz w:val="24"/>
          <w:szCs w:val="24"/>
          <w:highlight w:val="none"/>
          <w:lang w:eastAsia="zh-CN"/>
        </w:rPr>
        <w:t>本次采购不接受联合体参与</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w:t>
      </w:r>
    </w:p>
    <w:p w14:paraId="5A906D92">
      <w:pPr>
        <w:pStyle w:val="3"/>
        <w:ind w:left="720" w:hanging="72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有效性、完整性和响应程度</w:t>
      </w:r>
      <w:r>
        <w:rPr>
          <w:rFonts w:hint="eastAsia" w:ascii="宋体" w:hAnsi="宋体" w:eastAsia="宋体" w:cs="宋体"/>
          <w:color w:val="auto"/>
          <w:szCs w:val="24"/>
          <w:highlight w:val="none"/>
        </w:rPr>
        <w:t>评审</w:t>
      </w:r>
      <w:bookmarkEnd w:id="75"/>
      <w:bookmarkEnd w:id="76"/>
      <w:bookmarkEnd w:id="77"/>
    </w:p>
    <w:p w14:paraId="1E70CD8A">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4.1 经谈判小组审查符合</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文件有关规定资格要求的谈判文件，才能进行</w:t>
      </w:r>
      <w:r>
        <w:rPr>
          <w:rFonts w:hint="eastAsia" w:ascii="宋体" w:hAnsi="宋体" w:eastAsia="宋体" w:cs="宋体"/>
          <w:color w:val="auto"/>
          <w:sz w:val="24"/>
          <w:highlight w:val="none"/>
          <w:lang w:eastAsia="zh-CN"/>
        </w:rPr>
        <w:t>有效性、完整性和响应程度</w:t>
      </w:r>
      <w:r>
        <w:rPr>
          <w:rFonts w:hint="eastAsia" w:ascii="宋体" w:hAnsi="宋体" w:eastAsia="宋体" w:cs="宋体"/>
          <w:color w:val="auto"/>
          <w:sz w:val="24"/>
          <w:highlight w:val="none"/>
        </w:rPr>
        <w:t>评审。</w:t>
      </w:r>
    </w:p>
    <w:p w14:paraId="532599C5">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4.2 首先审定每份响应文件是否在实质上响应了</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文件的要求。实质上响应的响应文件，应该与</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的所有规定、要求、条件、条款和规范相符，无差异。所谓差异，是指对采购人的发包范围、服务工作的质量标准产生实质性影响；或者对合同中规定的业主的权力及供应商的责任造成实质性限制；而且纠正这种差异，将会对其他响应要求的供应商的竞争地位产生不公正的影响。如果谈判文件实质上不响应</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文件的要求，采购人将予以拒绝，并且不允许通过修正或撤销其不符合要求的差异或保留，使之成为具有响应性的谈判。</w:t>
      </w:r>
    </w:p>
    <w:p w14:paraId="2C4F064E">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4.3谈判文件出现下列情形之一的，将作无效响应文件处理：</w:t>
      </w:r>
    </w:p>
    <w:p w14:paraId="4780FF38">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无单位盖章并无法定代表人或其授权代理人签字</w:t>
      </w:r>
      <w:r>
        <w:rPr>
          <w:rFonts w:hint="eastAsia" w:ascii="宋体" w:hAnsi="宋体" w:eastAsia="宋体" w:cs="宋体"/>
          <w:color w:val="auto"/>
          <w:sz w:val="24"/>
          <w:highlight w:val="none"/>
        </w:rPr>
        <w:t>；响应文件内容不全或关键字迹模糊、无法辨认的；</w:t>
      </w:r>
    </w:p>
    <w:p w14:paraId="33F828A9">
      <w:pPr>
        <w:spacing w:line="360" w:lineRule="auto"/>
        <w:ind w:firstLine="540" w:firstLineChars="225"/>
        <w:rPr>
          <w:rFonts w:hint="eastAsia" w:ascii="宋体" w:hAnsi="宋体" w:eastAsia="宋体" w:cs="宋体"/>
          <w:color w:val="auto"/>
          <w:sz w:val="24"/>
          <w:highlight w:val="none"/>
        </w:rPr>
      </w:pPr>
      <w:bookmarkStart w:id="78" w:name="_Toc239238874"/>
      <w:bookmarkEnd w:id="78"/>
      <w:bookmarkStart w:id="79" w:name="_Toc316029021"/>
      <w:bookmarkStart w:id="80" w:name="_Toc30105"/>
      <w:bookmarkStart w:id="81" w:name="_Toc226801828"/>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合同履约期限</w:t>
      </w:r>
      <w:r>
        <w:rPr>
          <w:rFonts w:hint="eastAsia" w:ascii="宋体" w:hAnsi="宋体" w:eastAsia="宋体" w:cs="宋体"/>
          <w:color w:val="auto"/>
          <w:sz w:val="24"/>
          <w:highlight w:val="none"/>
        </w:rPr>
        <w:t>、质量不满足</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文件要求的；</w:t>
      </w:r>
    </w:p>
    <w:p w14:paraId="152CBD76">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（3）谈判报价高于</w:t>
      </w:r>
      <w:r>
        <w:rPr>
          <w:rFonts w:hint="eastAsia" w:ascii="宋体" w:hAnsi="宋体" w:eastAsia="宋体" w:cs="宋体"/>
          <w:color w:val="auto"/>
          <w:sz w:val="24"/>
          <w:highlight w:val="none"/>
          <w:lang w:val="en-US" w:eastAsia="zh-CN"/>
        </w:rPr>
        <w:t>采购限价</w:t>
      </w:r>
      <w:r>
        <w:rPr>
          <w:rFonts w:hint="eastAsia" w:ascii="宋体" w:hAnsi="宋体" w:eastAsia="宋体" w:cs="宋体"/>
          <w:color w:val="auto"/>
          <w:sz w:val="24"/>
          <w:highlight w:val="none"/>
        </w:rPr>
        <w:t>的；</w:t>
      </w:r>
    </w:p>
    <w:p w14:paraId="276A5E49">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（4）供应商递交两份以上不同的响应文件或者谈判报价的；</w:t>
      </w:r>
    </w:p>
    <w:p w14:paraId="76ED8248">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Cs/>
          <w:color w:val="auto"/>
          <w:sz w:val="24"/>
          <w:highlight w:val="none"/>
        </w:rPr>
        <w:t>明显不符合技术规格、技术标准的要求的；</w:t>
      </w:r>
    </w:p>
    <w:p w14:paraId="422ACB89">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（6）不符合</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文件中规定的其他实质性要求的；</w:t>
      </w:r>
    </w:p>
    <w:p w14:paraId="7E8702C8">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（7）拒不按照要求对响应文件进行澄清、说明或者补正的；</w:t>
      </w:r>
    </w:p>
    <w:p w14:paraId="252201B3">
      <w:pPr>
        <w:spacing w:line="360" w:lineRule="auto"/>
        <w:ind w:firstLine="540" w:firstLineChars="225"/>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（8）违反国家、省、市相关法律法规的。</w:t>
      </w:r>
    </w:p>
    <w:p w14:paraId="6F9FCAA7">
      <w:pPr>
        <w:pStyle w:val="3"/>
        <w:ind w:left="720" w:hanging="72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四</w:t>
      </w:r>
      <w:r>
        <w:rPr>
          <w:rFonts w:hint="eastAsia" w:ascii="宋体" w:hAnsi="宋体" w:eastAsia="宋体" w:cs="宋体"/>
          <w:color w:val="auto"/>
          <w:szCs w:val="24"/>
          <w:highlight w:val="none"/>
        </w:rPr>
        <w:t>）详细评审</w:t>
      </w:r>
      <w:bookmarkEnd w:id="79"/>
      <w:bookmarkEnd w:id="80"/>
      <w:bookmarkEnd w:id="81"/>
    </w:p>
    <w:p w14:paraId="21C38328">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详细评审为通过性评审，评审小组对供应商响应文件的技术部分进行评审，评审依据包括：</w:t>
      </w:r>
    </w:p>
    <w:p w14:paraId="11D3EB51">
      <w:pPr>
        <w:adjustRightInd w:val="0"/>
        <w:snapToGrid w:val="0"/>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lang w:val="en-US" w:eastAsia="zh-CN"/>
        </w:rPr>
        <w:t xml:space="preserve">5.1 </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小组成员按附表三：《商务报价及技术评审表》规定的评分因素进行综合评分。</w:t>
      </w:r>
    </w:p>
    <w:p w14:paraId="102DAB30">
      <w:pPr>
        <w:adjustRightInd w:val="0"/>
        <w:snapToGrid w:val="0"/>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lang w:val="en-US" w:eastAsia="zh-CN"/>
        </w:rPr>
        <w:t xml:space="preserve">5.2 </w:t>
      </w:r>
      <w:r>
        <w:rPr>
          <w:rFonts w:hint="eastAsia" w:ascii="宋体" w:hAnsi="宋体" w:cs="宋体"/>
          <w:color w:val="auto"/>
          <w:sz w:val="24"/>
          <w:szCs w:val="24"/>
          <w:highlight w:val="none"/>
        </w:rPr>
        <w:t>报价轮数（二轮报价）：第一轮报价（为</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响应文件中的响应价，不公开）；第二轮报价及承诺（经</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小组成员与</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分别进行</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后，</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内容、报出最终报价）。</w:t>
      </w:r>
    </w:p>
    <w:p w14:paraId="7A6D9BDB">
      <w:pPr>
        <w:adjustRightInd w:val="0"/>
        <w:snapToGrid w:val="0"/>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小组发现</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的报价明显低于其他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报价，使得其报价可能低于其成本的，应当要求该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作出书面说明并提供相应的证明材料。</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小组认定该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以低于成本报价恶性竞争，其</w:t>
      </w:r>
      <w:r>
        <w:rPr>
          <w:rFonts w:hint="eastAsia" w:ascii="宋体" w:hAnsi="宋体" w:cs="宋体"/>
          <w:color w:val="auto"/>
          <w:sz w:val="24"/>
          <w:szCs w:val="24"/>
          <w:highlight w:val="none"/>
          <w:lang w:val="en-US" w:eastAsia="zh-CN"/>
        </w:rPr>
        <w:t>响应文件</w:t>
      </w:r>
      <w:r>
        <w:rPr>
          <w:rFonts w:hint="eastAsia" w:ascii="宋体" w:hAnsi="宋体" w:cs="宋体"/>
          <w:color w:val="auto"/>
          <w:sz w:val="24"/>
          <w:szCs w:val="24"/>
          <w:highlight w:val="none"/>
        </w:rPr>
        <w:t>作废标处理。</w:t>
      </w:r>
    </w:p>
    <w:p w14:paraId="711AA265">
      <w:pPr>
        <w:adjustRightInd w:val="0"/>
        <w:snapToGrid w:val="0"/>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.4</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价格分评审办法（按总价进行计算）</w:t>
      </w:r>
    </w:p>
    <w:p w14:paraId="12065697">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5.5 </w:t>
      </w:r>
      <w:r>
        <w:rPr>
          <w:rFonts w:hint="eastAsia" w:ascii="宋体" w:hAnsi="宋体" w:cs="宋体"/>
          <w:color w:val="auto"/>
          <w:sz w:val="24"/>
          <w:szCs w:val="24"/>
          <w:highlight w:val="none"/>
        </w:rPr>
        <w:t>综合评分法中的价格分统一采用低价优先法计算，即满足</w:t>
      </w:r>
      <w:r>
        <w:rPr>
          <w:rFonts w:hint="eastAsia" w:ascii="宋体" w:hAnsi="宋体" w:cs="宋体"/>
          <w:color w:val="auto"/>
          <w:sz w:val="24"/>
          <w:szCs w:val="24"/>
          <w:highlight w:val="none"/>
          <w:lang w:eastAsia="zh-CN"/>
        </w:rPr>
        <w:t>谈判采购文件</w:t>
      </w:r>
      <w:r>
        <w:rPr>
          <w:rFonts w:hint="eastAsia" w:ascii="宋体" w:hAnsi="宋体" w:cs="宋体"/>
          <w:color w:val="auto"/>
          <w:sz w:val="24"/>
          <w:szCs w:val="24"/>
          <w:highlight w:val="none"/>
        </w:rPr>
        <w:t>要求且最后报价最低的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的价格为</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基准价，其价格分为满分。其他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的价格分统一按照下列公式计算：</w:t>
      </w:r>
    </w:p>
    <w:p w14:paraId="1AF3F057">
      <w:pPr>
        <w:adjustRightInd w:val="0"/>
        <w:snapToGrid w:val="0"/>
        <w:spacing w:line="36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参与计算的供应商报价=1-供应商最终报价下浮率（1-最终报价下浮xx%）</w:t>
      </w:r>
    </w:p>
    <w:p w14:paraId="15635FB2">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报价得分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基准价</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最后</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报价）×</w:t>
      </w:r>
      <w:r>
        <w:rPr>
          <w:rFonts w:hint="eastAsia" w:ascii="宋体" w:hAnsi="宋体" w:cs="宋体"/>
          <w:b/>
          <w:bCs/>
          <w:color w:val="auto"/>
          <w:sz w:val="24"/>
          <w:szCs w:val="24"/>
          <w:highlight w:val="none"/>
          <w:lang w:val="en-US" w:eastAsia="zh-CN"/>
        </w:rPr>
        <w:t>30</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100</w:t>
      </w:r>
    </w:p>
    <w:p w14:paraId="1627E6AC">
      <w:pPr>
        <w:adjustRightInd w:val="0"/>
        <w:snapToGrid w:val="0"/>
        <w:spacing w:line="360" w:lineRule="auto"/>
        <w:ind w:firstLine="723" w:firstLineChars="300"/>
        <w:rPr>
          <w:rFonts w:ascii="宋体" w:hAnsi="宋体" w:cs="宋体"/>
          <w:b/>
          <w:bCs/>
          <w:color w:val="auto"/>
          <w:sz w:val="24"/>
          <w:szCs w:val="24"/>
          <w:highlight w:val="none"/>
        </w:rPr>
      </w:pPr>
      <w:r>
        <w:rPr>
          <w:rFonts w:hint="eastAsia" w:ascii="宋体" w:hAnsi="宋体" w:cs="宋体"/>
          <w:b/>
          <w:bCs/>
          <w:color w:val="auto"/>
          <w:sz w:val="24"/>
          <w:szCs w:val="24"/>
          <w:highlight w:val="none"/>
        </w:rPr>
        <w:t>注：上式中的价格权值为</w:t>
      </w:r>
      <w:r>
        <w:rPr>
          <w:rFonts w:hint="eastAsia" w:ascii="宋体" w:hAnsi="宋体" w:cs="宋体"/>
          <w:b/>
          <w:bCs/>
          <w:color w:val="auto"/>
          <w:sz w:val="24"/>
          <w:szCs w:val="24"/>
          <w:highlight w:val="none"/>
          <w:lang w:val="en-US" w:eastAsia="zh-CN"/>
        </w:rPr>
        <w:t>3</w:t>
      </w:r>
      <w:r>
        <w:rPr>
          <w:rFonts w:ascii="宋体" w:hAnsi="宋体" w:cs="宋体"/>
          <w:b/>
          <w:bCs/>
          <w:color w:val="auto"/>
          <w:sz w:val="24"/>
          <w:szCs w:val="24"/>
          <w:highlight w:val="none"/>
        </w:rPr>
        <w:t>0%</w:t>
      </w:r>
    </w:p>
    <w:p w14:paraId="50D9D8C2">
      <w:pPr>
        <w:adjustRightInd w:val="0"/>
        <w:snapToGrid w:val="0"/>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谈判</w:t>
      </w:r>
      <w:r>
        <w:rPr>
          <w:rFonts w:hint="eastAsia" w:ascii="宋体" w:hAnsi="宋体" w:cs="宋体"/>
          <w:color w:val="auto"/>
          <w:sz w:val="24"/>
          <w:szCs w:val="24"/>
          <w:highlight w:val="none"/>
        </w:rPr>
        <w:t>总价超采购限价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本项按</w:t>
      </w:r>
      <w:r>
        <w:rPr>
          <w:rFonts w:ascii="宋体" w:cs="宋体"/>
          <w:color w:val="auto"/>
          <w:sz w:val="24"/>
          <w:szCs w:val="24"/>
          <w:highlight w:val="none"/>
        </w:rPr>
        <w:t>0</w:t>
      </w:r>
      <w:r>
        <w:rPr>
          <w:rFonts w:hint="eastAsia" w:ascii="宋体" w:hAnsi="宋体" w:cs="宋体"/>
          <w:color w:val="auto"/>
          <w:sz w:val="24"/>
          <w:szCs w:val="24"/>
          <w:highlight w:val="none"/>
        </w:rPr>
        <w:t>分计；若所有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最终报价均超出采购限价，采购人不能接受的，本项目按废标处理。</w:t>
      </w:r>
    </w:p>
    <w:p w14:paraId="63C4D7D2">
      <w:pPr>
        <w:adjustRightInd w:val="0"/>
        <w:snapToGrid w:val="0"/>
        <w:spacing w:line="360" w:lineRule="auto"/>
        <w:ind w:firstLine="482" w:firstLineChars="200"/>
        <w:rPr>
          <w:rFonts w:ascii="宋体" w:cs="Times New Roman"/>
          <w:b/>
          <w:bCs/>
          <w:color w:val="auto"/>
          <w:sz w:val="24"/>
          <w:szCs w:val="24"/>
          <w:highlight w:val="none"/>
        </w:rPr>
      </w:pPr>
      <w:r>
        <w:rPr>
          <w:rFonts w:hint="eastAsia" w:ascii="宋体" w:hAnsi="宋体" w:cs="宋体"/>
          <w:b/>
          <w:bCs/>
          <w:color w:val="auto"/>
          <w:sz w:val="24"/>
          <w:szCs w:val="24"/>
          <w:highlight w:val="none"/>
          <w:lang w:val="en-US" w:eastAsia="zh-CN"/>
        </w:rPr>
        <w:t xml:space="preserve">5.6 </w:t>
      </w:r>
      <w:r>
        <w:rPr>
          <w:rFonts w:hint="eastAsia" w:ascii="宋体" w:hAnsi="宋体" w:cs="宋体"/>
          <w:b/>
          <w:bCs/>
          <w:color w:val="auto"/>
          <w:sz w:val="24"/>
          <w:szCs w:val="24"/>
          <w:highlight w:val="none"/>
        </w:rPr>
        <w:t>统分原则</w:t>
      </w:r>
    </w:p>
    <w:p w14:paraId="78B26818">
      <w:pPr>
        <w:adjustRightInd w:val="0"/>
        <w:snapToGrid w:val="0"/>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lang w:val="en-US" w:eastAsia="zh-CN"/>
        </w:rPr>
        <w:t>5.6</w:t>
      </w: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小组应首先对各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报价响应文件进行评审，各分档评分中间采用插入法评分（小数点保留一位），由各小组成员自主评分并签字确认。</w:t>
      </w:r>
    </w:p>
    <w:p w14:paraId="0799A121">
      <w:pPr>
        <w:adjustRightInd w:val="0"/>
        <w:snapToGrid w:val="0"/>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lang w:val="en-US" w:eastAsia="zh-CN"/>
        </w:rPr>
        <w:t>5.6</w:t>
      </w:r>
      <w:r>
        <w:rPr>
          <w:rFonts w:ascii="宋体" w:hAnsi="宋体" w:cs="宋体"/>
          <w:color w:val="auto"/>
          <w:sz w:val="24"/>
          <w:szCs w:val="24"/>
          <w:highlight w:val="none"/>
        </w:rPr>
        <w:t>.2</w:t>
      </w:r>
      <w:r>
        <w:rPr>
          <w:rFonts w:hint="eastAsia" w:ascii="宋体" w:hAnsi="宋体" w:cs="宋体"/>
          <w:color w:val="auto"/>
          <w:sz w:val="24"/>
          <w:szCs w:val="24"/>
          <w:highlight w:val="none"/>
        </w:rPr>
        <w:t>报价分值按公式计算，小数点后保留两位。</w:t>
      </w:r>
    </w:p>
    <w:p w14:paraId="0DCB3846">
      <w:pPr>
        <w:adjustRightInd w:val="0"/>
        <w:snapToGrid w:val="0"/>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lang w:val="en-US" w:eastAsia="zh-CN"/>
        </w:rPr>
        <w:t>5.6</w:t>
      </w:r>
      <w:r>
        <w:rPr>
          <w:rFonts w:ascii="宋体" w:hAnsi="宋体" w:cs="宋体"/>
          <w:color w:val="auto"/>
          <w:sz w:val="24"/>
          <w:szCs w:val="24"/>
          <w:highlight w:val="none"/>
        </w:rPr>
        <w:t>.3</w:t>
      </w:r>
      <w:r>
        <w:rPr>
          <w:rFonts w:hint="eastAsia" w:ascii="宋体" w:hAnsi="宋体" w:cs="宋体"/>
          <w:color w:val="auto"/>
          <w:sz w:val="24"/>
          <w:szCs w:val="24"/>
          <w:highlight w:val="none"/>
        </w:rPr>
        <w:t>统计分数原则：所有</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小组成员打分的算术平均值为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的最后得分（保留小数点后两位）。</w:t>
      </w:r>
    </w:p>
    <w:p w14:paraId="1228C5B3">
      <w:pPr>
        <w:pStyle w:val="28"/>
        <w:tabs>
          <w:tab w:val="left" w:pos="540"/>
        </w:tabs>
        <w:adjustRightInd w:val="0"/>
        <w:spacing w:line="360" w:lineRule="auto"/>
        <w:ind w:left="0" w:leftChars="0" w:firstLine="42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5.6</w:t>
      </w:r>
      <w:r>
        <w:rPr>
          <w:rFonts w:ascii="宋体" w:hAnsi="宋体" w:cs="宋体"/>
          <w:color w:val="auto"/>
          <w:sz w:val="24"/>
          <w:szCs w:val="24"/>
          <w:highlight w:val="none"/>
        </w:rPr>
        <w:t>.4</w:t>
      </w:r>
      <w:r>
        <w:rPr>
          <w:rFonts w:hint="eastAsia" w:ascii="宋体" w:hAnsi="宋体" w:cs="宋体"/>
          <w:color w:val="auto"/>
          <w:sz w:val="24"/>
          <w:szCs w:val="24"/>
          <w:highlight w:val="none"/>
        </w:rPr>
        <w:t>按综合评分从高到低推荐；评审得分相同的，按照最后报价由低到高的顺序推荐。评审得分且最后报价相同的，按照技术指标优劣顺序推荐。</w:t>
      </w:r>
    </w:p>
    <w:p w14:paraId="6441CB53">
      <w:pPr>
        <w:pStyle w:val="3"/>
        <w:ind w:left="720" w:hanging="720"/>
        <w:outlineLvl w:val="1"/>
        <w:rPr>
          <w:rFonts w:hint="eastAsia" w:ascii="宋体" w:hAnsi="宋体" w:eastAsia="宋体" w:cs="宋体"/>
          <w:color w:val="auto"/>
          <w:szCs w:val="24"/>
          <w:highlight w:val="none"/>
        </w:rPr>
      </w:pPr>
      <w:bookmarkStart w:id="82" w:name="_Toc14081"/>
      <w:bookmarkStart w:id="83" w:name="_Toc166912530"/>
      <w:bookmarkStart w:id="84" w:name="_Toc162779899"/>
      <w:bookmarkStart w:id="85" w:name="_Toc172959303"/>
      <w:bookmarkStart w:id="86" w:name="_Toc162873127"/>
      <w:bookmarkStart w:id="87" w:name="_Toc172628792"/>
      <w:bookmarkStart w:id="88" w:name="_Toc173230358"/>
      <w:bookmarkStart w:id="89" w:name="_Toc168467853"/>
      <w:bookmarkStart w:id="90" w:name="_Toc162362187"/>
      <w:bookmarkStart w:id="91" w:name="_Toc162842367"/>
      <w:bookmarkStart w:id="92" w:name="_Toc162940114"/>
      <w:bookmarkStart w:id="93" w:name="_Toc162857513"/>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五</w:t>
      </w:r>
      <w:r>
        <w:rPr>
          <w:rFonts w:hint="eastAsia" w:ascii="宋体" w:hAnsi="宋体" w:eastAsia="宋体" w:cs="宋体"/>
          <w:color w:val="auto"/>
          <w:szCs w:val="24"/>
          <w:highlight w:val="none"/>
        </w:rPr>
        <w:t>）推荐成交候选人</w:t>
      </w:r>
      <w:bookmarkEnd w:id="82"/>
    </w:p>
    <w:bookmarkEnd w:id="83"/>
    <w:bookmarkEnd w:id="84"/>
    <w:bookmarkEnd w:id="85"/>
    <w:bookmarkEnd w:id="86"/>
    <w:bookmarkEnd w:id="87"/>
    <w:bookmarkEnd w:id="88"/>
    <w:bookmarkEnd w:id="89"/>
    <w:bookmarkEnd w:id="90"/>
    <w:bookmarkEnd w:id="91"/>
    <w:bookmarkEnd w:id="92"/>
    <w:bookmarkEnd w:id="93"/>
    <w:p w14:paraId="5408F9A7">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5.1通过</w:t>
      </w:r>
      <w:r>
        <w:rPr>
          <w:rFonts w:hint="eastAsia" w:ascii="宋体" w:hAnsi="宋体" w:eastAsia="宋体" w:cs="宋体"/>
          <w:color w:val="auto"/>
          <w:sz w:val="24"/>
          <w:highlight w:val="none"/>
          <w:lang w:eastAsia="zh-CN"/>
        </w:rPr>
        <w:t>有效性、完整性和响应程度</w:t>
      </w:r>
      <w:r>
        <w:rPr>
          <w:rFonts w:hint="eastAsia" w:ascii="宋体" w:hAnsi="宋体" w:eastAsia="宋体" w:cs="宋体"/>
          <w:color w:val="auto"/>
          <w:sz w:val="24"/>
          <w:highlight w:val="none"/>
        </w:rPr>
        <w:t>评审的响应文件，谈判小组对其技术部分进一步评审。</w:t>
      </w:r>
    </w:p>
    <w:p w14:paraId="0031A031">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5.2谈判小组对通过详细评审即技术部分评审的供应商进行谈判，并由供应商作出第二轮报价（供应商最终报价）。</w:t>
      </w:r>
    </w:p>
    <w:p w14:paraId="5D065647">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5.3确定成交人推荐名次</w:t>
      </w:r>
    </w:p>
    <w:p w14:paraId="6A7AE4D2">
      <w:pPr>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highlight w:val="none"/>
        </w:rPr>
        <w:t>谈判小组将按</w:t>
      </w:r>
      <w:r>
        <w:rPr>
          <w:rFonts w:hint="eastAsia" w:ascii="宋体" w:hAnsi="宋体" w:eastAsia="宋体" w:cs="宋体"/>
          <w:color w:val="auto"/>
          <w:sz w:val="24"/>
          <w:highlight w:val="none"/>
          <w:lang w:val="en-US" w:eastAsia="zh-CN"/>
        </w:rPr>
        <w:t>综合评分法</w:t>
      </w:r>
      <w:r>
        <w:rPr>
          <w:rFonts w:hint="eastAsia" w:ascii="宋体" w:hAnsi="宋体" w:eastAsia="宋体" w:cs="宋体"/>
          <w:color w:val="auto"/>
          <w:sz w:val="24"/>
          <w:highlight w:val="none"/>
        </w:rPr>
        <w:t>推荐</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候选人：</w:t>
      </w:r>
      <w:r>
        <w:rPr>
          <w:rFonts w:hint="eastAsia" w:ascii="宋体" w:hAnsi="宋体" w:eastAsia="宋体" w:cs="宋体"/>
          <w:color w:val="auto"/>
          <w:sz w:val="24"/>
          <w:szCs w:val="24"/>
          <w:highlight w:val="none"/>
          <w:lang w:eastAsia="zh-CN"/>
        </w:rPr>
        <w:t>谈判</w:t>
      </w:r>
      <w:r>
        <w:rPr>
          <w:rFonts w:hint="eastAsia" w:ascii="宋体" w:hAnsi="宋体" w:cs="宋体"/>
          <w:color w:val="auto"/>
          <w:sz w:val="24"/>
          <w:szCs w:val="24"/>
          <w:highlight w:val="none"/>
        </w:rPr>
        <w:t>小组将按综合评分表中规定的各项分值进行打分并计算出各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的综合得分，按综合得分由高到低顺序推荐成交候选</w:t>
      </w:r>
      <w:r>
        <w:rPr>
          <w:rFonts w:hint="eastAsia" w:ascii="宋体" w:hAnsi="宋体" w:cs="宋体"/>
          <w:color w:val="auto"/>
          <w:sz w:val="24"/>
          <w:szCs w:val="24"/>
          <w:highlight w:val="none"/>
          <w:lang w:eastAsia="zh-CN"/>
        </w:rPr>
        <w:t>供应商。</w:t>
      </w:r>
    </w:p>
    <w:p w14:paraId="16AAC6D2">
      <w:pPr>
        <w:adjustRightInd w:val="0"/>
        <w:snapToGrid w:val="0"/>
        <w:spacing w:line="360" w:lineRule="auto"/>
        <w:ind w:firstLine="360" w:firstLineChars="150"/>
        <w:rPr>
          <w:rFonts w:ascii="宋体" w:cs="Times New Roman"/>
          <w:color w:val="auto"/>
          <w:sz w:val="24"/>
          <w:szCs w:val="24"/>
          <w:highlight w:val="none"/>
        </w:rPr>
      </w:pPr>
      <w:r>
        <w:rPr>
          <w:rFonts w:hint="eastAsia" w:ascii="宋体" w:hAnsi="宋体" w:cs="宋体"/>
          <w:color w:val="auto"/>
          <w:sz w:val="24"/>
          <w:szCs w:val="24"/>
          <w:highlight w:val="none"/>
          <w:lang w:eastAsia="zh-CN"/>
        </w:rPr>
        <w:br w:type="page"/>
      </w:r>
    </w:p>
    <w:p w14:paraId="2145776C">
      <w:pPr>
        <w:pStyle w:val="28"/>
        <w:tabs>
          <w:tab w:val="left" w:pos="540"/>
        </w:tabs>
        <w:adjustRightInd w:val="0"/>
        <w:snapToGrid w:val="0"/>
        <w:spacing w:after="0" w:line="360" w:lineRule="auto"/>
        <w:ind w:left="0" w:leftChars="0" w:firstLine="482" w:firstLineChars="200"/>
        <w:jc w:val="center"/>
        <w:outlineLvl w:val="1"/>
        <w:rPr>
          <w:rFonts w:ascii="宋体" w:hAnsi="宋体" w:cs="宋体"/>
          <w:b/>
          <w:bCs/>
          <w:color w:val="auto"/>
          <w:sz w:val="24"/>
          <w:highlight w:val="none"/>
        </w:rPr>
      </w:pPr>
      <w:r>
        <w:rPr>
          <w:rFonts w:hint="eastAsia" w:ascii="宋体" w:hAnsi="宋体" w:cs="宋体"/>
          <w:b/>
          <w:bCs/>
          <w:color w:val="auto"/>
          <w:sz w:val="24"/>
          <w:highlight w:val="none"/>
        </w:rPr>
        <w:t>附表一：资格性评审表</w:t>
      </w:r>
    </w:p>
    <w:p w14:paraId="1883AB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谈判</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时间：   年   月   日</w:t>
      </w:r>
      <w:r>
        <w:rPr>
          <w:rFonts w:hint="eastAsia" w:ascii="宋体" w:hAnsi="宋体" w:cs="宋体"/>
          <w:color w:val="auto"/>
          <w:sz w:val="24"/>
          <w:highlight w:val="none"/>
          <w:u w:val="single"/>
        </w:rPr>
        <w:t xml:space="preserve">          </w:t>
      </w:r>
    </w:p>
    <w:tbl>
      <w:tblPr>
        <w:tblStyle w:val="54"/>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5436"/>
        <w:gridCol w:w="818"/>
        <w:gridCol w:w="645"/>
        <w:gridCol w:w="585"/>
        <w:gridCol w:w="570"/>
        <w:gridCol w:w="855"/>
      </w:tblGrid>
      <w:tr w14:paraId="25FF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46" w:type="dxa"/>
            <w:gridSpan w:val="2"/>
            <w:vMerge w:val="restart"/>
            <w:noWrap w:val="0"/>
            <w:vAlign w:val="center"/>
          </w:tcPr>
          <w:p w14:paraId="18B73AFC">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审 查 内 容</w:t>
            </w:r>
          </w:p>
        </w:tc>
        <w:tc>
          <w:tcPr>
            <w:tcW w:w="818" w:type="dxa"/>
            <w:vMerge w:val="restart"/>
            <w:noWrap w:val="0"/>
            <w:vAlign w:val="center"/>
          </w:tcPr>
          <w:p w14:paraId="5BA7CC6D">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审查标准</w:t>
            </w:r>
          </w:p>
        </w:tc>
        <w:tc>
          <w:tcPr>
            <w:tcW w:w="1800" w:type="dxa"/>
            <w:gridSpan w:val="3"/>
            <w:noWrap w:val="0"/>
            <w:vAlign w:val="center"/>
          </w:tcPr>
          <w:p w14:paraId="41A92343">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w:t>
            </w:r>
          </w:p>
        </w:tc>
        <w:tc>
          <w:tcPr>
            <w:tcW w:w="855" w:type="dxa"/>
            <w:vMerge w:val="restart"/>
            <w:noWrap w:val="0"/>
            <w:vAlign w:val="center"/>
          </w:tcPr>
          <w:p w14:paraId="5399797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小组签字</w:t>
            </w:r>
          </w:p>
        </w:tc>
      </w:tr>
      <w:tr w14:paraId="2176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5846" w:type="dxa"/>
            <w:gridSpan w:val="2"/>
            <w:vMerge w:val="continue"/>
            <w:noWrap w:val="0"/>
            <w:vAlign w:val="top"/>
          </w:tcPr>
          <w:p w14:paraId="44D2AB8E">
            <w:pPr>
              <w:snapToGrid w:val="0"/>
              <w:spacing w:line="360" w:lineRule="auto"/>
              <w:ind w:firstLine="480" w:firstLineChars="200"/>
              <w:rPr>
                <w:rFonts w:ascii="宋体" w:hAnsi="宋体" w:cs="宋体"/>
                <w:color w:val="auto"/>
                <w:sz w:val="24"/>
                <w:szCs w:val="24"/>
                <w:highlight w:val="none"/>
              </w:rPr>
            </w:pPr>
          </w:p>
        </w:tc>
        <w:tc>
          <w:tcPr>
            <w:tcW w:w="818" w:type="dxa"/>
            <w:vMerge w:val="continue"/>
            <w:noWrap w:val="0"/>
            <w:vAlign w:val="top"/>
          </w:tcPr>
          <w:p w14:paraId="03A30E9D">
            <w:pPr>
              <w:snapToGrid w:val="0"/>
              <w:spacing w:line="360" w:lineRule="auto"/>
              <w:ind w:firstLine="480" w:firstLineChars="200"/>
              <w:rPr>
                <w:rFonts w:ascii="宋体" w:hAnsi="宋体" w:cs="宋体"/>
                <w:color w:val="auto"/>
                <w:sz w:val="24"/>
                <w:szCs w:val="24"/>
                <w:highlight w:val="none"/>
              </w:rPr>
            </w:pPr>
          </w:p>
        </w:tc>
        <w:tc>
          <w:tcPr>
            <w:tcW w:w="645" w:type="dxa"/>
            <w:noWrap w:val="0"/>
            <w:vAlign w:val="top"/>
          </w:tcPr>
          <w:p w14:paraId="338AF923">
            <w:pPr>
              <w:snapToGrid w:val="0"/>
              <w:spacing w:line="360" w:lineRule="auto"/>
              <w:ind w:firstLine="480" w:firstLineChars="200"/>
              <w:rPr>
                <w:rFonts w:ascii="宋体" w:hAnsi="宋体" w:cs="宋体"/>
                <w:color w:val="auto"/>
                <w:sz w:val="24"/>
                <w:szCs w:val="24"/>
                <w:highlight w:val="none"/>
              </w:rPr>
            </w:pPr>
          </w:p>
        </w:tc>
        <w:tc>
          <w:tcPr>
            <w:tcW w:w="585" w:type="dxa"/>
            <w:noWrap w:val="0"/>
            <w:vAlign w:val="top"/>
          </w:tcPr>
          <w:p w14:paraId="3C4F665C">
            <w:pPr>
              <w:snapToGrid w:val="0"/>
              <w:spacing w:line="360" w:lineRule="auto"/>
              <w:ind w:firstLine="480" w:firstLineChars="200"/>
              <w:rPr>
                <w:rFonts w:ascii="宋体" w:hAnsi="宋体" w:cs="宋体"/>
                <w:color w:val="auto"/>
                <w:sz w:val="24"/>
                <w:szCs w:val="24"/>
                <w:highlight w:val="none"/>
              </w:rPr>
            </w:pPr>
          </w:p>
        </w:tc>
        <w:tc>
          <w:tcPr>
            <w:tcW w:w="570" w:type="dxa"/>
            <w:noWrap w:val="0"/>
            <w:vAlign w:val="center"/>
          </w:tcPr>
          <w:p w14:paraId="11B34BAE">
            <w:pPr>
              <w:snapToGrid w:val="0"/>
              <w:spacing w:line="360" w:lineRule="auto"/>
              <w:ind w:firstLine="480" w:firstLineChars="200"/>
              <w:rPr>
                <w:rFonts w:ascii="宋体" w:hAnsi="宋体" w:cs="宋体"/>
                <w:color w:val="auto"/>
                <w:sz w:val="24"/>
                <w:szCs w:val="24"/>
                <w:highlight w:val="none"/>
              </w:rPr>
            </w:pPr>
          </w:p>
        </w:tc>
        <w:tc>
          <w:tcPr>
            <w:tcW w:w="855" w:type="dxa"/>
            <w:vMerge w:val="continue"/>
            <w:noWrap w:val="0"/>
            <w:vAlign w:val="center"/>
          </w:tcPr>
          <w:p w14:paraId="3CFCEDC7">
            <w:pPr>
              <w:snapToGrid w:val="0"/>
              <w:spacing w:line="360" w:lineRule="auto"/>
              <w:ind w:firstLine="480" w:firstLineChars="200"/>
              <w:rPr>
                <w:rFonts w:ascii="宋体" w:hAnsi="宋体" w:cs="宋体"/>
                <w:color w:val="auto"/>
                <w:sz w:val="24"/>
                <w:szCs w:val="24"/>
                <w:highlight w:val="none"/>
              </w:rPr>
            </w:pPr>
          </w:p>
        </w:tc>
      </w:tr>
      <w:tr w14:paraId="0864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410" w:type="dxa"/>
            <w:vMerge w:val="restart"/>
            <w:noWrap w:val="0"/>
            <w:vAlign w:val="center"/>
          </w:tcPr>
          <w:p w14:paraId="5C592D7C">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资格审查</w:t>
            </w:r>
          </w:p>
        </w:tc>
        <w:tc>
          <w:tcPr>
            <w:tcW w:w="5436" w:type="dxa"/>
            <w:noWrap w:val="0"/>
            <w:vAlign w:val="center"/>
          </w:tcPr>
          <w:p w14:paraId="39FAB5D2">
            <w:pPr>
              <w:widowControl/>
              <w:adjustRightInd w:val="0"/>
              <w:snapToGrid w:val="0"/>
              <w:spacing w:line="360" w:lineRule="auto"/>
              <w:jc w:val="left"/>
              <w:rPr>
                <w:rFonts w:ascii="宋体" w:hAnsi="宋体" w:cs="宋体"/>
                <w:color w:val="auto"/>
                <w:sz w:val="24"/>
                <w:szCs w:val="24"/>
                <w:highlight w:val="none"/>
              </w:rPr>
            </w:pPr>
            <w:r>
              <w:rPr>
                <w:rFonts w:hint="eastAsia" w:ascii="宋体" w:hAnsi="宋体" w:eastAsia="宋体" w:cs="宋体"/>
                <w:i w:val="0"/>
                <w:iCs w:val="0"/>
                <w:color w:val="auto"/>
                <w:sz w:val="24"/>
                <w:szCs w:val="24"/>
                <w:highlight w:val="none"/>
              </w:rPr>
              <w:t>具备《中华人民共和国政府采购法》第二十二条规定的条件</w:t>
            </w:r>
          </w:p>
        </w:tc>
        <w:tc>
          <w:tcPr>
            <w:tcW w:w="818" w:type="dxa"/>
            <w:noWrap w:val="0"/>
            <w:vAlign w:val="center"/>
          </w:tcPr>
          <w:p w14:paraId="62C3D592">
            <w:pPr>
              <w:snapToGrid w:val="0"/>
              <w:spacing w:line="360" w:lineRule="auto"/>
              <w:jc w:val="left"/>
              <w:rPr>
                <w:rFonts w:ascii="宋体" w:hAnsi="宋体" w:cs="宋体"/>
                <w:color w:val="auto"/>
                <w:sz w:val="24"/>
                <w:szCs w:val="24"/>
                <w:highlight w:val="none"/>
              </w:rPr>
            </w:pPr>
            <w:r>
              <w:rPr>
                <w:rFonts w:hint="eastAsia" w:ascii="宋体" w:hAnsi="宋体" w:cs="宋体"/>
                <w:b/>
                <w:color w:val="auto"/>
                <w:sz w:val="24"/>
                <w:szCs w:val="24"/>
                <w:highlight w:val="none"/>
              </w:rPr>
              <w:t>审查响应文件</w:t>
            </w:r>
          </w:p>
        </w:tc>
        <w:tc>
          <w:tcPr>
            <w:tcW w:w="645" w:type="dxa"/>
            <w:noWrap w:val="0"/>
            <w:vAlign w:val="top"/>
          </w:tcPr>
          <w:p w14:paraId="364267F5">
            <w:pPr>
              <w:snapToGrid w:val="0"/>
              <w:spacing w:line="360" w:lineRule="auto"/>
              <w:ind w:firstLine="480" w:firstLineChars="200"/>
              <w:rPr>
                <w:rFonts w:ascii="宋体" w:hAnsi="宋体" w:cs="宋体"/>
                <w:color w:val="auto"/>
                <w:sz w:val="24"/>
                <w:szCs w:val="24"/>
                <w:highlight w:val="none"/>
              </w:rPr>
            </w:pPr>
          </w:p>
        </w:tc>
        <w:tc>
          <w:tcPr>
            <w:tcW w:w="585" w:type="dxa"/>
            <w:noWrap w:val="0"/>
            <w:vAlign w:val="top"/>
          </w:tcPr>
          <w:p w14:paraId="78D76359">
            <w:pPr>
              <w:snapToGrid w:val="0"/>
              <w:spacing w:line="360" w:lineRule="auto"/>
              <w:ind w:firstLine="480" w:firstLineChars="200"/>
              <w:rPr>
                <w:rFonts w:ascii="宋体" w:hAnsi="宋体" w:cs="宋体"/>
                <w:color w:val="auto"/>
                <w:sz w:val="24"/>
                <w:szCs w:val="24"/>
                <w:highlight w:val="none"/>
              </w:rPr>
            </w:pPr>
          </w:p>
        </w:tc>
        <w:tc>
          <w:tcPr>
            <w:tcW w:w="570" w:type="dxa"/>
            <w:noWrap w:val="0"/>
            <w:vAlign w:val="top"/>
          </w:tcPr>
          <w:p w14:paraId="17CFEE09">
            <w:pPr>
              <w:snapToGrid w:val="0"/>
              <w:spacing w:line="360" w:lineRule="auto"/>
              <w:ind w:firstLine="480" w:firstLineChars="200"/>
              <w:rPr>
                <w:rFonts w:ascii="宋体" w:hAnsi="宋体" w:cs="宋体"/>
                <w:color w:val="auto"/>
                <w:sz w:val="24"/>
                <w:szCs w:val="24"/>
                <w:highlight w:val="none"/>
              </w:rPr>
            </w:pPr>
          </w:p>
        </w:tc>
        <w:tc>
          <w:tcPr>
            <w:tcW w:w="855" w:type="dxa"/>
            <w:vMerge w:val="restart"/>
            <w:noWrap w:val="0"/>
            <w:vAlign w:val="top"/>
          </w:tcPr>
          <w:p w14:paraId="58656C51">
            <w:pPr>
              <w:snapToGrid w:val="0"/>
              <w:spacing w:line="360" w:lineRule="auto"/>
              <w:ind w:firstLine="480" w:firstLineChars="200"/>
              <w:rPr>
                <w:rFonts w:ascii="宋体" w:hAnsi="宋体" w:cs="宋体"/>
                <w:color w:val="auto"/>
                <w:sz w:val="24"/>
                <w:szCs w:val="24"/>
                <w:highlight w:val="none"/>
              </w:rPr>
            </w:pPr>
          </w:p>
        </w:tc>
      </w:tr>
      <w:tr w14:paraId="22A1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jc w:val="center"/>
        </w:trPr>
        <w:tc>
          <w:tcPr>
            <w:tcW w:w="410" w:type="dxa"/>
            <w:vMerge w:val="continue"/>
            <w:noWrap w:val="0"/>
            <w:vAlign w:val="center"/>
          </w:tcPr>
          <w:p w14:paraId="0790A7FD">
            <w:pPr>
              <w:snapToGrid w:val="0"/>
              <w:spacing w:line="360" w:lineRule="auto"/>
              <w:ind w:firstLine="480" w:firstLineChars="200"/>
              <w:rPr>
                <w:rFonts w:ascii="宋体" w:hAnsi="宋体" w:cs="宋体"/>
                <w:color w:val="auto"/>
                <w:sz w:val="24"/>
                <w:szCs w:val="24"/>
                <w:highlight w:val="none"/>
              </w:rPr>
            </w:pPr>
          </w:p>
        </w:tc>
        <w:tc>
          <w:tcPr>
            <w:tcW w:w="5436" w:type="dxa"/>
            <w:noWrap w:val="0"/>
            <w:vAlign w:val="center"/>
          </w:tcPr>
          <w:p w14:paraId="1D8ED61D">
            <w:pPr>
              <w:widowControl/>
              <w:adjustRightInd w:val="0"/>
              <w:snapToGrid w:val="0"/>
              <w:spacing w:line="360" w:lineRule="auto"/>
              <w:jc w:val="left"/>
              <w:rPr>
                <w:rFonts w:ascii="宋体" w:hAnsi="宋体" w:cs="宋体"/>
                <w:color w:val="auto"/>
                <w:kern w:val="0"/>
                <w:sz w:val="24"/>
                <w:szCs w:val="24"/>
                <w:highlight w:val="none"/>
              </w:rPr>
            </w:pPr>
            <w:r>
              <w:rPr>
                <w:rFonts w:hint="eastAsia" w:ascii="宋体" w:hAnsi="宋体" w:eastAsia="宋体" w:cs="宋体"/>
                <w:i w:val="0"/>
                <w:iCs w:val="0"/>
                <w:color w:val="auto"/>
                <w:sz w:val="24"/>
                <w:szCs w:val="24"/>
                <w:highlight w:val="none"/>
              </w:rPr>
              <w:t>在中国境内注册，能在国内合法提供采购要求及其相应的服务能力，并持有效的企业法人营业执照；供应商自行承诺符合《中华人民共和国政府采购法》第二十二条规定及《中华人民共和国政府采购法实施条例》第十七条的相关要求</w:t>
            </w:r>
          </w:p>
        </w:tc>
        <w:tc>
          <w:tcPr>
            <w:tcW w:w="818" w:type="dxa"/>
            <w:noWrap w:val="0"/>
            <w:vAlign w:val="center"/>
          </w:tcPr>
          <w:p w14:paraId="6FDB2866">
            <w:pPr>
              <w:snapToGrid w:val="0"/>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审查响应文件</w:t>
            </w:r>
          </w:p>
        </w:tc>
        <w:tc>
          <w:tcPr>
            <w:tcW w:w="645" w:type="dxa"/>
            <w:noWrap w:val="0"/>
            <w:vAlign w:val="top"/>
          </w:tcPr>
          <w:p w14:paraId="2022BBBD">
            <w:pPr>
              <w:snapToGrid w:val="0"/>
              <w:spacing w:line="360" w:lineRule="auto"/>
              <w:ind w:firstLine="480" w:firstLineChars="200"/>
              <w:rPr>
                <w:rFonts w:ascii="宋体" w:hAnsi="宋体" w:cs="宋体"/>
                <w:color w:val="auto"/>
                <w:kern w:val="0"/>
                <w:sz w:val="24"/>
                <w:szCs w:val="24"/>
                <w:highlight w:val="none"/>
              </w:rPr>
            </w:pPr>
          </w:p>
        </w:tc>
        <w:tc>
          <w:tcPr>
            <w:tcW w:w="585" w:type="dxa"/>
            <w:noWrap w:val="0"/>
            <w:vAlign w:val="top"/>
          </w:tcPr>
          <w:p w14:paraId="093ACA54">
            <w:pPr>
              <w:snapToGrid w:val="0"/>
              <w:spacing w:line="360" w:lineRule="auto"/>
              <w:ind w:firstLine="480" w:firstLineChars="200"/>
              <w:rPr>
                <w:rFonts w:ascii="宋体" w:hAnsi="宋体" w:cs="宋体"/>
                <w:color w:val="auto"/>
                <w:sz w:val="24"/>
                <w:szCs w:val="24"/>
                <w:highlight w:val="none"/>
              </w:rPr>
            </w:pPr>
          </w:p>
        </w:tc>
        <w:tc>
          <w:tcPr>
            <w:tcW w:w="570" w:type="dxa"/>
            <w:noWrap w:val="0"/>
            <w:vAlign w:val="top"/>
          </w:tcPr>
          <w:p w14:paraId="44ED8FE9">
            <w:pPr>
              <w:snapToGrid w:val="0"/>
              <w:spacing w:line="360" w:lineRule="auto"/>
              <w:ind w:firstLine="480" w:firstLineChars="200"/>
              <w:rPr>
                <w:rFonts w:ascii="宋体" w:hAnsi="宋体" w:cs="宋体"/>
                <w:color w:val="auto"/>
                <w:sz w:val="24"/>
                <w:szCs w:val="24"/>
                <w:highlight w:val="none"/>
              </w:rPr>
            </w:pPr>
          </w:p>
        </w:tc>
        <w:tc>
          <w:tcPr>
            <w:tcW w:w="855" w:type="dxa"/>
            <w:vMerge w:val="continue"/>
            <w:noWrap w:val="0"/>
            <w:vAlign w:val="top"/>
          </w:tcPr>
          <w:p w14:paraId="4E2AB083">
            <w:pPr>
              <w:snapToGrid w:val="0"/>
              <w:spacing w:line="360" w:lineRule="auto"/>
              <w:ind w:firstLine="480" w:firstLineChars="200"/>
              <w:rPr>
                <w:rFonts w:ascii="宋体" w:hAnsi="宋体" w:cs="宋体"/>
                <w:color w:val="auto"/>
                <w:sz w:val="24"/>
                <w:szCs w:val="24"/>
                <w:highlight w:val="none"/>
              </w:rPr>
            </w:pPr>
          </w:p>
        </w:tc>
      </w:tr>
      <w:tr w14:paraId="6516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410" w:type="dxa"/>
            <w:vMerge w:val="continue"/>
            <w:noWrap w:val="0"/>
            <w:vAlign w:val="center"/>
          </w:tcPr>
          <w:p w14:paraId="1A2232B3">
            <w:pPr>
              <w:snapToGrid w:val="0"/>
              <w:spacing w:line="360" w:lineRule="auto"/>
              <w:ind w:firstLine="480" w:firstLineChars="200"/>
              <w:rPr>
                <w:rFonts w:ascii="宋体" w:hAnsi="宋体" w:cs="宋体"/>
                <w:color w:val="auto"/>
                <w:sz w:val="24"/>
                <w:szCs w:val="24"/>
                <w:highlight w:val="none"/>
              </w:rPr>
            </w:pPr>
          </w:p>
        </w:tc>
        <w:tc>
          <w:tcPr>
            <w:tcW w:w="5436" w:type="dxa"/>
            <w:noWrap w:val="0"/>
            <w:vAlign w:val="center"/>
          </w:tcPr>
          <w:p w14:paraId="1F38303F">
            <w:pPr>
              <w:widowControl/>
              <w:adjustRightInd w:val="0"/>
              <w:snapToGrid w:val="0"/>
              <w:spacing w:line="36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sz w:val="24"/>
                <w:szCs w:val="24"/>
                <w:highlight w:val="none"/>
                <w:lang w:eastAsia="zh-CN"/>
              </w:rPr>
              <w:t>供应商未被列入“信用中国”网站（www.creditchina.gov.cn）“严重失信主体名单”及中国政府采购网（www.ccgp.gov.cn）“政府采购严重违法失信行为信息记录”（失信信息查询结果由谈判（采购）代理机构负责在项目开标后评审会议开始前查询、截图）</w:t>
            </w:r>
          </w:p>
        </w:tc>
        <w:tc>
          <w:tcPr>
            <w:tcW w:w="818" w:type="dxa"/>
            <w:noWrap w:val="0"/>
            <w:vAlign w:val="center"/>
          </w:tcPr>
          <w:p w14:paraId="1A941848">
            <w:pPr>
              <w:snapToGrid w:val="0"/>
              <w:spacing w:line="360" w:lineRule="auto"/>
              <w:jc w:val="lef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谈判现场审查</w:t>
            </w:r>
          </w:p>
        </w:tc>
        <w:tc>
          <w:tcPr>
            <w:tcW w:w="645" w:type="dxa"/>
            <w:noWrap w:val="0"/>
            <w:vAlign w:val="top"/>
          </w:tcPr>
          <w:p w14:paraId="71488383">
            <w:pPr>
              <w:snapToGrid w:val="0"/>
              <w:spacing w:line="360" w:lineRule="auto"/>
              <w:ind w:firstLine="480" w:firstLineChars="200"/>
              <w:rPr>
                <w:rFonts w:ascii="宋体" w:hAnsi="宋体" w:cs="宋体"/>
                <w:color w:val="auto"/>
                <w:kern w:val="0"/>
                <w:sz w:val="24"/>
                <w:szCs w:val="24"/>
                <w:highlight w:val="none"/>
              </w:rPr>
            </w:pPr>
          </w:p>
        </w:tc>
        <w:tc>
          <w:tcPr>
            <w:tcW w:w="585" w:type="dxa"/>
            <w:noWrap w:val="0"/>
            <w:vAlign w:val="top"/>
          </w:tcPr>
          <w:p w14:paraId="1D03662D">
            <w:pPr>
              <w:snapToGrid w:val="0"/>
              <w:spacing w:line="360" w:lineRule="auto"/>
              <w:ind w:firstLine="480" w:firstLineChars="200"/>
              <w:rPr>
                <w:rFonts w:ascii="宋体" w:hAnsi="宋体" w:cs="宋体"/>
                <w:color w:val="auto"/>
                <w:sz w:val="24"/>
                <w:szCs w:val="24"/>
                <w:highlight w:val="none"/>
              </w:rPr>
            </w:pPr>
          </w:p>
        </w:tc>
        <w:tc>
          <w:tcPr>
            <w:tcW w:w="570" w:type="dxa"/>
            <w:noWrap w:val="0"/>
            <w:vAlign w:val="top"/>
          </w:tcPr>
          <w:p w14:paraId="03330AD6">
            <w:pPr>
              <w:snapToGrid w:val="0"/>
              <w:spacing w:line="360" w:lineRule="auto"/>
              <w:ind w:firstLine="480" w:firstLineChars="200"/>
              <w:rPr>
                <w:rFonts w:ascii="宋体" w:hAnsi="宋体" w:cs="宋体"/>
                <w:color w:val="auto"/>
                <w:sz w:val="24"/>
                <w:szCs w:val="24"/>
                <w:highlight w:val="none"/>
              </w:rPr>
            </w:pPr>
          </w:p>
        </w:tc>
        <w:tc>
          <w:tcPr>
            <w:tcW w:w="855" w:type="dxa"/>
            <w:vMerge w:val="continue"/>
            <w:noWrap w:val="0"/>
            <w:vAlign w:val="top"/>
          </w:tcPr>
          <w:p w14:paraId="6A616A20">
            <w:pPr>
              <w:snapToGrid w:val="0"/>
              <w:spacing w:line="360" w:lineRule="auto"/>
              <w:ind w:firstLine="480" w:firstLineChars="200"/>
              <w:rPr>
                <w:rFonts w:ascii="宋体" w:hAnsi="宋体" w:cs="宋体"/>
                <w:color w:val="auto"/>
                <w:sz w:val="24"/>
                <w:szCs w:val="24"/>
                <w:highlight w:val="none"/>
              </w:rPr>
            </w:pPr>
          </w:p>
        </w:tc>
      </w:tr>
      <w:tr w14:paraId="0C42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410" w:type="dxa"/>
            <w:vMerge w:val="continue"/>
            <w:noWrap w:val="0"/>
            <w:vAlign w:val="center"/>
          </w:tcPr>
          <w:p w14:paraId="654CC95F">
            <w:pPr>
              <w:snapToGrid w:val="0"/>
              <w:spacing w:line="360" w:lineRule="auto"/>
              <w:ind w:firstLine="480" w:firstLineChars="200"/>
              <w:rPr>
                <w:rFonts w:ascii="宋体" w:hAnsi="宋体" w:cs="宋体"/>
                <w:color w:val="auto"/>
                <w:sz w:val="24"/>
                <w:szCs w:val="24"/>
                <w:highlight w:val="none"/>
              </w:rPr>
            </w:pPr>
          </w:p>
        </w:tc>
        <w:tc>
          <w:tcPr>
            <w:tcW w:w="5436" w:type="dxa"/>
            <w:noWrap w:val="0"/>
            <w:vAlign w:val="center"/>
          </w:tcPr>
          <w:p w14:paraId="18BB67AC">
            <w:pPr>
              <w:pageBreakBefore w:val="0"/>
              <w:kinsoku/>
              <w:wordWrap/>
              <w:overflowPunct/>
              <w:topLinePunct w:val="0"/>
              <w:autoSpaceDE/>
              <w:autoSpaceDN/>
              <w:bidi w:val="0"/>
              <w:adjustRightInd/>
              <w:snapToGrid/>
              <w:spacing w:line="480" w:lineRule="exact"/>
              <w:textAlignment w:val="auto"/>
              <w:rPr>
                <w:rFonts w:hint="eastAsia" w:ascii="宋体" w:hAnsi="宋体" w:cs="宋体"/>
                <w:color w:val="auto"/>
                <w:sz w:val="24"/>
                <w:szCs w:val="24"/>
                <w:highlight w:val="none"/>
                <w:lang w:eastAsia="zh-CN"/>
              </w:rPr>
            </w:pPr>
            <w:r>
              <w:rPr>
                <w:rFonts w:hint="eastAsia" w:ascii="宋体" w:hAnsi="宋体" w:cs="宋体"/>
                <w:i w:val="0"/>
                <w:iCs w:val="0"/>
                <w:color w:val="auto"/>
                <w:sz w:val="24"/>
                <w:szCs w:val="24"/>
                <w:highlight w:val="none"/>
                <w:lang w:val="en-US" w:eastAsia="zh-CN"/>
              </w:rPr>
              <w:t>供应商具备行政主管部门颁发的医疗机构执业许可证，许可范围包含相关检验服务。</w:t>
            </w:r>
          </w:p>
        </w:tc>
        <w:tc>
          <w:tcPr>
            <w:tcW w:w="818" w:type="dxa"/>
            <w:noWrap w:val="0"/>
            <w:vAlign w:val="center"/>
          </w:tcPr>
          <w:p w14:paraId="76A8905A">
            <w:pPr>
              <w:snapToGrid w:val="0"/>
              <w:spacing w:line="360" w:lineRule="auto"/>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rPr>
              <w:t>审查响应文件</w:t>
            </w:r>
          </w:p>
        </w:tc>
        <w:tc>
          <w:tcPr>
            <w:tcW w:w="645" w:type="dxa"/>
            <w:noWrap w:val="0"/>
            <w:vAlign w:val="top"/>
          </w:tcPr>
          <w:p w14:paraId="732DCE4F">
            <w:pPr>
              <w:snapToGrid w:val="0"/>
              <w:spacing w:line="360" w:lineRule="auto"/>
              <w:ind w:firstLine="480" w:firstLineChars="200"/>
              <w:rPr>
                <w:rFonts w:ascii="宋体" w:hAnsi="宋体" w:cs="宋体"/>
                <w:color w:val="auto"/>
                <w:kern w:val="0"/>
                <w:sz w:val="24"/>
                <w:szCs w:val="24"/>
                <w:highlight w:val="none"/>
              </w:rPr>
            </w:pPr>
          </w:p>
        </w:tc>
        <w:tc>
          <w:tcPr>
            <w:tcW w:w="585" w:type="dxa"/>
            <w:noWrap w:val="0"/>
            <w:vAlign w:val="top"/>
          </w:tcPr>
          <w:p w14:paraId="36F4C9FF">
            <w:pPr>
              <w:snapToGrid w:val="0"/>
              <w:spacing w:line="360" w:lineRule="auto"/>
              <w:ind w:firstLine="480" w:firstLineChars="200"/>
              <w:rPr>
                <w:rFonts w:ascii="宋体" w:hAnsi="宋体" w:cs="宋体"/>
                <w:color w:val="auto"/>
                <w:sz w:val="24"/>
                <w:szCs w:val="24"/>
                <w:highlight w:val="none"/>
              </w:rPr>
            </w:pPr>
          </w:p>
        </w:tc>
        <w:tc>
          <w:tcPr>
            <w:tcW w:w="570" w:type="dxa"/>
            <w:noWrap w:val="0"/>
            <w:vAlign w:val="top"/>
          </w:tcPr>
          <w:p w14:paraId="6567C8A4">
            <w:pPr>
              <w:snapToGrid w:val="0"/>
              <w:spacing w:line="360" w:lineRule="auto"/>
              <w:ind w:firstLine="480" w:firstLineChars="200"/>
              <w:rPr>
                <w:rFonts w:ascii="宋体" w:hAnsi="宋体" w:cs="宋体"/>
                <w:color w:val="auto"/>
                <w:sz w:val="24"/>
                <w:szCs w:val="24"/>
                <w:highlight w:val="none"/>
              </w:rPr>
            </w:pPr>
          </w:p>
        </w:tc>
        <w:tc>
          <w:tcPr>
            <w:tcW w:w="855" w:type="dxa"/>
            <w:vMerge w:val="continue"/>
            <w:noWrap w:val="0"/>
            <w:vAlign w:val="top"/>
          </w:tcPr>
          <w:p w14:paraId="72EC2842">
            <w:pPr>
              <w:snapToGrid w:val="0"/>
              <w:spacing w:line="360" w:lineRule="auto"/>
              <w:ind w:firstLine="480" w:firstLineChars="200"/>
              <w:rPr>
                <w:rFonts w:ascii="宋体" w:hAnsi="宋体" w:cs="宋体"/>
                <w:color w:val="auto"/>
                <w:sz w:val="24"/>
                <w:szCs w:val="24"/>
                <w:highlight w:val="none"/>
              </w:rPr>
            </w:pPr>
          </w:p>
        </w:tc>
      </w:tr>
      <w:tr w14:paraId="0609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410" w:type="dxa"/>
            <w:vMerge w:val="continue"/>
            <w:noWrap w:val="0"/>
            <w:vAlign w:val="center"/>
          </w:tcPr>
          <w:p w14:paraId="2DBC3BCC">
            <w:pPr>
              <w:snapToGrid w:val="0"/>
              <w:spacing w:line="360" w:lineRule="auto"/>
              <w:ind w:firstLine="480" w:firstLineChars="200"/>
              <w:rPr>
                <w:rFonts w:ascii="宋体" w:hAnsi="宋体" w:cs="宋体"/>
                <w:color w:val="auto"/>
                <w:sz w:val="24"/>
                <w:szCs w:val="24"/>
                <w:highlight w:val="none"/>
              </w:rPr>
            </w:pPr>
          </w:p>
        </w:tc>
        <w:tc>
          <w:tcPr>
            <w:tcW w:w="5436" w:type="dxa"/>
            <w:noWrap w:val="0"/>
            <w:vAlign w:val="center"/>
          </w:tcPr>
          <w:p w14:paraId="53C00392">
            <w:pPr>
              <w:widowControl/>
              <w:adjustRightInd w:val="0"/>
              <w:snapToGrid w:val="0"/>
              <w:spacing w:line="360" w:lineRule="auto"/>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本次采购不接受联合体参与</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w:t>
            </w:r>
          </w:p>
        </w:tc>
        <w:tc>
          <w:tcPr>
            <w:tcW w:w="818" w:type="dxa"/>
            <w:noWrap w:val="0"/>
            <w:vAlign w:val="center"/>
          </w:tcPr>
          <w:p w14:paraId="4A0AD2DE">
            <w:pPr>
              <w:snapToGrid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审查响应文件</w:t>
            </w:r>
          </w:p>
        </w:tc>
        <w:tc>
          <w:tcPr>
            <w:tcW w:w="645" w:type="dxa"/>
            <w:noWrap w:val="0"/>
            <w:vAlign w:val="top"/>
          </w:tcPr>
          <w:p w14:paraId="2CB9EDBA">
            <w:pPr>
              <w:snapToGrid w:val="0"/>
              <w:spacing w:line="360" w:lineRule="auto"/>
              <w:ind w:firstLine="480" w:firstLineChars="200"/>
              <w:rPr>
                <w:rFonts w:ascii="宋体" w:hAnsi="宋体" w:cs="宋体"/>
                <w:color w:val="auto"/>
                <w:kern w:val="0"/>
                <w:sz w:val="24"/>
                <w:szCs w:val="24"/>
                <w:highlight w:val="none"/>
              </w:rPr>
            </w:pPr>
          </w:p>
        </w:tc>
        <w:tc>
          <w:tcPr>
            <w:tcW w:w="585" w:type="dxa"/>
            <w:noWrap w:val="0"/>
            <w:vAlign w:val="top"/>
          </w:tcPr>
          <w:p w14:paraId="7D6EE66E">
            <w:pPr>
              <w:snapToGrid w:val="0"/>
              <w:spacing w:line="360" w:lineRule="auto"/>
              <w:ind w:firstLine="480" w:firstLineChars="200"/>
              <w:rPr>
                <w:rFonts w:ascii="宋体" w:hAnsi="宋体" w:cs="宋体"/>
                <w:color w:val="auto"/>
                <w:sz w:val="24"/>
                <w:szCs w:val="24"/>
                <w:highlight w:val="none"/>
              </w:rPr>
            </w:pPr>
          </w:p>
        </w:tc>
        <w:tc>
          <w:tcPr>
            <w:tcW w:w="570" w:type="dxa"/>
            <w:noWrap w:val="0"/>
            <w:vAlign w:val="top"/>
          </w:tcPr>
          <w:p w14:paraId="22A4BC10">
            <w:pPr>
              <w:snapToGrid w:val="0"/>
              <w:spacing w:line="360" w:lineRule="auto"/>
              <w:ind w:firstLine="480" w:firstLineChars="200"/>
              <w:rPr>
                <w:rFonts w:ascii="宋体" w:hAnsi="宋体" w:cs="宋体"/>
                <w:color w:val="auto"/>
                <w:sz w:val="24"/>
                <w:szCs w:val="24"/>
                <w:highlight w:val="none"/>
              </w:rPr>
            </w:pPr>
          </w:p>
        </w:tc>
        <w:tc>
          <w:tcPr>
            <w:tcW w:w="855" w:type="dxa"/>
            <w:vMerge w:val="continue"/>
            <w:noWrap w:val="0"/>
            <w:vAlign w:val="top"/>
          </w:tcPr>
          <w:p w14:paraId="5D50151A">
            <w:pPr>
              <w:snapToGrid w:val="0"/>
              <w:spacing w:line="360" w:lineRule="auto"/>
              <w:ind w:firstLine="480" w:firstLineChars="200"/>
              <w:rPr>
                <w:rFonts w:ascii="宋体" w:hAnsi="宋体" w:cs="宋体"/>
                <w:color w:val="auto"/>
                <w:sz w:val="24"/>
                <w:szCs w:val="24"/>
                <w:highlight w:val="none"/>
              </w:rPr>
            </w:pPr>
          </w:p>
        </w:tc>
      </w:tr>
      <w:tr w14:paraId="3F2F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6664" w:type="dxa"/>
            <w:gridSpan w:val="3"/>
            <w:noWrap w:val="0"/>
            <w:vAlign w:val="center"/>
          </w:tcPr>
          <w:p w14:paraId="0ED275C1">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评审结论：</w:t>
            </w:r>
          </w:p>
          <w:p w14:paraId="15858A3D">
            <w:pPr>
              <w:snapToGrid w:val="0"/>
              <w:spacing w:line="360" w:lineRule="auto"/>
              <w:jc w:val="left"/>
              <w:rPr>
                <w:rFonts w:ascii="宋体" w:hAnsi="宋体" w:cs="宋体"/>
                <w:color w:val="auto"/>
                <w:sz w:val="24"/>
                <w:szCs w:val="24"/>
                <w:highlight w:val="none"/>
              </w:rPr>
            </w:pPr>
          </w:p>
        </w:tc>
        <w:tc>
          <w:tcPr>
            <w:tcW w:w="645" w:type="dxa"/>
            <w:noWrap w:val="0"/>
            <w:vAlign w:val="top"/>
          </w:tcPr>
          <w:p w14:paraId="101226B4">
            <w:pPr>
              <w:snapToGrid w:val="0"/>
              <w:spacing w:line="360" w:lineRule="auto"/>
              <w:ind w:firstLine="480" w:firstLineChars="200"/>
              <w:rPr>
                <w:rFonts w:ascii="宋体" w:hAnsi="宋体" w:cs="宋体"/>
                <w:color w:val="auto"/>
                <w:sz w:val="24"/>
                <w:szCs w:val="24"/>
                <w:highlight w:val="none"/>
              </w:rPr>
            </w:pPr>
          </w:p>
        </w:tc>
        <w:tc>
          <w:tcPr>
            <w:tcW w:w="585" w:type="dxa"/>
            <w:noWrap w:val="0"/>
            <w:vAlign w:val="top"/>
          </w:tcPr>
          <w:p w14:paraId="057FBBB3">
            <w:pPr>
              <w:snapToGrid w:val="0"/>
              <w:spacing w:line="360" w:lineRule="auto"/>
              <w:ind w:firstLine="480" w:firstLineChars="200"/>
              <w:rPr>
                <w:rFonts w:ascii="宋体" w:hAnsi="宋体" w:cs="宋体"/>
                <w:color w:val="auto"/>
                <w:sz w:val="24"/>
                <w:szCs w:val="24"/>
                <w:highlight w:val="none"/>
              </w:rPr>
            </w:pPr>
          </w:p>
        </w:tc>
        <w:tc>
          <w:tcPr>
            <w:tcW w:w="570" w:type="dxa"/>
            <w:noWrap w:val="0"/>
            <w:vAlign w:val="top"/>
          </w:tcPr>
          <w:p w14:paraId="563DE699">
            <w:pPr>
              <w:snapToGrid w:val="0"/>
              <w:spacing w:line="360" w:lineRule="auto"/>
              <w:ind w:firstLine="480" w:firstLineChars="200"/>
              <w:rPr>
                <w:rFonts w:ascii="宋体" w:hAnsi="宋体" w:cs="宋体"/>
                <w:color w:val="auto"/>
                <w:sz w:val="24"/>
                <w:szCs w:val="24"/>
                <w:highlight w:val="none"/>
              </w:rPr>
            </w:pPr>
          </w:p>
        </w:tc>
        <w:tc>
          <w:tcPr>
            <w:tcW w:w="855" w:type="dxa"/>
            <w:vMerge w:val="continue"/>
            <w:noWrap w:val="0"/>
            <w:vAlign w:val="top"/>
          </w:tcPr>
          <w:p w14:paraId="51A5E33B">
            <w:pPr>
              <w:snapToGrid w:val="0"/>
              <w:spacing w:line="360" w:lineRule="auto"/>
              <w:ind w:firstLine="480" w:firstLineChars="200"/>
              <w:rPr>
                <w:rFonts w:ascii="宋体" w:hAnsi="宋体" w:cs="宋体"/>
                <w:color w:val="auto"/>
                <w:sz w:val="24"/>
                <w:szCs w:val="24"/>
                <w:highlight w:val="none"/>
              </w:rPr>
            </w:pPr>
          </w:p>
        </w:tc>
      </w:tr>
    </w:tbl>
    <w:p w14:paraId="088ABBBA">
      <w:pPr>
        <w:spacing w:line="360" w:lineRule="auto"/>
        <w:rPr>
          <w:rFonts w:ascii="宋体" w:hAnsi="宋体" w:cs="宋体"/>
          <w:color w:val="auto"/>
          <w:sz w:val="24"/>
          <w:szCs w:val="24"/>
          <w:highlight w:val="none"/>
        </w:rPr>
      </w:pPr>
    </w:p>
    <w:p w14:paraId="2C6BF05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注：本表内评审内容，若有一项评审内容不符合要求，不予通过资格审查。</w:t>
      </w:r>
    </w:p>
    <w:p w14:paraId="5C9F1D5F">
      <w:pPr>
        <w:pStyle w:val="28"/>
        <w:tabs>
          <w:tab w:val="left" w:pos="540"/>
        </w:tabs>
        <w:adjustRightInd w:val="0"/>
        <w:snapToGrid w:val="0"/>
        <w:spacing w:after="0" w:line="360" w:lineRule="auto"/>
        <w:ind w:left="0" w:leftChars="0"/>
        <w:jc w:val="center"/>
        <w:outlineLvl w:val="1"/>
        <w:rPr>
          <w:rFonts w:ascii="宋体" w:hAnsi="宋体" w:cs="宋体"/>
          <w:b/>
          <w:bCs/>
          <w:color w:val="auto"/>
          <w:sz w:val="24"/>
          <w:highlight w:val="none"/>
        </w:rPr>
      </w:pPr>
      <w:r>
        <w:rPr>
          <w:rFonts w:hint="eastAsia" w:ascii="宋体" w:hAnsi="宋体" w:cs="宋体"/>
          <w:b/>
          <w:bCs/>
          <w:color w:val="auto"/>
          <w:sz w:val="24"/>
          <w:highlight w:val="none"/>
        </w:rPr>
        <w:br w:type="page"/>
      </w:r>
      <w:bookmarkStart w:id="94" w:name="_Toc29084"/>
      <w:bookmarkStart w:id="95" w:name="_Toc13976"/>
      <w:r>
        <w:rPr>
          <w:rFonts w:hint="eastAsia" w:ascii="宋体" w:hAnsi="宋体" w:cs="宋体"/>
          <w:b/>
          <w:bCs/>
          <w:color w:val="auto"/>
          <w:sz w:val="24"/>
          <w:highlight w:val="none"/>
        </w:rPr>
        <w:t>附表二: 有效性、完整性和响应程度审查表</w:t>
      </w:r>
      <w:bookmarkEnd w:id="94"/>
      <w:bookmarkEnd w:id="95"/>
    </w:p>
    <w:p w14:paraId="42D91E3E">
      <w:pPr>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谈判</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时间：   年   月   日</w:t>
      </w:r>
    </w:p>
    <w:tbl>
      <w:tblPr>
        <w:tblStyle w:val="54"/>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855"/>
        <w:gridCol w:w="537"/>
        <w:gridCol w:w="536"/>
        <w:gridCol w:w="615"/>
        <w:gridCol w:w="603"/>
        <w:gridCol w:w="1178"/>
      </w:tblGrid>
      <w:tr w14:paraId="00A2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289" w:type="dxa"/>
            <w:gridSpan w:val="2"/>
            <w:vMerge w:val="restart"/>
            <w:noWrap w:val="0"/>
            <w:vAlign w:val="center"/>
          </w:tcPr>
          <w:p w14:paraId="2EF06DBE">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 审 内 容</w:t>
            </w:r>
          </w:p>
        </w:tc>
        <w:tc>
          <w:tcPr>
            <w:tcW w:w="2291" w:type="dxa"/>
            <w:gridSpan w:val="4"/>
            <w:noWrap w:val="0"/>
            <w:vAlign w:val="center"/>
          </w:tcPr>
          <w:p w14:paraId="0B5C1009">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 应 商</w:t>
            </w:r>
          </w:p>
        </w:tc>
        <w:tc>
          <w:tcPr>
            <w:tcW w:w="1178" w:type="dxa"/>
            <w:vMerge w:val="restart"/>
            <w:noWrap w:val="0"/>
            <w:vAlign w:val="center"/>
          </w:tcPr>
          <w:p w14:paraId="70F07782">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小组成员签字</w:t>
            </w:r>
          </w:p>
        </w:tc>
      </w:tr>
      <w:tr w14:paraId="19A6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289" w:type="dxa"/>
            <w:gridSpan w:val="2"/>
            <w:vMerge w:val="continue"/>
            <w:noWrap w:val="0"/>
            <w:vAlign w:val="center"/>
          </w:tcPr>
          <w:p w14:paraId="5695F7CE">
            <w:pPr>
              <w:snapToGrid w:val="0"/>
              <w:spacing w:line="360" w:lineRule="auto"/>
              <w:jc w:val="center"/>
              <w:rPr>
                <w:rFonts w:ascii="宋体" w:hAnsi="宋体" w:cs="宋体"/>
                <w:color w:val="auto"/>
                <w:sz w:val="24"/>
                <w:szCs w:val="24"/>
                <w:highlight w:val="none"/>
              </w:rPr>
            </w:pPr>
          </w:p>
        </w:tc>
        <w:tc>
          <w:tcPr>
            <w:tcW w:w="537" w:type="dxa"/>
            <w:noWrap w:val="0"/>
            <w:vAlign w:val="center"/>
          </w:tcPr>
          <w:p w14:paraId="3581ECBC">
            <w:pPr>
              <w:snapToGrid w:val="0"/>
              <w:spacing w:line="360" w:lineRule="auto"/>
              <w:jc w:val="center"/>
              <w:rPr>
                <w:rFonts w:ascii="宋体" w:hAnsi="宋体" w:cs="宋体"/>
                <w:color w:val="auto"/>
                <w:sz w:val="24"/>
                <w:szCs w:val="24"/>
                <w:highlight w:val="none"/>
              </w:rPr>
            </w:pPr>
          </w:p>
        </w:tc>
        <w:tc>
          <w:tcPr>
            <w:tcW w:w="536" w:type="dxa"/>
            <w:noWrap w:val="0"/>
            <w:vAlign w:val="center"/>
          </w:tcPr>
          <w:p w14:paraId="089CF8FC">
            <w:pPr>
              <w:snapToGrid w:val="0"/>
              <w:spacing w:line="360" w:lineRule="auto"/>
              <w:jc w:val="center"/>
              <w:rPr>
                <w:rFonts w:ascii="宋体" w:hAnsi="宋体" w:cs="宋体"/>
                <w:color w:val="auto"/>
                <w:sz w:val="24"/>
                <w:szCs w:val="24"/>
                <w:highlight w:val="none"/>
              </w:rPr>
            </w:pPr>
          </w:p>
        </w:tc>
        <w:tc>
          <w:tcPr>
            <w:tcW w:w="615" w:type="dxa"/>
            <w:noWrap w:val="0"/>
            <w:vAlign w:val="center"/>
          </w:tcPr>
          <w:p w14:paraId="46D6DD22">
            <w:pPr>
              <w:snapToGrid w:val="0"/>
              <w:spacing w:line="360" w:lineRule="auto"/>
              <w:jc w:val="center"/>
              <w:rPr>
                <w:rFonts w:ascii="宋体" w:hAnsi="宋体" w:cs="宋体"/>
                <w:color w:val="auto"/>
                <w:sz w:val="24"/>
                <w:szCs w:val="24"/>
                <w:highlight w:val="none"/>
              </w:rPr>
            </w:pPr>
          </w:p>
        </w:tc>
        <w:tc>
          <w:tcPr>
            <w:tcW w:w="603" w:type="dxa"/>
            <w:noWrap w:val="0"/>
            <w:vAlign w:val="center"/>
          </w:tcPr>
          <w:p w14:paraId="613AD29E">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23F391DD">
            <w:pPr>
              <w:snapToGrid w:val="0"/>
              <w:spacing w:line="360" w:lineRule="auto"/>
              <w:jc w:val="center"/>
              <w:rPr>
                <w:rFonts w:ascii="宋体" w:hAnsi="宋体" w:cs="宋体"/>
                <w:color w:val="auto"/>
                <w:sz w:val="24"/>
                <w:szCs w:val="24"/>
                <w:highlight w:val="none"/>
              </w:rPr>
            </w:pPr>
          </w:p>
        </w:tc>
      </w:tr>
      <w:tr w14:paraId="2D8A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34" w:type="dxa"/>
            <w:vMerge w:val="restart"/>
            <w:noWrap w:val="0"/>
            <w:vAlign w:val="center"/>
          </w:tcPr>
          <w:p w14:paraId="5C342262">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重</w:t>
            </w:r>
          </w:p>
          <w:p w14:paraId="6B9446D5">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大</w:t>
            </w:r>
          </w:p>
          <w:p w14:paraId="0D06D5AC">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偏</w:t>
            </w:r>
          </w:p>
          <w:p w14:paraId="73CCD39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差</w:t>
            </w:r>
          </w:p>
        </w:tc>
        <w:tc>
          <w:tcPr>
            <w:tcW w:w="4855" w:type="dxa"/>
            <w:noWrap w:val="0"/>
            <w:vAlign w:val="center"/>
          </w:tcPr>
          <w:p w14:paraId="0F3DAA14">
            <w:pPr>
              <w:adjustRightInd w:val="0"/>
              <w:snapToGrid w:val="0"/>
              <w:spacing w:line="360" w:lineRule="auto"/>
              <w:jc w:val="left"/>
              <w:rPr>
                <w:rFonts w:ascii="宋体" w:hAnsi="宋体" w:cs="宋体"/>
                <w:bCs/>
                <w:color w:val="auto"/>
                <w:sz w:val="24"/>
                <w:szCs w:val="24"/>
                <w:highlight w:val="none"/>
              </w:rPr>
            </w:pPr>
            <w:r>
              <w:rPr>
                <w:rFonts w:hint="eastAsia" w:ascii="宋体" w:hAnsi="宋体" w:eastAsia="宋体" w:cs="宋体"/>
                <w:bCs/>
                <w:color w:val="auto"/>
                <w:sz w:val="24"/>
                <w:highlight w:val="none"/>
              </w:rPr>
              <w:t>无单位盖章并无法定代表人或其授权代理人签字</w:t>
            </w:r>
            <w:r>
              <w:rPr>
                <w:rFonts w:hint="eastAsia" w:ascii="宋体" w:hAnsi="宋体" w:eastAsia="宋体" w:cs="宋体"/>
                <w:color w:val="auto"/>
                <w:sz w:val="24"/>
                <w:highlight w:val="none"/>
              </w:rPr>
              <w:t>；响应文件内容不全或关键字迹模糊、无法辨认的</w:t>
            </w:r>
          </w:p>
        </w:tc>
        <w:tc>
          <w:tcPr>
            <w:tcW w:w="537" w:type="dxa"/>
            <w:noWrap w:val="0"/>
            <w:vAlign w:val="center"/>
          </w:tcPr>
          <w:p w14:paraId="7D6D8A02">
            <w:pPr>
              <w:snapToGrid w:val="0"/>
              <w:spacing w:line="360" w:lineRule="auto"/>
              <w:jc w:val="center"/>
              <w:rPr>
                <w:rFonts w:ascii="宋体" w:hAnsi="宋体" w:cs="宋体"/>
                <w:color w:val="auto"/>
                <w:sz w:val="24"/>
                <w:szCs w:val="24"/>
                <w:highlight w:val="none"/>
              </w:rPr>
            </w:pPr>
          </w:p>
        </w:tc>
        <w:tc>
          <w:tcPr>
            <w:tcW w:w="536" w:type="dxa"/>
            <w:noWrap w:val="0"/>
            <w:vAlign w:val="center"/>
          </w:tcPr>
          <w:p w14:paraId="0B79AA11">
            <w:pPr>
              <w:snapToGrid w:val="0"/>
              <w:spacing w:line="360" w:lineRule="auto"/>
              <w:jc w:val="center"/>
              <w:rPr>
                <w:rFonts w:ascii="宋体" w:hAnsi="宋体" w:cs="宋体"/>
                <w:color w:val="auto"/>
                <w:sz w:val="24"/>
                <w:szCs w:val="24"/>
                <w:highlight w:val="none"/>
              </w:rPr>
            </w:pPr>
          </w:p>
        </w:tc>
        <w:tc>
          <w:tcPr>
            <w:tcW w:w="615" w:type="dxa"/>
            <w:noWrap w:val="0"/>
            <w:vAlign w:val="center"/>
          </w:tcPr>
          <w:p w14:paraId="05B42078">
            <w:pPr>
              <w:snapToGrid w:val="0"/>
              <w:spacing w:line="360" w:lineRule="auto"/>
              <w:jc w:val="center"/>
              <w:rPr>
                <w:rFonts w:ascii="宋体" w:hAnsi="宋体" w:cs="宋体"/>
                <w:color w:val="auto"/>
                <w:sz w:val="24"/>
                <w:szCs w:val="24"/>
                <w:highlight w:val="none"/>
              </w:rPr>
            </w:pPr>
          </w:p>
        </w:tc>
        <w:tc>
          <w:tcPr>
            <w:tcW w:w="603" w:type="dxa"/>
            <w:noWrap w:val="0"/>
            <w:vAlign w:val="center"/>
          </w:tcPr>
          <w:p w14:paraId="544AA9BD">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2B881E21">
            <w:pPr>
              <w:snapToGrid w:val="0"/>
              <w:spacing w:line="360" w:lineRule="auto"/>
              <w:jc w:val="center"/>
              <w:rPr>
                <w:rFonts w:ascii="宋体" w:hAnsi="宋体" w:cs="宋体"/>
                <w:color w:val="auto"/>
                <w:sz w:val="24"/>
                <w:szCs w:val="24"/>
                <w:highlight w:val="none"/>
              </w:rPr>
            </w:pPr>
          </w:p>
        </w:tc>
      </w:tr>
      <w:tr w14:paraId="3A1B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34" w:type="dxa"/>
            <w:vMerge w:val="continue"/>
            <w:noWrap w:val="0"/>
            <w:vAlign w:val="center"/>
          </w:tcPr>
          <w:p w14:paraId="42A80B6B">
            <w:pPr>
              <w:snapToGrid w:val="0"/>
              <w:spacing w:line="360" w:lineRule="auto"/>
              <w:jc w:val="center"/>
              <w:rPr>
                <w:rFonts w:ascii="宋体" w:hAnsi="宋体" w:cs="宋体"/>
                <w:color w:val="auto"/>
                <w:sz w:val="24"/>
                <w:szCs w:val="24"/>
                <w:highlight w:val="none"/>
              </w:rPr>
            </w:pPr>
          </w:p>
        </w:tc>
        <w:tc>
          <w:tcPr>
            <w:tcW w:w="4855" w:type="dxa"/>
            <w:noWrap w:val="0"/>
            <w:vAlign w:val="center"/>
          </w:tcPr>
          <w:p w14:paraId="687B78DB">
            <w:pPr>
              <w:adjustRightInd w:val="0"/>
              <w:snapToGrid w:val="0"/>
              <w:spacing w:line="360" w:lineRule="auto"/>
              <w:jc w:val="left"/>
              <w:rPr>
                <w:rFonts w:ascii="宋体" w:hAnsi="宋体" w:cs="宋体"/>
                <w:bCs/>
                <w:color w:val="auto"/>
                <w:sz w:val="24"/>
                <w:szCs w:val="24"/>
                <w:highlight w:val="none"/>
              </w:rPr>
            </w:pPr>
            <w:r>
              <w:rPr>
                <w:rFonts w:hint="eastAsia" w:ascii="宋体" w:hAnsi="宋体" w:eastAsia="宋体" w:cs="宋体"/>
                <w:color w:val="auto"/>
                <w:sz w:val="24"/>
                <w:highlight w:val="none"/>
                <w:lang w:eastAsia="zh-CN"/>
              </w:rPr>
              <w:t>合同履约期限</w:t>
            </w:r>
            <w:r>
              <w:rPr>
                <w:rFonts w:hint="eastAsia" w:ascii="宋体" w:hAnsi="宋体" w:eastAsia="宋体" w:cs="宋体"/>
                <w:color w:val="auto"/>
                <w:sz w:val="24"/>
                <w:highlight w:val="none"/>
              </w:rPr>
              <w:t>、质量不满足</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文件要求的</w:t>
            </w:r>
          </w:p>
        </w:tc>
        <w:tc>
          <w:tcPr>
            <w:tcW w:w="537" w:type="dxa"/>
            <w:noWrap w:val="0"/>
            <w:vAlign w:val="center"/>
          </w:tcPr>
          <w:p w14:paraId="3D90237C">
            <w:pPr>
              <w:snapToGrid w:val="0"/>
              <w:spacing w:line="360" w:lineRule="auto"/>
              <w:jc w:val="center"/>
              <w:rPr>
                <w:rFonts w:ascii="宋体" w:hAnsi="宋体" w:cs="宋体"/>
                <w:color w:val="auto"/>
                <w:sz w:val="24"/>
                <w:szCs w:val="24"/>
                <w:highlight w:val="none"/>
              </w:rPr>
            </w:pPr>
          </w:p>
        </w:tc>
        <w:tc>
          <w:tcPr>
            <w:tcW w:w="536" w:type="dxa"/>
            <w:noWrap w:val="0"/>
            <w:vAlign w:val="center"/>
          </w:tcPr>
          <w:p w14:paraId="2494A570">
            <w:pPr>
              <w:snapToGrid w:val="0"/>
              <w:spacing w:line="360" w:lineRule="auto"/>
              <w:jc w:val="center"/>
              <w:rPr>
                <w:rFonts w:ascii="宋体" w:hAnsi="宋体" w:cs="宋体"/>
                <w:color w:val="auto"/>
                <w:sz w:val="24"/>
                <w:szCs w:val="24"/>
                <w:highlight w:val="none"/>
              </w:rPr>
            </w:pPr>
          </w:p>
        </w:tc>
        <w:tc>
          <w:tcPr>
            <w:tcW w:w="615" w:type="dxa"/>
            <w:noWrap w:val="0"/>
            <w:vAlign w:val="center"/>
          </w:tcPr>
          <w:p w14:paraId="3FC5B920">
            <w:pPr>
              <w:snapToGrid w:val="0"/>
              <w:spacing w:line="360" w:lineRule="auto"/>
              <w:jc w:val="center"/>
              <w:rPr>
                <w:rFonts w:ascii="宋体" w:hAnsi="宋体" w:cs="宋体"/>
                <w:color w:val="auto"/>
                <w:sz w:val="24"/>
                <w:szCs w:val="24"/>
                <w:highlight w:val="none"/>
              </w:rPr>
            </w:pPr>
          </w:p>
        </w:tc>
        <w:tc>
          <w:tcPr>
            <w:tcW w:w="603" w:type="dxa"/>
            <w:noWrap w:val="0"/>
            <w:vAlign w:val="center"/>
          </w:tcPr>
          <w:p w14:paraId="095B8EC6">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0596F5D5">
            <w:pPr>
              <w:snapToGrid w:val="0"/>
              <w:spacing w:line="360" w:lineRule="auto"/>
              <w:jc w:val="center"/>
              <w:rPr>
                <w:rFonts w:ascii="宋体" w:hAnsi="宋体" w:cs="宋体"/>
                <w:color w:val="auto"/>
                <w:sz w:val="24"/>
                <w:szCs w:val="24"/>
                <w:highlight w:val="none"/>
              </w:rPr>
            </w:pPr>
          </w:p>
        </w:tc>
      </w:tr>
      <w:tr w14:paraId="49B2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434" w:type="dxa"/>
            <w:vMerge w:val="continue"/>
            <w:noWrap w:val="0"/>
            <w:vAlign w:val="center"/>
          </w:tcPr>
          <w:p w14:paraId="6342D0C9">
            <w:pPr>
              <w:snapToGrid w:val="0"/>
              <w:spacing w:line="360" w:lineRule="auto"/>
              <w:jc w:val="center"/>
              <w:rPr>
                <w:rFonts w:ascii="宋体" w:hAnsi="宋体" w:cs="宋体"/>
                <w:color w:val="auto"/>
                <w:sz w:val="24"/>
                <w:szCs w:val="24"/>
                <w:highlight w:val="none"/>
              </w:rPr>
            </w:pPr>
          </w:p>
        </w:tc>
        <w:tc>
          <w:tcPr>
            <w:tcW w:w="4855" w:type="dxa"/>
            <w:noWrap w:val="0"/>
            <w:vAlign w:val="center"/>
          </w:tcPr>
          <w:p w14:paraId="0C67EFF5">
            <w:pPr>
              <w:adjustRightInd w:val="0"/>
              <w:snapToGrid w:val="0"/>
              <w:spacing w:line="360" w:lineRule="auto"/>
              <w:jc w:val="left"/>
              <w:rPr>
                <w:rFonts w:ascii="宋体" w:hAnsi="宋体" w:cs="宋体"/>
                <w:bCs/>
                <w:color w:val="auto"/>
                <w:sz w:val="24"/>
                <w:szCs w:val="24"/>
                <w:highlight w:val="none"/>
              </w:rPr>
            </w:pPr>
            <w:r>
              <w:rPr>
                <w:rFonts w:hint="eastAsia" w:ascii="宋体" w:hAnsi="宋体" w:eastAsia="宋体" w:cs="宋体"/>
                <w:color w:val="auto"/>
                <w:sz w:val="24"/>
                <w:highlight w:val="none"/>
              </w:rPr>
              <w:t>谈判报价高于</w:t>
            </w:r>
            <w:r>
              <w:rPr>
                <w:rFonts w:hint="eastAsia" w:ascii="宋体" w:hAnsi="宋体" w:eastAsia="宋体" w:cs="宋体"/>
                <w:color w:val="auto"/>
                <w:sz w:val="24"/>
                <w:highlight w:val="none"/>
                <w:lang w:val="en-US" w:eastAsia="zh-CN"/>
              </w:rPr>
              <w:t>采购限价</w:t>
            </w:r>
            <w:r>
              <w:rPr>
                <w:rFonts w:hint="eastAsia" w:ascii="宋体" w:hAnsi="宋体" w:eastAsia="宋体" w:cs="宋体"/>
                <w:color w:val="auto"/>
                <w:sz w:val="24"/>
                <w:highlight w:val="none"/>
              </w:rPr>
              <w:t>的</w:t>
            </w:r>
          </w:p>
        </w:tc>
        <w:tc>
          <w:tcPr>
            <w:tcW w:w="537" w:type="dxa"/>
            <w:noWrap w:val="0"/>
            <w:vAlign w:val="center"/>
          </w:tcPr>
          <w:p w14:paraId="156AF4DC">
            <w:pPr>
              <w:snapToGrid w:val="0"/>
              <w:spacing w:line="360" w:lineRule="auto"/>
              <w:jc w:val="center"/>
              <w:rPr>
                <w:rFonts w:ascii="宋体" w:hAnsi="宋体" w:cs="宋体"/>
                <w:color w:val="auto"/>
                <w:sz w:val="24"/>
                <w:szCs w:val="24"/>
                <w:highlight w:val="none"/>
              </w:rPr>
            </w:pPr>
          </w:p>
        </w:tc>
        <w:tc>
          <w:tcPr>
            <w:tcW w:w="536" w:type="dxa"/>
            <w:noWrap w:val="0"/>
            <w:vAlign w:val="center"/>
          </w:tcPr>
          <w:p w14:paraId="1D4D65A2">
            <w:pPr>
              <w:snapToGrid w:val="0"/>
              <w:spacing w:line="360" w:lineRule="auto"/>
              <w:jc w:val="center"/>
              <w:rPr>
                <w:rFonts w:ascii="宋体" w:hAnsi="宋体" w:cs="宋体"/>
                <w:color w:val="auto"/>
                <w:sz w:val="24"/>
                <w:szCs w:val="24"/>
                <w:highlight w:val="none"/>
              </w:rPr>
            </w:pPr>
          </w:p>
        </w:tc>
        <w:tc>
          <w:tcPr>
            <w:tcW w:w="615" w:type="dxa"/>
            <w:noWrap w:val="0"/>
            <w:vAlign w:val="center"/>
          </w:tcPr>
          <w:p w14:paraId="187FE604">
            <w:pPr>
              <w:snapToGrid w:val="0"/>
              <w:spacing w:line="360" w:lineRule="auto"/>
              <w:jc w:val="center"/>
              <w:rPr>
                <w:rFonts w:ascii="宋体" w:hAnsi="宋体" w:cs="宋体"/>
                <w:color w:val="auto"/>
                <w:sz w:val="24"/>
                <w:szCs w:val="24"/>
                <w:highlight w:val="none"/>
              </w:rPr>
            </w:pPr>
          </w:p>
        </w:tc>
        <w:tc>
          <w:tcPr>
            <w:tcW w:w="603" w:type="dxa"/>
            <w:noWrap w:val="0"/>
            <w:vAlign w:val="center"/>
          </w:tcPr>
          <w:p w14:paraId="54AD0BB4">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766F4658">
            <w:pPr>
              <w:snapToGrid w:val="0"/>
              <w:spacing w:line="360" w:lineRule="auto"/>
              <w:jc w:val="center"/>
              <w:rPr>
                <w:rFonts w:ascii="宋体" w:hAnsi="宋体" w:cs="宋体"/>
                <w:color w:val="auto"/>
                <w:sz w:val="24"/>
                <w:szCs w:val="24"/>
                <w:highlight w:val="none"/>
              </w:rPr>
            </w:pPr>
          </w:p>
        </w:tc>
      </w:tr>
      <w:tr w14:paraId="3503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434" w:type="dxa"/>
            <w:vMerge w:val="continue"/>
            <w:noWrap w:val="0"/>
            <w:vAlign w:val="center"/>
          </w:tcPr>
          <w:p w14:paraId="1758A854">
            <w:pPr>
              <w:snapToGrid w:val="0"/>
              <w:spacing w:line="360" w:lineRule="auto"/>
              <w:jc w:val="center"/>
              <w:rPr>
                <w:rFonts w:ascii="宋体" w:hAnsi="宋体" w:cs="宋体"/>
                <w:color w:val="auto"/>
                <w:sz w:val="24"/>
                <w:szCs w:val="24"/>
                <w:highlight w:val="none"/>
              </w:rPr>
            </w:pPr>
          </w:p>
        </w:tc>
        <w:tc>
          <w:tcPr>
            <w:tcW w:w="4855" w:type="dxa"/>
            <w:noWrap w:val="0"/>
            <w:vAlign w:val="center"/>
          </w:tcPr>
          <w:p w14:paraId="08BD4E79">
            <w:pPr>
              <w:adjustRightInd w:val="0"/>
              <w:snapToGrid w:val="0"/>
              <w:spacing w:line="360" w:lineRule="auto"/>
              <w:jc w:val="left"/>
              <w:rPr>
                <w:rFonts w:ascii="宋体" w:hAnsi="宋体" w:cs="宋体"/>
                <w:bCs/>
                <w:color w:val="auto"/>
                <w:sz w:val="24"/>
                <w:szCs w:val="24"/>
                <w:highlight w:val="none"/>
              </w:rPr>
            </w:pPr>
            <w:r>
              <w:rPr>
                <w:rFonts w:hint="eastAsia" w:ascii="宋体" w:hAnsi="宋体" w:eastAsia="宋体" w:cs="宋体"/>
                <w:color w:val="auto"/>
                <w:sz w:val="24"/>
                <w:highlight w:val="none"/>
              </w:rPr>
              <w:t>供应商递交两份以上不同的响应文件或者谈判报价的</w:t>
            </w:r>
          </w:p>
        </w:tc>
        <w:tc>
          <w:tcPr>
            <w:tcW w:w="537" w:type="dxa"/>
            <w:noWrap w:val="0"/>
            <w:vAlign w:val="center"/>
          </w:tcPr>
          <w:p w14:paraId="136BB909">
            <w:pPr>
              <w:snapToGrid w:val="0"/>
              <w:spacing w:line="360" w:lineRule="auto"/>
              <w:jc w:val="center"/>
              <w:rPr>
                <w:rFonts w:ascii="宋体" w:hAnsi="宋体" w:cs="宋体"/>
                <w:color w:val="auto"/>
                <w:sz w:val="24"/>
                <w:szCs w:val="24"/>
                <w:highlight w:val="none"/>
              </w:rPr>
            </w:pPr>
          </w:p>
        </w:tc>
        <w:tc>
          <w:tcPr>
            <w:tcW w:w="536" w:type="dxa"/>
            <w:noWrap w:val="0"/>
            <w:vAlign w:val="center"/>
          </w:tcPr>
          <w:p w14:paraId="391F8DB3">
            <w:pPr>
              <w:snapToGrid w:val="0"/>
              <w:spacing w:line="360" w:lineRule="auto"/>
              <w:jc w:val="center"/>
              <w:rPr>
                <w:rFonts w:ascii="宋体" w:hAnsi="宋体" w:cs="宋体"/>
                <w:color w:val="auto"/>
                <w:sz w:val="24"/>
                <w:szCs w:val="24"/>
                <w:highlight w:val="none"/>
              </w:rPr>
            </w:pPr>
          </w:p>
        </w:tc>
        <w:tc>
          <w:tcPr>
            <w:tcW w:w="615" w:type="dxa"/>
            <w:noWrap w:val="0"/>
            <w:vAlign w:val="center"/>
          </w:tcPr>
          <w:p w14:paraId="4D6C085F">
            <w:pPr>
              <w:snapToGrid w:val="0"/>
              <w:spacing w:line="360" w:lineRule="auto"/>
              <w:jc w:val="center"/>
              <w:rPr>
                <w:rFonts w:ascii="宋体" w:hAnsi="宋体" w:cs="宋体"/>
                <w:color w:val="auto"/>
                <w:sz w:val="24"/>
                <w:szCs w:val="24"/>
                <w:highlight w:val="none"/>
              </w:rPr>
            </w:pPr>
          </w:p>
        </w:tc>
        <w:tc>
          <w:tcPr>
            <w:tcW w:w="603" w:type="dxa"/>
            <w:noWrap w:val="0"/>
            <w:vAlign w:val="center"/>
          </w:tcPr>
          <w:p w14:paraId="6F5AEA45">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0C18D4D5">
            <w:pPr>
              <w:snapToGrid w:val="0"/>
              <w:spacing w:line="360" w:lineRule="auto"/>
              <w:jc w:val="center"/>
              <w:rPr>
                <w:rFonts w:ascii="宋体" w:hAnsi="宋体" w:cs="宋体"/>
                <w:color w:val="auto"/>
                <w:sz w:val="24"/>
                <w:szCs w:val="24"/>
                <w:highlight w:val="none"/>
              </w:rPr>
            </w:pPr>
          </w:p>
        </w:tc>
      </w:tr>
      <w:tr w14:paraId="4B1F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434" w:type="dxa"/>
            <w:vMerge w:val="continue"/>
            <w:noWrap w:val="0"/>
            <w:vAlign w:val="center"/>
          </w:tcPr>
          <w:p w14:paraId="5CF7D908">
            <w:pPr>
              <w:snapToGrid w:val="0"/>
              <w:spacing w:line="360" w:lineRule="auto"/>
              <w:jc w:val="center"/>
              <w:rPr>
                <w:rFonts w:ascii="宋体" w:hAnsi="宋体" w:cs="宋体"/>
                <w:color w:val="auto"/>
                <w:sz w:val="24"/>
                <w:szCs w:val="24"/>
                <w:highlight w:val="none"/>
              </w:rPr>
            </w:pPr>
          </w:p>
        </w:tc>
        <w:tc>
          <w:tcPr>
            <w:tcW w:w="4855" w:type="dxa"/>
            <w:noWrap w:val="0"/>
            <w:vAlign w:val="center"/>
          </w:tcPr>
          <w:p w14:paraId="00B3C169">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明显不符合技术规格、技术标准的要求的</w:t>
            </w:r>
          </w:p>
        </w:tc>
        <w:tc>
          <w:tcPr>
            <w:tcW w:w="537" w:type="dxa"/>
            <w:noWrap w:val="0"/>
            <w:vAlign w:val="center"/>
          </w:tcPr>
          <w:p w14:paraId="3B6B139C">
            <w:pPr>
              <w:snapToGrid w:val="0"/>
              <w:spacing w:line="360" w:lineRule="auto"/>
              <w:jc w:val="center"/>
              <w:rPr>
                <w:rFonts w:ascii="宋体" w:hAnsi="宋体" w:cs="宋体"/>
                <w:color w:val="auto"/>
                <w:sz w:val="24"/>
                <w:szCs w:val="24"/>
                <w:highlight w:val="none"/>
              </w:rPr>
            </w:pPr>
          </w:p>
        </w:tc>
        <w:tc>
          <w:tcPr>
            <w:tcW w:w="536" w:type="dxa"/>
            <w:noWrap w:val="0"/>
            <w:vAlign w:val="center"/>
          </w:tcPr>
          <w:p w14:paraId="0C4D6B65">
            <w:pPr>
              <w:snapToGrid w:val="0"/>
              <w:spacing w:line="360" w:lineRule="auto"/>
              <w:jc w:val="center"/>
              <w:rPr>
                <w:rFonts w:ascii="宋体" w:hAnsi="宋体" w:cs="宋体"/>
                <w:color w:val="auto"/>
                <w:sz w:val="24"/>
                <w:szCs w:val="24"/>
                <w:highlight w:val="none"/>
              </w:rPr>
            </w:pPr>
          </w:p>
        </w:tc>
        <w:tc>
          <w:tcPr>
            <w:tcW w:w="615" w:type="dxa"/>
            <w:noWrap w:val="0"/>
            <w:vAlign w:val="center"/>
          </w:tcPr>
          <w:p w14:paraId="349384EF">
            <w:pPr>
              <w:snapToGrid w:val="0"/>
              <w:spacing w:line="360" w:lineRule="auto"/>
              <w:jc w:val="center"/>
              <w:rPr>
                <w:rFonts w:ascii="宋体" w:hAnsi="宋体" w:cs="宋体"/>
                <w:color w:val="auto"/>
                <w:sz w:val="24"/>
                <w:szCs w:val="24"/>
                <w:highlight w:val="none"/>
              </w:rPr>
            </w:pPr>
          </w:p>
        </w:tc>
        <w:tc>
          <w:tcPr>
            <w:tcW w:w="603" w:type="dxa"/>
            <w:noWrap w:val="0"/>
            <w:vAlign w:val="center"/>
          </w:tcPr>
          <w:p w14:paraId="5F5DBCA0">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2DAFD658">
            <w:pPr>
              <w:snapToGrid w:val="0"/>
              <w:spacing w:line="360" w:lineRule="auto"/>
              <w:jc w:val="center"/>
              <w:rPr>
                <w:rFonts w:ascii="宋体" w:hAnsi="宋体" w:cs="宋体"/>
                <w:color w:val="auto"/>
                <w:sz w:val="24"/>
                <w:szCs w:val="24"/>
                <w:highlight w:val="none"/>
              </w:rPr>
            </w:pPr>
          </w:p>
        </w:tc>
      </w:tr>
      <w:tr w14:paraId="7F19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434" w:type="dxa"/>
            <w:vMerge w:val="continue"/>
            <w:noWrap w:val="0"/>
            <w:vAlign w:val="center"/>
          </w:tcPr>
          <w:p w14:paraId="3B2A1C15">
            <w:pPr>
              <w:snapToGrid w:val="0"/>
              <w:spacing w:line="360" w:lineRule="auto"/>
              <w:jc w:val="center"/>
              <w:rPr>
                <w:rFonts w:ascii="宋体" w:hAnsi="宋体" w:cs="宋体"/>
                <w:color w:val="auto"/>
                <w:sz w:val="24"/>
                <w:szCs w:val="24"/>
                <w:highlight w:val="none"/>
              </w:rPr>
            </w:pPr>
          </w:p>
        </w:tc>
        <w:tc>
          <w:tcPr>
            <w:tcW w:w="4855" w:type="dxa"/>
            <w:noWrap w:val="0"/>
            <w:vAlign w:val="center"/>
          </w:tcPr>
          <w:p w14:paraId="74B26D6F">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不符合</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文件中规定的其他实质性要求的</w:t>
            </w:r>
          </w:p>
        </w:tc>
        <w:tc>
          <w:tcPr>
            <w:tcW w:w="537" w:type="dxa"/>
            <w:noWrap w:val="0"/>
            <w:vAlign w:val="center"/>
          </w:tcPr>
          <w:p w14:paraId="61908496">
            <w:pPr>
              <w:snapToGrid w:val="0"/>
              <w:spacing w:line="360" w:lineRule="auto"/>
              <w:jc w:val="center"/>
              <w:rPr>
                <w:rFonts w:ascii="宋体" w:hAnsi="宋体" w:cs="宋体"/>
                <w:color w:val="auto"/>
                <w:sz w:val="24"/>
                <w:szCs w:val="24"/>
                <w:highlight w:val="none"/>
              </w:rPr>
            </w:pPr>
          </w:p>
        </w:tc>
        <w:tc>
          <w:tcPr>
            <w:tcW w:w="536" w:type="dxa"/>
            <w:noWrap w:val="0"/>
            <w:vAlign w:val="center"/>
          </w:tcPr>
          <w:p w14:paraId="05BE874C">
            <w:pPr>
              <w:snapToGrid w:val="0"/>
              <w:spacing w:line="360" w:lineRule="auto"/>
              <w:jc w:val="center"/>
              <w:rPr>
                <w:rFonts w:ascii="宋体" w:hAnsi="宋体" w:cs="宋体"/>
                <w:color w:val="auto"/>
                <w:sz w:val="24"/>
                <w:szCs w:val="24"/>
                <w:highlight w:val="none"/>
              </w:rPr>
            </w:pPr>
          </w:p>
        </w:tc>
        <w:tc>
          <w:tcPr>
            <w:tcW w:w="615" w:type="dxa"/>
            <w:noWrap w:val="0"/>
            <w:vAlign w:val="center"/>
          </w:tcPr>
          <w:p w14:paraId="10146DA7">
            <w:pPr>
              <w:snapToGrid w:val="0"/>
              <w:spacing w:line="360" w:lineRule="auto"/>
              <w:jc w:val="center"/>
              <w:rPr>
                <w:rFonts w:ascii="宋体" w:hAnsi="宋体" w:cs="宋体"/>
                <w:color w:val="auto"/>
                <w:sz w:val="24"/>
                <w:szCs w:val="24"/>
                <w:highlight w:val="none"/>
              </w:rPr>
            </w:pPr>
          </w:p>
        </w:tc>
        <w:tc>
          <w:tcPr>
            <w:tcW w:w="603" w:type="dxa"/>
            <w:noWrap w:val="0"/>
            <w:vAlign w:val="center"/>
          </w:tcPr>
          <w:p w14:paraId="5C840E8C">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395E06D6">
            <w:pPr>
              <w:snapToGrid w:val="0"/>
              <w:spacing w:line="360" w:lineRule="auto"/>
              <w:jc w:val="center"/>
              <w:rPr>
                <w:rFonts w:ascii="宋体" w:hAnsi="宋体" w:cs="宋体"/>
                <w:color w:val="auto"/>
                <w:sz w:val="24"/>
                <w:szCs w:val="24"/>
                <w:highlight w:val="none"/>
              </w:rPr>
            </w:pPr>
          </w:p>
        </w:tc>
      </w:tr>
      <w:tr w14:paraId="5DD9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434" w:type="dxa"/>
            <w:vMerge w:val="continue"/>
            <w:noWrap w:val="0"/>
            <w:vAlign w:val="center"/>
          </w:tcPr>
          <w:p w14:paraId="72D1C6A8">
            <w:pPr>
              <w:snapToGrid w:val="0"/>
              <w:spacing w:line="360" w:lineRule="auto"/>
              <w:jc w:val="center"/>
              <w:rPr>
                <w:rFonts w:ascii="宋体" w:hAnsi="宋体" w:cs="宋体"/>
                <w:color w:val="auto"/>
                <w:sz w:val="24"/>
                <w:szCs w:val="24"/>
                <w:highlight w:val="none"/>
              </w:rPr>
            </w:pPr>
          </w:p>
        </w:tc>
        <w:tc>
          <w:tcPr>
            <w:tcW w:w="4855" w:type="dxa"/>
            <w:noWrap w:val="0"/>
            <w:vAlign w:val="center"/>
          </w:tcPr>
          <w:p w14:paraId="6D67A731">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拒不按照要求对响应文件进行澄清、说明或者补正的</w:t>
            </w:r>
          </w:p>
        </w:tc>
        <w:tc>
          <w:tcPr>
            <w:tcW w:w="537" w:type="dxa"/>
            <w:noWrap w:val="0"/>
            <w:vAlign w:val="center"/>
          </w:tcPr>
          <w:p w14:paraId="46043073">
            <w:pPr>
              <w:snapToGrid w:val="0"/>
              <w:spacing w:line="360" w:lineRule="auto"/>
              <w:jc w:val="center"/>
              <w:rPr>
                <w:rFonts w:ascii="宋体" w:hAnsi="宋体" w:cs="宋体"/>
                <w:color w:val="auto"/>
                <w:sz w:val="24"/>
                <w:szCs w:val="24"/>
                <w:highlight w:val="none"/>
              </w:rPr>
            </w:pPr>
          </w:p>
        </w:tc>
        <w:tc>
          <w:tcPr>
            <w:tcW w:w="536" w:type="dxa"/>
            <w:noWrap w:val="0"/>
            <w:vAlign w:val="center"/>
          </w:tcPr>
          <w:p w14:paraId="6FD35116">
            <w:pPr>
              <w:snapToGrid w:val="0"/>
              <w:spacing w:line="360" w:lineRule="auto"/>
              <w:jc w:val="center"/>
              <w:rPr>
                <w:rFonts w:ascii="宋体" w:hAnsi="宋体" w:cs="宋体"/>
                <w:color w:val="auto"/>
                <w:sz w:val="24"/>
                <w:szCs w:val="24"/>
                <w:highlight w:val="none"/>
              </w:rPr>
            </w:pPr>
          </w:p>
        </w:tc>
        <w:tc>
          <w:tcPr>
            <w:tcW w:w="615" w:type="dxa"/>
            <w:noWrap w:val="0"/>
            <w:vAlign w:val="center"/>
          </w:tcPr>
          <w:p w14:paraId="61C70294">
            <w:pPr>
              <w:snapToGrid w:val="0"/>
              <w:spacing w:line="360" w:lineRule="auto"/>
              <w:jc w:val="center"/>
              <w:rPr>
                <w:rFonts w:ascii="宋体" w:hAnsi="宋体" w:cs="宋体"/>
                <w:color w:val="auto"/>
                <w:sz w:val="24"/>
                <w:szCs w:val="24"/>
                <w:highlight w:val="none"/>
              </w:rPr>
            </w:pPr>
          </w:p>
        </w:tc>
        <w:tc>
          <w:tcPr>
            <w:tcW w:w="603" w:type="dxa"/>
            <w:noWrap w:val="0"/>
            <w:vAlign w:val="center"/>
          </w:tcPr>
          <w:p w14:paraId="6C536CF0">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7D994DCB">
            <w:pPr>
              <w:snapToGrid w:val="0"/>
              <w:spacing w:line="360" w:lineRule="auto"/>
              <w:jc w:val="center"/>
              <w:rPr>
                <w:rFonts w:ascii="宋体" w:hAnsi="宋体" w:cs="宋体"/>
                <w:color w:val="auto"/>
                <w:sz w:val="24"/>
                <w:szCs w:val="24"/>
                <w:highlight w:val="none"/>
              </w:rPr>
            </w:pPr>
          </w:p>
        </w:tc>
      </w:tr>
      <w:tr w14:paraId="352E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434" w:type="dxa"/>
            <w:vMerge w:val="continue"/>
            <w:noWrap w:val="0"/>
            <w:vAlign w:val="center"/>
          </w:tcPr>
          <w:p w14:paraId="247AEAB3">
            <w:pPr>
              <w:snapToGrid w:val="0"/>
              <w:spacing w:line="360" w:lineRule="auto"/>
              <w:jc w:val="center"/>
              <w:rPr>
                <w:rFonts w:ascii="宋体" w:hAnsi="宋体" w:cs="宋体"/>
                <w:color w:val="auto"/>
                <w:sz w:val="24"/>
                <w:szCs w:val="24"/>
                <w:highlight w:val="none"/>
              </w:rPr>
            </w:pPr>
          </w:p>
        </w:tc>
        <w:tc>
          <w:tcPr>
            <w:tcW w:w="4855" w:type="dxa"/>
            <w:noWrap w:val="0"/>
            <w:vAlign w:val="center"/>
          </w:tcPr>
          <w:p w14:paraId="459D09F5">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违反国家、省、市相关法律法规的</w:t>
            </w:r>
          </w:p>
        </w:tc>
        <w:tc>
          <w:tcPr>
            <w:tcW w:w="537" w:type="dxa"/>
            <w:noWrap w:val="0"/>
            <w:vAlign w:val="center"/>
          </w:tcPr>
          <w:p w14:paraId="35DD29EF">
            <w:pPr>
              <w:snapToGrid w:val="0"/>
              <w:spacing w:line="360" w:lineRule="auto"/>
              <w:jc w:val="center"/>
              <w:rPr>
                <w:rFonts w:ascii="宋体" w:hAnsi="宋体" w:cs="宋体"/>
                <w:color w:val="auto"/>
                <w:sz w:val="24"/>
                <w:szCs w:val="24"/>
                <w:highlight w:val="none"/>
              </w:rPr>
            </w:pPr>
          </w:p>
        </w:tc>
        <w:tc>
          <w:tcPr>
            <w:tcW w:w="536" w:type="dxa"/>
            <w:noWrap w:val="0"/>
            <w:vAlign w:val="center"/>
          </w:tcPr>
          <w:p w14:paraId="71085A23">
            <w:pPr>
              <w:snapToGrid w:val="0"/>
              <w:spacing w:line="360" w:lineRule="auto"/>
              <w:jc w:val="center"/>
              <w:rPr>
                <w:rFonts w:ascii="宋体" w:hAnsi="宋体" w:cs="宋体"/>
                <w:color w:val="auto"/>
                <w:sz w:val="24"/>
                <w:szCs w:val="24"/>
                <w:highlight w:val="none"/>
              </w:rPr>
            </w:pPr>
          </w:p>
        </w:tc>
        <w:tc>
          <w:tcPr>
            <w:tcW w:w="615" w:type="dxa"/>
            <w:noWrap w:val="0"/>
            <w:vAlign w:val="center"/>
          </w:tcPr>
          <w:p w14:paraId="1BB0E7AC">
            <w:pPr>
              <w:snapToGrid w:val="0"/>
              <w:spacing w:line="360" w:lineRule="auto"/>
              <w:jc w:val="center"/>
              <w:rPr>
                <w:rFonts w:ascii="宋体" w:hAnsi="宋体" w:cs="宋体"/>
                <w:color w:val="auto"/>
                <w:sz w:val="24"/>
                <w:szCs w:val="24"/>
                <w:highlight w:val="none"/>
              </w:rPr>
            </w:pPr>
          </w:p>
        </w:tc>
        <w:tc>
          <w:tcPr>
            <w:tcW w:w="603" w:type="dxa"/>
            <w:noWrap w:val="0"/>
            <w:vAlign w:val="center"/>
          </w:tcPr>
          <w:p w14:paraId="6EA13432">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4401E4D3">
            <w:pPr>
              <w:snapToGrid w:val="0"/>
              <w:spacing w:line="360" w:lineRule="auto"/>
              <w:jc w:val="center"/>
              <w:rPr>
                <w:rFonts w:ascii="宋体" w:hAnsi="宋体" w:cs="宋体"/>
                <w:color w:val="auto"/>
                <w:sz w:val="24"/>
                <w:szCs w:val="24"/>
                <w:highlight w:val="none"/>
              </w:rPr>
            </w:pPr>
          </w:p>
        </w:tc>
      </w:tr>
      <w:tr w14:paraId="7804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289" w:type="dxa"/>
            <w:gridSpan w:val="2"/>
            <w:noWrap w:val="0"/>
            <w:vAlign w:val="center"/>
          </w:tcPr>
          <w:p w14:paraId="380952B3">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细 微 偏 差</w:t>
            </w:r>
          </w:p>
        </w:tc>
        <w:tc>
          <w:tcPr>
            <w:tcW w:w="537" w:type="dxa"/>
            <w:noWrap w:val="0"/>
            <w:vAlign w:val="center"/>
          </w:tcPr>
          <w:p w14:paraId="7467D04C">
            <w:pPr>
              <w:snapToGrid w:val="0"/>
              <w:spacing w:line="360" w:lineRule="auto"/>
              <w:jc w:val="center"/>
              <w:rPr>
                <w:rFonts w:ascii="宋体" w:hAnsi="宋体" w:cs="宋体"/>
                <w:color w:val="auto"/>
                <w:sz w:val="24"/>
                <w:szCs w:val="24"/>
                <w:highlight w:val="none"/>
              </w:rPr>
            </w:pPr>
          </w:p>
        </w:tc>
        <w:tc>
          <w:tcPr>
            <w:tcW w:w="536" w:type="dxa"/>
            <w:noWrap w:val="0"/>
            <w:vAlign w:val="center"/>
          </w:tcPr>
          <w:p w14:paraId="2F91B194">
            <w:pPr>
              <w:snapToGrid w:val="0"/>
              <w:spacing w:line="360" w:lineRule="auto"/>
              <w:jc w:val="center"/>
              <w:rPr>
                <w:rFonts w:ascii="宋体" w:hAnsi="宋体" w:cs="宋体"/>
                <w:color w:val="auto"/>
                <w:sz w:val="24"/>
                <w:szCs w:val="24"/>
                <w:highlight w:val="none"/>
              </w:rPr>
            </w:pPr>
          </w:p>
        </w:tc>
        <w:tc>
          <w:tcPr>
            <w:tcW w:w="615" w:type="dxa"/>
            <w:noWrap w:val="0"/>
            <w:vAlign w:val="center"/>
          </w:tcPr>
          <w:p w14:paraId="661CFCA4">
            <w:pPr>
              <w:snapToGrid w:val="0"/>
              <w:spacing w:line="360" w:lineRule="auto"/>
              <w:jc w:val="center"/>
              <w:rPr>
                <w:rFonts w:ascii="宋体" w:hAnsi="宋体" w:cs="宋体"/>
                <w:color w:val="auto"/>
                <w:sz w:val="24"/>
                <w:szCs w:val="24"/>
                <w:highlight w:val="none"/>
              </w:rPr>
            </w:pPr>
          </w:p>
        </w:tc>
        <w:tc>
          <w:tcPr>
            <w:tcW w:w="603" w:type="dxa"/>
            <w:noWrap w:val="0"/>
            <w:vAlign w:val="center"/>
          </w:tcPr>
          <w:p w14:paraId="0258FA57">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0DDB2E6A">
            <w:pPr>
              <w:snapToGrid w:val="0"/>
              <w:spacing w:line="360" w:lineRule="auto"/>
              <w:jc w:val="center"/>
              <w:rPr>
                <w:rFonts w:ascii="宋体" w:hAnsi="宋体" w:cs="宋体"/>
                <w:color w:val="auto"/>
                <w:sz w:val="24"/>
                <w:szCs w:val="24"/>
                <w:highlight w:val="none"/>
              </w:rPr>
            </w:pPr>
          </w:p>
        </w:tc>
      </w:tr>
      <w:tr w14:paraId="7106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5289" w:type="dxa"/>
            <w:gridSpan w:val="2"/>
            <w:noWrap w:val="0"/>
            <w:vAlign w:val="center"/>
          </w:tcPr>
          <w:p w14:paraId="4EEA586A">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 审 结 论</w:t>
            </w:r>
          </w:p>
        </w:tc>
        <w:tc>
          <w:tcPr>
            <w:tcW w:w="537" w:type="dxa"/>
            <w:noWrap w:val="0"/>
            <w:vAlign w:val="center"/>
          </w:tcPr>
          <w:p w14:paraId="2523E846">
            <w:pPr>
              <w:snapToGrid w:val="0"/>
              <w:spacing w:line="360" w:lineRule="auto"/>
              <w:jc w:val="center"/>
              <w:rPr>
                <w:rFonts w:ascii="宋体" w:hAnsi="宋体" w:cs="宋体"/>
                <w:color w:val="auto"/>
                <w:sz w:val="24"/>
                <w:szCs w:val="24"/>
                <w:highlight w:val="none"/>
              </w:rPr>
            </w:pPr>
          </w:p>
        </w:tc>
        <w:tc>
          <w:tcPr>
            <w:tcW w:w="536" w:type="dxa"/>
            <w:noWrap w:val="0"/>
            <w:vAlign w:val="center"/>
          </w:tcPr>
          <w:p w14:paraId="42010D4F">
            <w:pPr>
              <w:snapToGrid w:val="0"/>
              <w:spacing w:line="360" w:lineRule="auto"/>
              <w:jc w:val="center"/>
              <w:rPr>
                <w:rFonts w:ascii="宋体" w:hAnsi="宋体" w:cs="宋体"/>
                <w:color w:val="auto"/>
                <w:sz w:val="24"/>
                <w:szCs w:val="24"/>
                <w:highlight w:val="none"/>
              </w:rPr>
            </w:pPr>
          </w:p>
        </w:tc>
        <w:tc>
          <w:tcPr>
            <w:tcW w:w="615" w:type="dxa"/>
            <w:noWrap w:val="0"/>
            <w:vAlign w:val="center"/>
          </w:tcPr>
          <w:p w14:paraId="203ED199">
            <w:pPr>
              <w:snapToGrid w:val="0"/>
              <w:spacing w:line="360" w:lineRule="auto"/>
              <w:jc w:val="center"/>
              <w:rPr>
                <w:rFonts w:ascii="宋体" w:hAnsi="宋体" w:cs="宋体"/>
                <w:color w:val="auto"/>
                <w:sz w:val="24"/>
                <w:szCs w:val="24"/>
                <w:highlight w:val="none"/>
              </w:rPr>
            </w:pPr>
          </w:p>
        </w:tc>
        <w:tc>
          <w:tcPr>
            <w:tcW w:w="603" w:type="dxa"/>
            <w:noWrap w:val="0"/>
            <w:vAlign w:val="center"/>
          </w:tcPr>
          <w:p w14:paraId="55B3C94F">
            <w:pPr>
              <w:snapToGrid w:val="0"/>
              <w:spacing w:line="360" w:lineRule="auto"/>
              <w:jc w:val="center"/>
              <w:rPr>
                <w:rFonts w:ascii="宋体" w:hAnsi="宋体" w:cs="宋体"/>
                <w:color w:val="auto"/>
                <w:sz w:val="24"/>
                <w:szCs w:val="24"/>
                <w:highlight w:val="none"/>
              </w:rPr>
            </w:pPr>
          </w:p>
        </w:tc>
        <w:tc>
          <w:tcPr>
            <w:tcW w:w="1178" w:type="dxa"/>
            <w:vMerge w:val="continue"/>
            <w:noWrap w:val="0"/>
            <w:vAlign w:val="center"/>
          </w:tcPr>
          <w:p w14:paraId="3B0BD3BA">
            <w:pPr>
              <w:snapToGrid w:val="0"/>
              <w:spacing w:line="360" w:lineRule="auto"/>
              <w:jc w:val="center"/>
              <w:rPr>
                <w:rFonts w:ascii="宋体" w:hAnsi="宋体" w:cs="宋体"/>
                <w:color w:val="auto"/>
                <w:sz w:val="24"/>
                <w:szCs w:val="24"/>
                <w:highlight w:val="none"/>
              </w:rPr>
            </w:pPr>
          </w:p>
        </w:tc>
      </w:tr>
    </w:tbl>
    <w:p w14:paraId="54804F63">
      <w:pPr>
        <w:spacing w:line="360" w:lineRule="auto"/>
        <w:rPr>
          <w:rFonts w:ascii="宋体" w:hAnsi="宋体" w:cs="宋体"/>
          <w:color w:val="auto"/>
          <w:highlight w:val="none"/>
        </w:rPr>
      </w:pPr>
    </w:p>
    <w:p w14:paraId="726912BA">
      <w:pPr>
        <w:spacing w:line="360" w:lineRule="auto"/>
        <w:rPr>
          <w:rFonts w:ascii="宋体" w:hAnsi="宋体" w:cs="宋体"/>
          <w:color w:val="auto"/>
          <w:highlight w:val="none"/>
        </w:rPr>
      </w:pPr>
      <w:r>
        <w:rPr>
          <w:rFonts w:hint="eastAsia" w:ascii="宋体" w:hAnsi="宋体" w:cs="宋体"/>
          <w:color w:val="auto"/>
          <w:sz w:val="24"/>
          <w:szCs w:val="24"/>
          <w:highlight w:val="none"/>
        </w:rPr>
        <w:t>注：本表内评审内容对应填写“是”或“否”；评审结论对应填写“通过”或“不通过”。若有一项评审内容为“否”则评审结论为“不通过”。</w:t>
      </w:r>
    </w:p>
    <w:p w14:paraId="4E3C5B20">
      <w:pPr>
        <w:adjustRightInd w:val="0"/>
        <w:snapToGrid w:val="0"/>
        <w:spacing w:line="360" w:lineRule="auto"/>
        <w:ind w:firstLine="480" w:firstLineChars="200"/>
        <w:rPr>
          <w:rFonts w:ascii="宋体" w:hAnsi="宋体" w:cs="宋体"/>
          <w:color w:val="auto"/>
          <w:sz w:val="24"/>
          <w:highlight w:val="none"/>
        </w:rPr>
      </w:pPr>
    </w:p>
    <w:p w14:paraId="4BF81C25">
      <w:pPr>
        <w:adjustRightInd w:val="0"/>
        <w:snapToGrid w:val="0"/>
        <w:spacing w:line="360" w:lineRule="auto"/>
        <w:ind w:firstLine="480" w:firstLineChars="200"/>
        <w:rPr>
          <w:rFonts w:ascii="宋体" w:hAnsi="宋体" w:cs="宋体"/>
          <w:color w:val="auto"/>
          <w:sz w:val="24"/>
          <w:highlight w:val="none"/>
        </w:rPr>
      </w:pPr>
    </w:p>
    <w:p w14:paraId="6A68B4BD">
      <w:pPr>
        <w:tabs>
          <w:tab w:val="left" w:pos="3080"/>
        </w:tabs>
        <w:spacing w:line="360" w:lineRule="auto"/>
        <w:jc w:val="center"/>
        <w:outlineLvl w:val="1"/>
        <w:rPr>
          <w:rFonts w:ascii="宋体" w:hAnsi="宋体" w:cs="宋体"/>
          <w:color w:val="auto"/>
          <w:sz w:val="24"/>
          <w:szCs w:val="24"/>
          <w:highlight w:val="none"/>
        </w:rPr>
      </w:pPr>
      <w:r>
        <w:rPr>
          <w:rFonts w:hint="eastAsia" w:ascii="宋体" w:hAnsi="宋体" w:cs="宋体"/>
          <w:b/>
          <w:bCs/>
          <w:color w:val="auto"/>
          <w:sz w:val="24"/>
          <w:highlight w:val="none"/>
        </w:rPr>
        <w:br w:type="page"/>
      </w:r>
      <w:bookmarkStart w:id="96" w:name="_Toc24922"/>
      <w:bookmarkStart w:id="97" w:name="_Toc19020"/>
      <w:r>
        <w:rPr>
          <w:rFonts w:hint="eastAsia" w:ascii="宋体" w:hAnsi="宋体" w:cs="宋体"/>
          <w:b/>
          <w:bCs/>
          <w:color w:val="auto"/>
          <w:sz w:val="24"/>
          <w:highlight w:val="none"/>
        </w:rPr>
        <w:t>附表</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商务报价及技术</w:t>
      </w:r>
      <w:r>
        <w:rPr>
          <w:rFonts w:hint="eastAsia" w:ascii="宋体" w:hAnsi="宋体" w:cs="宋体"/>
          <w:b/>
          <w:bCs/>
          <w:color w:val="auto"/>
          <w:sz w:val="24"/>
          <w:highlight w:val="none"/>
        </w:rPr>
        <w:t>评审表》（总分100分）</w:t>
      </w:r>
      <w:bookmarkEnd w:id="96"/>
      <w:bookmarkEnd w:id="97"/>
    </w:p>
    <w:p w14:paraId="1D099ACC">
      <w:pPr>
        <w:spacing w:line="360" w:lineRule="auto"/>
        <w:ind w:firstLine="482" w:firstLineChars="200"/>
        <w:rPr>
          <w:rFonts w:ascii="宋体" w:hAnsi="宋体" w:cs="宋体"/>
          <w:b/>
          <w:color w:val="auto"/>
          <w:sz w:val="24"/>
          <w:szCs w:val="24"/>
          <w:highlight w:val="none"/>
        </w:rPr>
      </w:pPr>
    </w:p>
    <w:tbl>
      <w:tblPr>
        <w:tblStyle w:val="54"/>
        <w:tblW w:w="896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72"/>
        <w:gridCol w:w="945"/>
        <w:gridCol w:w="5830"/>
      </w:tblGrid>
      <w:tr w14:paraId="3244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EE52FC">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873ECF">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评审内容</w:t>
            </w: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7A323">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分值</w:t>
            </w:r>
          </w:p>
        </w:tc>
        <w:tc>
          <w:tcPr>
            <w:tcW w:w="5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EF6531">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评分细则</w:t>
            </w:r>
          </w:p>
        </w:tc>
      </w:tr>
      <w:tr w14:paraId="08F0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78451F72">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1</w:t>
            </w:r>
          </w:p>
        </w:tc>
        <w:tc>
          <w:tcPr>
            <w:tcW w:w="1372"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692AFE97">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商务报价评审</w:t>
            </w:r>
          </w:p>
        </w:tc>
        <w:tc>
          <w:tcPr>
            <w:tcW w:w="945"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64B7B28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p>
        </w:tc>
        <w:tc>
          <w:tcPr>
            <w:tcW w:w="583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185F1E44">
            <w:pPr>
              <w:spacing w:line="360" w:lineRule="auto"/>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商务</w:t>
            </w:r>
            <w:r>
              <w:rPr>
                <w:rFonts w:hint="eastAsia" w:ascii="宋体" w:hAnsi="宋体" w:cs="宋体"/>
                <w:sz w:val="24"/>
                <w:szCs w:val="24"/>
                <w:highlight w:val="none"/>
                <w:lang w:val="en-US" w:eastAsia="zh-CN"/>
              </w:rPr>
              <w:t>得分</w:t>
            </w:r>
            <w:r>
              <w:rPr>
                <w:rFonts w:hint="eastAsia" w:ascii="宋体" w:hAnsi="宋体" w:cs="宋体"/>
                <w:sz w:val="24"/>
                <w:szCs w:val="24"/>
                <w:highlight w:val="none"/>
              </w:rPr>
              <w:t>=[C</w:t>
            </w:r>
            <w:r>
              <w:rPr>
                <w:rFonts w:hint="eastAsia" w:ascii="宋体" w:hAnsi="宋体" w:cs="宋体"/>
                <w:sz w:val="24"/>
                <w:szCs w:val="24"/>
                <w:highlight w:val="none"/>
                <w:lang w:val="en-US" w:eastAsia="zh-CN"/>
              </w:rPr>
              <w:t>/</w:t>
            </w:r>
            <w:r>
              <w:rPr>
                <w:rFonts w:hint="eastAsia" w:ascii="宋体" w:hAnsi="宋体" w:cs="宋体"/>
                <w:sz w:val="24"/>
                <w:szCs w:val="24"/>
                <w:highlight w:val="none"/>
              </w:rPr>
              <w:t>（B1，B2，…，Bn）]×</w:t>
            </w:r>
            <w:r>
              <w:rPr>
                <w:rFonts w:hint="eastAsia" w:ascii="宋体" w:hAnsi="宋体" w:cs="宋体"/>
                <w:sz w:val="24"/>
                <w:szCs w:val="24"/>
                <w:highlight w:val="none"/>
                <w:lang w:val="en-US" w:eastAsia="zh-CN"/>
              </w:rPr>
              <w:t>30</w:t>
            </w:r>
          </w:p>
          <w:p w14:paraId="7C06255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注：C为评标基准价，即满足</w:t>
            </w:r>
            <w:r>
              <w:rPr>
                <w:rFonts w:hint="eastAsia" w:ascii="宋体" w:hAnsi="宋体" w:cs="宋体"/>
                <w:sz w:val="24"/>
                <w:szCs w:val="24"/>
                <w:highlight w:val="none"/>
                <w:lang w:eastAsia="zh-CN"/>
              </w:rPr>
              <w:t>谈判采购</w:t>
            </w:r>
            <w:r>
              <w:rPr>
                <w:rFonts w:hint="eastAsia" w:ascii="宋体" w:hAnsi="宋体" w:cs="宋体"/>
                <w:sz w:val="24"/>
                <w:szCs w:val="24"/>
                <w:highlight w:val="none"/>
              </w:rPr>
              <w:t>文件要求且</w:t>
            </w:r>
            <w:r>
              <w:rPr>
                <w:rFonts w:hint="eastAsia" w:ascii="宋体" w:hAnsi="宋体" w:cs="宋体"/>
                <w:sz w:val="24"/>
                <w:szCs w:val="24"/>
                <w:highlight w:val="none"/>
                <w:lang w:val="en-US" w:eastAsia="zh-CN"/>
              </w:rPr>
              <w:t>谈判报价最低</w:t>
            </w:r>
            <w:r>
              <w:rPr>
                <w:rFonts w:hint="eastAsia" w:ascii="宋体" w:hAnsi="宋体" w:cs="宋体"/>
                <w:sz w:val="24"/>
                <w:szCs w:val="24"/>
                <w:highlight w:val="none"/>
              </w:rPr>
              <w:t>报价；B1，B2，…，Bn为第n个经审查合格满足</w:t>
            </w:r>
            <w:r>
              <w:rPr>
                <w:rFonts w:hint="eastAsia" w:ascii="宋体" w:hAnsi="宋体" w:cs="宋体"/>
                <w:sz w:val="24"/>
                <w:szCs w:val="24"/>
                <w:highlight w:val="none"/>
                <w:lang w:eastAsia="zh-CN"/>
              </w:rPr>
              <w:t>谈判采购</w:t>
            </w:r>
            <w:r>
              <w:rPr>
                <w:rFonts w:hint="eastAsia" w:ascii="宋体" w:hAnsi="宋体" w:cs="宋体"/>
                <w:sz w:val="24"/>
                <w:szCs w:val="24"/>
                <w:highlight w:val="none"/>
              </w:rPr>
              <w:t>文件要求的有效</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报价。</w:t>
            </w:r>
          </w:p>
          <w:p w14:paraId="59ED5053">
            <w:pPr>
              <w:spacing w:line="360" w:lineRule="auto"/>
              <w:jc w:val="left"/>
              <w:rPr>
                <w:rFonts w:hint="default" w:ascii="宋体" w:hAnsi="宋体" w:cs="宋体"/>
                <w:sz w:val="24"/>
                <w:szCs w:val="24"/>
                <w:highlight w:val="none"/>
                <w:lang w:val="en-US"/>
              </w:rPr>
            </w:pPr>
            <w:r>
              <w:rPr>
                <w:rFonts w:hint="default" w:ascii="宋体" w:hAnsi="宋体" w:cs="宋体"/>
                <w:sz w:val="24"/>
                <w:szCs w:val="24"/>
                <w:highlight w:val="none"/>
                <w:lang w:val="en-US"/>
              </w:rPr>
              <w:t>参与计算的供应商报价=1-供应商最终报价下浮率（1-最终报价下浮xx%）</w:t>
            </w:r>
          </w:p>
        </w:tc>
      </w:tr>
      <w:tr w14:paraId="42D1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3"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717250D6">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w:t>
            </w:r>
          </w:p>
        </w:tc>
        <w:tc>
          <w:tcPr>
            <w:tcW w:w="1372"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1C3819D3">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项目实施方案</w:t>
            </w:r>
          </w:p>
        </w:tc>
        <w:tc>
          <w:tcPr>
            <w:tcW w:w="945"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528903B6">
            <w:pPr>
              <w:spacing w:line="360" w:lineRule="auto"/>
              <w:jc w:val="center"/>
              <w:rPr>
                <w:rFonts w:ascii="宋体" w:hAnsi="宋体" w:cs="宋体"/>
                <w:color w:val="000000"/>
                <w:sz w:val="24"/>
                <w:szCs w:val="24"/>
                <w:highlight w:val="none"/>
              </w:rPr>
            </w:pPr>
            <w:r>
              <w:rPr>
                <w:rFonts w:hint="eastAsia" w:cs="宋体" w:asciiTheme="majorEastAsia" w:hAnsiTheme="majorEastAsia" w:eastAsiaTheme="majorEastAsia"/>
                <w:color w:val="000000"/>
                <w:sz w:val="24"/>
                <w:szCs w:val="24"/>
                <w:highlight w:val="none"/>
                <w:lang w:val="en-US" w:eastAsia="zh-CN"/>
              </w:rPr>
              <w:t>20</w:t>
            </w:r>
            <w:r>
              <w:rPr>
                <w:rFonts w:hint="eastAsia" w:cs="宋体" w:asciiTheme="majorEastAsia" w:hAnsiTheme="majorEastAsia" w:eastAsiaTheme="majorEastAsia"/>
                <w:color w:val="000000"/>
                <w:sz w:val="24"/>
                <w:szCs w:val="24"/>
                <w:highlight w:val="none"/>
              </w:rPr>
              <w:t>分</w:t>
            </w:r>
          </w:p>
        </w:tc>
        <w:tc>
          <w:tcPr>
            <w:tcW w:w="583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64DC2D7F">
            <w:pPr>
              <w:spacing w:line="360" w:lineRule="auto"/>
              <w:rPr>
                <w:sz w:val="24"/>
                <w:szCs w:val="24"/>
                <w:highlight w:val="none"/>
              </w:rPr>
            </w:pPr>
            <w:r>
              <w:rPr>
                <w:sz w:val="24"/>
                <w:szCs w:val="24"/>
                <w:highlight w:val="none"/>
              </w:rPr>
              <w:t>对各</w:t>
            </w:r>
            <w:r>
              <w:rPr>
                <w:rFonts w:hint="eastAsia"/>
                <w:sz w:val="24"/>
                <w:szCs w:val="24"/>
                <w:highlight w:val="none"/>
                <w:lang w:val="en-US" w:eastAsia="zh-CN"/>
              </w:rPr>
              <w:t>供应商</w:t>
            </w:r>
            <w:r>
              <w:rPr>
                <w:sz w:val="24"/>
                <w:szCs w:val="24"/>
                <w:highlight w:val="none"/>
              </w:rPr>
              <w:t>组织实施方案是否满足医院需求（包括但不限于每周上门</w:t>
            </w:r>
            <w:r>
              <w:rPr>
                <w:rFonts w:hint="eastAsia"/>
                <w:sz w:val="24"/>
                <w:szCs w:val="24"/>
                <w:highlight w:val="none"/>
                <w:lang w:val="en-US" w:eastAsia="zh-CN"/>
              </w:rPr>
              <w:t>响应时间</w:t>
            </w:r>
            <w:r>
              <w:rPr>
                <w:sz w:val="24"/>
                <w:szCs w:val="24"/>
                <w:highlight w:val="none"/>
              </w:rPr>
              <w:t>、服务方案、检验方案、</w:t>
            </w:r>
            <w:r>
              <w:rPr>
                <w:rFonts w:hint="eastAsia"/>
                <w:sz w:val="24"/>
                <w:szCs w:val="24"/>
                <w:highlight w:val="none"/>
                <w:lang w:val="en-US" w:eastAsia="zh-CN"/>
              </w:rPr>
              <w:t>检验综合能力、</w:t>
            </w:r>
            <w:r>
              <w:rPr>
                <w:sz w:val="24"/>
                <w:szCs w:val="24"/>
                <w:highlight w:val="none"/>
              </w:rPr>
              <w:t xml:space="preserve">出具检测报告具体时间长短方案等）进行科学性、合理性、可操作性等综合评审：  </w:t>
            </w:r>
          </w:p>
          <w:p w14:paraId="073B6905">
            <w:pPr>
              <w:numPr>
                <w:ilvl w:val="0"/>
                <w:numId w:val="0"/>
              </w:numPr>
              <w:spacing w:line="360" w:lineRule="auto"/>
              <w:rPr>
                <w:sz w:val="24"/>
                <w:szCs w:val="24"/>
                <w:highlight w:val="none"/>
              </w:rPr>
            </w:pPr>
            <w:r>
              <w:rPr>
                <w:rFonts w:hint="eastAsia" w:cs="Times New Roman"/>
                <w:kern w:val="2"/>
                <w:sz w:val="24"/>
                <w:szCs w:val="24"/>
                <w:highlight w:val="none"/>
                <w:lang w:val="en-US" w:eastAsia="zh-CN" w:bidi="ar-SA"/>
              </w:rPr>
              <w:t>第一档：</w:t>
            </w:r>
            <w:r>
              <w:rPr>
                <w:rFonts w:hint="eastAsia" w:ascii="宋体" w:hAnsi="宋体" w:cs="宋体"/>
                <w:color w:val="auto"/>
                <w:sz w:val="24"/>
                <w:szCs w:val="24"/>
                <w:highlight w:val="none"/>
                <w:lang w:val="en-US" w:eastAsia="zh-CN"/>
              </w:rPr>
              <w:t>实施方案</w:t>
            </w:r>
            <w:r>
              <w:rPr>
                <w:rFonts w:hint="eastAsia" w:cs="宋体" w:asciiTheme="majorEastAsia" w:hAnsiTheme="majorEastAsia" w:eastAsiaTheme="majorEastAsia"/>
                <w:color w:val="000000"/>
                <w:sz w:val="24"/>
                <w:szCs w:val="24"/>
                <w:highlight w:val="none"/>
                <w:lang w:val="en-US" w:eastAsia="zh-CN"/>
              </w:rPr>
              <w:t>及计划</w:t>
            </w:r>
            <w:r>
              <w:rPr>
                <w:rFonts w:hint="eastAsia" w:cs="宋体" w:asciiTheme="majorEastAsia" w:hAnsiTheme="majorEastAsia" w:eastAsiaTheme="majorEastAsia"/>
                <w:color w:val="000000"/>
                <w:sz w:val="24"/>
                <w:szCs w:val="24"/>
                <w:highlight w:val="none"/>
              </w:rPr>
              <w:t>完善、全面、</w:t>
            </w:r>
            <w:r>
              <w:rPr>
                <w:rFonts w:hint="eastAsia" w:cs="宋体" w:asciiTheme="majorEastAsia" w:hAnsiTheme="majorEastAsia" w:eastAsiaTheme="majorEastAsia"/>
                <w:color w:val="000000"/>
                <w:sz w:val="24"/>
                <w:szCs w:val="24"/>
                <w:highlight w:val="none"/>
                <w:lang w:val="en-US" w:eastAsia="zh-CN"/>
              </w:rPr>
              <w:t>内容完整清晰，</w:t>
            </w:r>
            <w:r>
              <w:rPr>
                <w:rFonts w:hint="eastAsia" w:ascii="宋体" w:hAnsi="宋体"/>
                <w:sz w:val="24"/>
                <w:highlight w:val="none"/>
              </w:rPr>
              <w:t>实施策略完整</w:t>
            </w:r>
            <w:r>
              <w:rPr>
                <w:rFonts w:hint="eastAsia" w:ascii="宋体" w:hAnsi="宋体"/>
                <w:sz w:val="24"/>
                <w:highlight w:val="none"/>
                <w:lang w:val="en-US" w:eastAsia="zh-CN"/>
              </w:rPr>
              <w:t>全面</w:t>
            </w:r>
            <w:r>
              <w:rPr>
                <w:rFonts w:hint="eastAsia" w:ascii="宋体" w:hAnsi="宋体"/>
                <w:sz w:val="24"/>
                <w:highlight w:val="none"/>
                <w:lang w:eastAsia="zh-CN"/>
              </w:rPr>
              <w:t>，</w:t>
            </w:r>
            <w:r>
              <w:rPr>
                <w:rFonts w:hint="eastAsia" w:ascii="宋体" w:hAnsi="宋体" w:eastAsia="宋体" w:cs="宋体"/>
                <w:sz w:val="24"/>
                <w:szCs w:val="24"/>
                <w:highlight w:val="none"/>
                <w:lang w:val="zh-CN" w:eastAsia="zh-CN"/>
              </w:rPr>
              <w:t>根据供应商提供的实施方案内容详细，可行性强，并提供有详细的相关证明材料</w:t>
            </w:r>
            <w:r>
              <w:rPr>
                <w:rFonts w:hint="eastAsia" w:cs="宋体" w:asciiTheme="majorEastAsia" w:hAnsiTheme="majorEastAsia" w:eastAsiaTheme="majorEastAsia"/>
                <w:color w:val="000000"/>
                <w:sz w:val="24"/>
                <w:szCs w:val="24"/>
                <w:highlight w:val="none"/>
                <w:lang w:val="en-US" w:eastAsia="zh-CN"/>
              </w:rPr>
              <w:t>，总体实施方案、人员安排、组织工序科学</w:t>
            </w:r>
            <w:r>
              <w:rPr>
                <w:rFonts w:hint="eastAsia" w:cs="宋体" w:asciiTheme="majorEastAsia" w:hAnsiTheme="majorEastAsia" w:eastAsiaTheme="majorEastAsia"/>
                <w:color w:val="000000"/>
                <w:sz w:val="24"/>
                <w:szCs w:val="24"/>
                <w:highlight w:val="none"/>
              </w:rPr>
              <w:t>合理</w:t>
            </w:r>
            <w:r>
              <w:rPr>
                <w:rFonts w:hint="eastAsia" w:cs="宋体" w:asciiTheme="majorEastAsia" w:hAnsiTheme="majorEastAsia" w:eastAsiaTheme="majorEastAsia"/>
                <w:color w:val="000000"/>
                <w:sz w:val="24"/>
                <w:szCs w:val="24"/>
                <w:highlight w:val="none"/>
                <w:lang w:eastAsia="zh-CN"/>
              </w:rPr>
              <w:t>、</w:t>
            </w:r>
            <w:r>
              <w:rPr>
                <w:rFonts w:hint="eastAsia" w:cs="宋体" w:asciiTheme="majorEastAsia" w:hAnsiTheme="majorEastAsia" w:eastAsiaTheme="majorEastAsia"/>
                <w:color w:val="000000"/>
                <w:sz w:val="24"/>
                <w:szCs w:val="24"/>
                <w:highlight w:val="none"/>
                <w:lang w:val="en-US" w:eastAsia="zh-CN"/>
              </w:rPr>
              <w:t>配置完备</w:t>
            </w:r>
            <w:r>
              <w:rPr>
                <w:rFonts w:hint="eastAsia" w:cs="宋体" w:asciiTheme="majorEastAsia" w:hAnsiTheme="majorEastAsia" w:eastAsiaTheme="majorEastAsia"/>
                <w:color w:val="000000"/>
                <w:sz w:val="24"/>
                <w:szCs w:val="24"/>
                <w:highlight w:val="none"/>
              </w:rPr>
              <w:t>的计</w:t>
            </w:r>
            <w:r>
              <w:rPr>
                <w:rFonts w:hint="eastAsia" w:cs="宋体" w:asciiTheme="majorEastAsia" w:hAnsiTheme="majorEastAsia" w:eastAsiaTheme="majorEastAsia"/>
                <w:color w:val="000000"/>
                <w:sz w:val="24"/>
                <w:szCs w:val="24"/>
                <w:highlight w:val="none"/>
                <w:lang w:val="en-US" w:eastAsia="zh-CN"/>
              </w:rPr>
              <w:t>20</w:t>
            </w:r>
            <w:r>
              <w:rPr>
                <w:rFonts w:hint="eastAsia" w:cs="宋体" w:asciiTheme="majorEastAsia" w:hAnsiTheme="majorEastAsia" w:eastAsiaTheme="majorEastAsia"/>
                <w:color w:val="000000"/>
                <w:sz w:val="24"/>
                <w:szCs w:val="24"/>
                <w:highlight w:val="none"/>
              </w:rPr>
              <w:t>分</w:t>
            </w:r>
            <w:r>
              <w:rPr>
                <w:sz w:val="24"/>
                <w:szCs w:val="24"/>
                <w:highlight w:val="none"/>
              </w:rPr>
              <w:t xml:space="preserve">；  </w:t>
            </w:r>
          </w:p>
          <w:p w14:paraId="3F81F13C">
            <w:pPr>
              <w:numPr>
                <w:ilvl w:val="0"/>
                <w:numId w:val="0"/>
              </w:numPr>
              <w:spacing w:line="360" w:lineRule="auto"/>
              <w:rPr>
                <w:rFonts w:hint="eastAsia" w:ascii="宋体" w:hAnsi="宋体" w:eastAsia="宋体" w:cs="宋体"/>
                <w:sz w:val="24"/>
                <w:szCs w:val="24"/>
                <w:highlight w:val="none"/>
                <w:lang w:val="zh-CN" w:eastAsia="zh-CN"/>
              </w:rPr>
            </w:pPr>
            <w:r>
              <w:rPr>
                <w:rFonts w:hint="eastAsia" w:cs="Times New Roman"/>
                <w:kern w:val="2"/>
                <w:sz w:val="24"/>
                <w:szCs w:val="24"/>
                <w:highlight w:val="none"/>
                <w:lang w:val="en-US" w:eastAsia="zh-CN" w:bidi="ar-SA"/>
              </w:rPr>
              <w:t>第二档：</w:t>
            </w:r>
            <w:r>
              <w:rPr>
                <w:rFonts w:hint="eastAsia" w:ascii="宋体" w:hAnsi="宋体" w:cs="宋体"/>
                <w:color w:val="auto"/>
                <w:sz w:val="24"/>
                <w:szCs w:val="24"/>
                <w:highlight w:val="none"/>
                <w:lang w:val="en-US" w:eastAsia="zh-CN"/>
              </w:rPr>
              <w:t>实施方案</w:t>
            </w:r>
            <w:r>
              <w:rPr>
                <w:rFonts w:hint="eastAsia" w:cs="宋体" w:asciiTheme="majorEastAsia" w:hAnsiTheme="majorEastAsia" w:eastAsiaTheme="majorEastAsia"/>
                <w:color w:val="000000"/>
                <w:sz w:val="24"/>
                <w:szCs w:val="24"/>
                <w:highlight w:val="none"/>
                <w:lang w:val="en-US" w:eastAsia="zh-CN"/>
              </w:rPr>
              <w:t>及计划</w:t>
            </w:r>
            <w:r>
              <w:rPr>
                <w:rFonts w:hint="eastAsia" w:cs="宋体" w:asciiTheme="majorEastAsia" w:hAnsiTheme="majorEastAsia" w:eastAsiaTheme="majorEastAsia"/>
                <w:color w:val="000000"/>
                <w:sz w:val="24"/>
                <w:szCs w:val="24"/>
                <w:highlight w:val="none"/>
              </w:rPr>
              <w:t>完善、</w:t>
            </w:r>
            <w:r>
              <w:rPr>
                <w:rFonts w:hint="eastAsia" w:cs="宋体" w:asciiTheme="majorEastAsia" w:hAnsiTheme="majorEastAsia" w:eastAsiaTheme="majorEastAsia"/>
                <w:color w:val="000000"/>
                <w:sz w:val="24"/>
                <w:szCs w:val="24"/>
                <w:highlight w:val="none"/>
                <w:lang w:val="en-US" w:eastAsia="zh-CN"/>
              </w:rPr>
              <w:t>内容完整清晰，</w:t>
            </w:r>
            <w:r>
              <w:rPr>
                <w:rFonts w:hint="eastAsia" w:ascii="宋体" w:hAnsi="宋体"/>
                <w:sz w:val="24"/>
                <w:highlight w:val="none"/>
              </w:rPr>
              <w:t>实施策略</w:t>
            </w:r>
            <w:r>
              <w:rPr>
                <w:rFonts w:hint="eastAsia" w:ascii="宋体" w:hAnsi="宋体"/>
                <w:sz w:val="24"/>
                <w:highlight w:val="none"/>
                <w:lang w:val="en-US" w:eastAsia="zh-CN"/>
              </w:rPr>
              <w:t>完整</w:t>
            </w:r>
            <w:r>
              <w:rPr>
                <w:rFonts w:hint="eastAsia" w:ascii="宋体" w:hAnsi="宋体"/>
                <w:sz w:val="24"/>
                <w:highlight w:val="none"/>
                <w:lang w:eastAsia="zh-CN"/>
              </w:rPr>
              <w:t>，</w:t>
            </w:r>
            <w:r>
              <w:rPr>
                <w:rFonts w:hint="eastAsia" w:ascii="宋体" w:hAnsi="宋体" w:eastAsia="宋体" w:cs="宋体"/>
                <w:sz w:val="24"/>
                <w:szCs w:val="24"/>
                <w:highlight w:val="none"/>
                <w:lang w:val="zh-CN" w:eastAsia="zh-CN"/>
              </w:rPr>
              <w:t>根据供应商提供的实施方案内容</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lang w:val="zh-CN" w:eastAsia="zh-CN"/>
              </w:rPr>
              <w:t>，并提供有详细的相关证明材料</w:t>
            </w:r>
            <w:r>
              <w:rPr>
                <w:rFonts w:hint="eastAsia" w:cs="宋体" w:asciiTheme="majorEastAsia" w:hAnsiTheme="majorEastAsia" w:eastAsiaTheme="majorEastAsia"/>
                <w:color w:val="000000"/>
                <w:sz w:val="24"/>
                <w:szCs w:val="24"/>
                <w:highlight w:val="none"/>
                <w:lang w:val="en-US" w:eastAsia="zh-CN"/>
              </w:rPr>
              <w:t>，总体实施方案、人员安排</w:t>
            </w:r>
            <w:r>
              <w:rPr>
                <w:rFonts w:hint="eastAsia" w:ascii="宋体" w:hAnsi="宋体" w:eastAsia="宋体" w:cs="宋体"/>
                <w:sz w:val="24"/>
                <w:szCs w:val="24"/>
                <w:highlight w:val="none"/>
                <w:lang w:val="en-US" w:eastAsia="zh-CN"/>
              </w:rPr>
              <w:t>、组织工序科学</w:t>
            </w:r>
            <w:r>
              <w:rPr>
                <w:rFonts w:hint="eastAsia" w:ascii="宋体" w:hAnsi="宋体" w:eastAsia="宋体" w:cs="宋体"/>
                <w:sz w:val="24"/>
                <w:szCs w:val="24"/>
                <w:highlight w:val="none"/>
                <w:lang w:val="zh-CN" w:eastAsia="zh-CN"/>
              </w:rPr>
              <w:t>合理、</w:t>
            </w:r>
            <w:r>
              <w:rPr>
                <w:rFonts w:hint="eastAsia" w:ascii="宋体" w:hAnsi="宋体" w:eastAsia="宋体" w:cs="宋体"/>
                <w:sz w:val="24"/>
                <w:szCs w:val="24"/>
                <w:highlight w:val="none"/>
                <w:lang w:val="en-US" w:eastAsia="zh-CN"/>
              </w:rPr>
              <w:t>配置完备</w:t>
            </w:r>
            <w:r>
              <w:rPr>
                <w:rFonts w:hint="eastAsia" w:ascii="宋体" w:hAnsi="宋体" w:eastAsia="宋体" w:cs="宋体"/>
                <w:sz w:val="24"/>
                <w:szCs w:val="24"/>
                <w:highlight w:val="none"/>
                <w:lang w:val="zh-CN" w:eastAsia="zh-CN"/>
              </w:rPr>
              <w:t>的计</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val="zh-CN" w:eastAsia="zh-CN"/>
              </w:rPr>
              <w:t>分；</w:t>
            </w:r>
          </w:p>
          <w:p w14:paraId="472B314A">
            <w:pPr>
              <w:numPr>
                <w:ilvl w:val="0"/>
                <w:numId w:val="0"/>
              </w:num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第三档：实施方案及计划</w:t>
            </w:r>
            <w:r>
              <w:rPr>
                <w:rFonts w:hint="eastAsia" w:ascii="宋体" w:hAnsi="宋体" w:eastAsia="宋体" w:cs="宋体"/>
                <w:sz w:val="24"/>
                <w:szCs w:val="24"/>
                <w:highlight w:val="none"/>
                <w:lang w:val="zh-CN" w:eastAsia="zh-CN"/>
              </w:rPr>
              <w:t>完善、</w:t>
            </w:r>
            <w:r>
              <w:rPr>
                <w:rFonts w:hint="eastAsia" w:ascii="宋体" w:hAnsi="宋体" w:eastAsia="宋体" w:cs="宋体"/>
                <w:sz w:val="24"/>
                <w:szCs w:val="24"/>
                <w:highlight w:val="none"/>
                <w:lang w:val="en-US" w:eastAsia="zh-CN"/>
              </w:rPr>
              <w:t>内容完整，</w:t>
            </w:r>
            <w:r>
              <w:rPr>
                <w:rFonts w:hint="eastAsia" w:ascii="宋体" w:hAnsi="宋体" w:eastAsia="宋体" w:cs="宋体"/>
                <w:sz w:val="24"/>
                <w:szCs w:val="24"/>
                <w:highlight w:val="none"/>
                <w:lang w:val="zh-CN" w:eastAsia="zh-CN"/>
              </w:rPr>
              <w:t>实施策略</w:t>
            </w:r>
            <w:r>
              <w:rPr>
                <w:rFonts w:hint="eastAsia" w:ascii="宋体" w:hAnsi="宋体" w:eastAsia="宋体" w:cs="宋体"/>
                <w:sz w:val="24"/>
                <w:szCs w:val="24"/>
                <w:highlight w:val="none"/>
                <w:lang w:val="en-US" w:eastAsia="zh-CN"/>
              </w:rPr>
              <w:t>较完整</w:t>
            </w:r>
            <w:r>
              <w:rPr>
                <w:rFonts w:hint="eastAsia" w:ascii="宋体" w:hAnsi="宋体" w:eastAsia="宋体" w:cs="宋体"/>
                <w:sz w:val="24"/>
                <w:szCs w:val="24"/>
                <w:highlight w:val="none"/>
                <w:lang w:val="zh-CN" w:eastAsia="zh-CN"/>
              </w:rPr>
              <w:t>，根据供应商提供的实施方案内容</w:t>
            </w:r>
            <w:r>
              <w:rPr>
                <w:rFonts w:hint="eastAsia" w:ascii="宋体" w:hAnsi="宋体" w:eastAsia="宋体" w:cs="宋体"/>
                <w:sz w:val="24"/>
                <w:szCs w:val="24"/>
                <w:highlight w:val="none"/>
                <w:lang w:val="en-US" w:eastAsia="zh-CN"/>
              </w:rPr>
              <w:t>齐全</w:t>
            </w:r>
            <w:r>
              <w:rPr>
                <w:rFonts w:hint="eastAsia" w:ascii="宋体" w:hAnsi="宋体" w:eastAsia="宋体" w:cs="宋体"/>
                <w:sz w:val="24"/>
                <w:szCs w:val="24"/>
                <w:highlight w:val="none"/>
                <w:lang w:val="zh-CN" w:eastAsia="zh-CN"/>
              </w:rPr>
              <w:t>，并提供有</w:t>
            </w:r>
            <w:r>
              <w:rPr>
                <w:rFonts w:hint="eastAsia" w:ascii="宋体" w:hAnsi="宋体" w:eastAsia="宋体" w:cs="宋体"/>
                <w:sz w:val="24"/>
                <w:szCs w:val="24"/>
                <w:highlight w:val="none"/>
                <w:lang w:val="en-US" w:eastAsia="zh-CN"/>
              </w:rPr>
              <w:t>部分</w:t>
            </w:r>
            <w:r>
              <w:rPr>
                <w:rFonts w:hint="eastAsia" w:ascii="宋体" w:hAnsi="宋体" w:eastAsia="宋体" w:cs="宋体"/>
                <w:sz w:val="24"/>
                <w:szCs w:val="24"/>
                <w:highlight w:val="none"/>
                <w:lang w:val="zh-CN" w:eastAsia="zh-CN"/>
              </w:rPr>
              <w:t>的相关证明材料</w:t>
            </w:r>
            <w:r>
              <w:rPr>
                <w:rFonts w:hint="eastAsia" w:ascii="宋体" w:hAnsi="宋体" w:eastAsia="宋体" w:cs="宋体"/>
                <w:sz w:val="24"/>
                <w:szCs w:val="24"/>
                <w:highlight w:val="none"/>
                <w:lang w:val="en-US" w:eastAsia="zh-CN"/>
              </w:rPr>
              <w:t>，总体实施方案、人员安排、组织工序科学</w:t>
            </w:r>
            <w:r>
              <w:rPr>
                <w:rFonts w:hint="eastAsia" w:ascii="宋体" w:hAnsi="宋体" w:eastAsia="宋体" w:cs="宋体"/>
                <w:sz w:val="24"/>
                <w:szCs w:val="24"/>
                <w:highlight w:val="none"/>
                <w:lang w:val="zh-CN" w:eastAsia="zh-CN"/>
              </w:rPr>
              <w:t>合理</w:t>
            </w:r>
            <w:r>
              <w:rPr>
                <w:rFonts w:hint="eastAsia" w:ascii="宋体" w:hAnsi="宋体" w:eastAsia="宋体" w:cs="宋体"/>
                <w:sz w:val="24"/>
                <w:szCs w:val="24"/>
                <w:highlight w:val="none"/>
                <w:lang w:val="en-US" w:eastAsia="zh-CN"/>
              </w:rPr>
              <w:t>针对性一般</w:t>
            </w:r>
            <w:r>
              <w:rPr>
                <w:rFonts w:hint="eastAsia" w:ascii="宋体" w:hAnsi="宋体" w:eastAsia="宋体" w:cs="宋体"/>
                <w:sz w:val="24"/>
                <w:szCs w:val="24"/>
                <w:highlight w:val="none"/>
                <w:lang w:val="zh-CN" w:eastAsia="zh-CN"/>
              </w:rPr>
              <w:t>的计</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val="zh-CN" w:eastAsia="zh-CN"/>
              </w:rPr>
              <w:t xml:space="preserve">分； </w:t>
            </w:r>
          </w:p>
          <w:p w14:paraId="26CBFE6A">
            <w:pPr>
              <w:numPr>
                <w:ilvl w:val="0"/>
                <w:numId w:val="0"/>
              </w:num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第四档：实施方案及计划</w:t>
            </w:r>
            <w:r>
              <w:rPr>
                <w:rFonts w:hint="eastAsia" w:ascii="宋体" w:hAnsi="宋体" w:eastAsia="宋体" w:cs="宋体"/>
                <w:sz w:val="24"/>
                <w:szCs w:val="24"/>
                <w:highlight w:val="none"/>
                <w:lang w:val="zh-CN" w:eastAsia="zh-CN"/>
              </w:rPr>
              <w:t>完善、</w:t>
            </w:r>
            <w:r>
              <w:rPr>
                <w:rFonts w:hint="eastAsia" w:ascii="宋体" w:hAnsi="宋体" w:eastAsia="宋体" w:cs="宋体"/>
                <w:sz w:val="24"/>
                <w:szCs w:val="24"/>
                <w:highlight w:val="none"/>
                <w:lang w:val="en-US" w:eastAsia="zh-CN"/>
              </w:rPr>
              <w:t>内容基本完整，</w:t>
            </w:r>
            <w:r>
              <w:rPr>
                <w:rFonts w:hint="eastAsia" w:ascii="宋体" w:hAnsi="宋体" w:eastAsia="宋体" w:cs="宋体"/>
                <w:sz w:val="24"/>
                <w:szCs w:val="24"/>
                <w:highlight w:val="none"/>
                <w:lang w:val="zh-CN" w:eastAsia="zh-CN"/>
              </w:rPr>
              <w:t>实施策略</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lang w:val="zh-CN" w:eastAsia="zh-CN"/>
              </w:rPr>
              <w:t>，根据供应商提供的实施方案（内容较详细，可行性较</w:t>
            </w:r>
            <w:r>
              <w:rPr>
                <w:rFonts w:hint="eastAsia" w:ascii="宋体" w:hAnsi="宋体" w:eastAsia="宋体" w:cs="宋体"/>
                <w:sz w:val="24"/>
                <w:szCs w:val="24"/>
                <w:highlight w:val="none"/>
                <w:lang w:val="en-US" w:eastAsia="zh-CN"/>
              </w:rPr>
              <w:t>一般，总体实施方案、人员安排、组织工序满足项目需求，配置完备合理正对性较差</w:t>
            </w:r>
            <w:r>
              <w:rPr>
                <w:rFonts w:hint="eastAsia" w:ascii="宋体" w:hAnsi="宋体" w:eastAsia="宋体" w:cs="宋体"/>
                <w:sz w:val="24"/>
                <w:szCs w:val="24"/>
                <w:highlight w:val="none"/>
                <w:lang w:val="zh-CN" w:eastAsia="zh-CN"/>
              </w:rPr>
              <w:t>的计</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eastAsia="zh-CN"/>
              </w:rPr>
              <w:t>分；</w:t>
            </w:r>
          </w:p>
          <w:p w14:paraId="40A9D72A">
            <w:pPr>
              <w:numPr>
                <w:ilvl w:val="0"/>
                <w:numId w:val="0"/>
              </w:num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第五档：实施方案及计划</w:t>
            </w:r>
            <w:r>
              <w:rPr>
                <w:rFonts w:hint="eastAsia" w:ascii="宋体" w:hAnsi="宋体" w:eastAsia="宋体" w:cs="宋体"/>
                <w:sz w:val="24"/>
                <w:szCs w:val="24"/>
                <w:highlight w:val="none"/>
                <w:lang w:val="zh-CN" w:eastAsia="zh-CN"/>
              </w:rPr>
              <w:t>完善、</w:t>
            </w:r>
            <w:r>
              <w:rPr>
                <w:rFonts w:hint="eastAsia" w:ascii="宋体" w:hAnsi="宋体" w:eastAsia="宋体" w:cs="宋体"/>
                <w:sz w:val="24"/>
                <w:szCs w:val="24"/>
                <w:highlight w:val="none"/>
                <w:lang w:val="en-US" w:eastAsia="zh-CN"/>
              </w:rPr>
              <w:t>内容基本完整，</w:t>
            </w:r>
            <w:r>
              <w:rPr>
                <w:rFonts w:hint="eastAsia" w:ascii="宋体" w:hAnsi="宋体" w:eastAsia="宋体" w:cs="宋体"/>
                <w:sz w:val="24"/>
                <w:szCs w:val="24"/>
                <w:highlight w:val="none"/>
                <w:lang w:val="zh-CN" w:eastAsia="zh-CN"/>
              </w:rPr>
              <w:t>根据供应商提供的实施方案（包括采购整个流程服务可行性方案、运输工具、</w:t>
            </w:r>
            <w:r>
              <w:rPr>
                <w:rFonts w:hint="eastAsia" w:ascii="宋体" w:hAnsi="宋体" w:eastAsia="宋体" w:cs="宋体"/>
                <w:sz w:val="24"/>
                <w:szCs w:val="24"/>
                <w:highlight w:val="none"/>
                <w:lang w:val="en-US" w:eastAsia="zh-CN"/>
              </w:rPr>
              <w:t>安装</w:t>
            </w:r>
            <w:r>
              <w:rPr>
                <w:rFonts w:hint="eastAsia" w:ascii="宋体" w:hAnsi="宋体" w:eastAsia="宋体" w:cs="宋体"/>
                <w:sz w:val="24"/>
                <w:szCs w:val="24"/>
                <w:highlight w:val="none"/>
                <w:lang w:val="zh-CN" w:eastAsia="zh-CN"/>
              </w:rPr>
              <w:t>方案、运输能力等方面）内容较详细，可行性较</w:t>
            </w:r>
            <w:r>
              <w:rPr>
                <w:rFonts w:hint="eastAsia" w:ascii="宋体" w:hAnsi="宋体" w:eastAsia="宋体" w:cs="宋体"/>
                <w:sz w:val="24"/>
                <w:szCs w:val="24"/>
                <w:highlight w:val="none"/>
                <w:lang w:val="en-US" w:eastAsia="zh-CN"/>
              </w:rPr>
              <w:t>差，总体实施方案、人员安排、组织工序存在漏项计4</w:t>
            </w:r>
            <w:r>
              <w:rPr>
                <w:rFonts w:hint="eastAsia" w:ascii="宋体" w:hAnsi="宋体" w:eastAsia="宋体" w:cs="宋体"/>
                <w:sz w:val="24"/>
                <w:szCs w:val="24"/>
                <w:highlight w:val="none"/>
                <w:lang w:val="zh-CN" w:eastAsia="zh-CN"/>
              </w:rPr>
              <w:t>分；</w:t>
            </w:r>
          </w:p>
          <w:p w14:paraId="3790C6AD">
            <w:pPr>
              <w:numPr>
                <w:ilvl w:val="0"/>
                <w:numId w:val="0"/>
              </w:numPr>
              <w:spacing w:line="360" w:lineRule="auto"/>
              <w:rPr>
                <w:rFonts w:ascii="宋体" w:hAnsi="宋体" w:cs="宋体"/>
                <w:color w:val="000000"/>
                <w:sz w:val="24"/>
                <w:szCs w:val="24"/>
                <w:highlight w:val="none"/>
              </w:rPr>
            </w:pPr>
            <w:r>
              <w:rPr>
                <w:rFonts w:hint="eastAsia" w:ascii="宋体" w:hAnsi="宋体" w:eastAsia="宋体" w:cs="宋体"/>
                <w:sz w:val="24"/>
                <w:szCs w:val="24"/>
                <w:highlight w:val="none"/>
                <w:lang w:val="en-US" w:eastAsia="zh-CN"/>
              </w:rPr>
              <w:t>第六档：未提供的计0分。</w:t>
            </w:r>
          </w:p>
        </w:tc>
      </w:tr>
      <w:tr w14:paraId="7A4F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13"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5DD6B46A">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p>
        </w:tc>
        <w:tc>
          <w:tcPr>
            <w:tcW w:w="1372"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282B8F2F">
            <w:pPr>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样</w:t>
            </w:r>
            <w:r>
              <w:rPr>
                <w:rFonts w:ascii="宋体" w:hAnsi="宋体" w:cs="宋体"/>
                <w:color w:val="000000"/>
                <w:sz w:val="24"/>
                <w:szCs w:val="24"/>
                <w:highlight w:val="none"/>
              </w:rPr>
              <w:t>本物流运输方案</w:t>
            </w:r>
          </w:p>
        </w:tc>
        <w:tc>
          <w:tcPr>
            <w:tcW w:w="945"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0E4E3C87">
            <w:pPr>
              <w:spacing w:line="360" w:lineRule="auto"/>
              <w:jc w:val="center"/>
              <w:rPr>
                <w:rFonts w:ascii="宋体" w:hAnsi="宋体" w:cs="宋体"/>
                <w:color w:val="000000"/>
                <w:sz w:val="24"/>
                <w:szCs w:val="24"/>
                <w:highlight w:val="none"/>
              </w:rPr>
            </w:pPr>
            <w:r>
              <w:rPr>
                <w:rFonts w:hint="eastAsia" w:cs="宋体" w:asciiTheme="majorEastAsia" w:hAnsiTheme="majorEastAsia" w:eastAsiaTheme="majorEastAsia"/>
                <w:color w:val="000000"/>
                <w:sz w:val="24"/>
                <w:szCs w:val="24"/>
                <w:highlight w:val="none"/>
                <w:lang w:val="en-US" w:eastAsia="zh-CN"/>
              </w:rPr>
              <w:t>5</w:t>
            </w:r>
            <w:r>
              <w:rPr>
                <w:rFonts w:hint="eastAsia" w:asciiTheme="majorEastAsia" w:hAnsiTheme="majorEastAsia" w:eastAsiaTheme="majorEastAsia"/>
                <w:bCs/>
                <w:color w:val="000000"/>
                <w:sz w:val="24"/>
                <w:szCs w:val="24"/>
                <w:highlight w:val="none"/>
              </w:rPr>
              <w:t>分</w:t>
            </w:r>
          </w:p>
        </w:tc>
        <w:tc>
          <w:tcPr>
            <w:tcW w:w="583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14CE0353">
            <w:pPr>
              <w:spacing w:line="360" w:lineRule="auto"/>
              <w:jc w:val="left"/>
              <w:rPr>
                <w:rFonts w:hint="default" w:eastAsia="宋体"/>
                <w:color w:val="000000"/>
                <w:sz w:val="24"/>
                <w:szCs w:val="24"/>
                <w:highlight w:val="none"/>
                <w:lang w:val="en-US" w:eastAsia="zh-CN"/>
              </w:rPr>
            </w:pPr>
            <w:r>
              <w:rPr>
                <w:rFonts w:hint="eastAsia"/>
                <w:color w:val="000000"/>
                <w:sz w:val="24"/>
                <w:szCs w:val="24"/>
                <w:highlight w:val="none"/>
                <w:lang w:val="en-US" w:eastAsia="zh-CN"/>
              </w:rPr>
              <w:t>一、供应商</w:t>
            </w:r>
            <w:r>
              <w:rPr>
                <w:rFonts w:hint="default" w:eastAsia="宋体"/>
                <w:color w:val="000000"/>
                <w:sz w:val="24"/>
                <w:szCs w:val="24"/>
                <w:highlight w:val="none"/>
                <w:lang w:val="en-US" w:eastAsia="zh-CN"/>
              </w:rPr>
              <w:t>具备智慧化物流体系，物流系统具备GPS定位和温度监控功能，可实现全程实时监测得</w:t>
            </w:r>
            <w:r>
              <w:rPr>
                <w:rFonts w:hint="eastAsia"/>
                <w:color w:val="000000"/>
                <w:sz w:val="24"/>
                <w:szCs w:val="24"/>
                <w:highlight w:val="none"/>
                <w:lang w:val="en-US" w:eastAsia="zh-CN"/>
              </w:rPr>
              <w:t>1</w:t>
            </w:r>
            <w:r>
              <w:rPr>
                <w:rFonts w:hint="default" w:eastAsia="宋体"/>
                <w:color w:val="000000"/>
                <w:sz w:val="24"/>
                <w:szCs w:val="24"/>
                <w:highlight w:val="none"/>
                <w:lang w:val="en-US" w:eastAsia="zh-CN"/>
              </w:rPr>
              <w:t>分（需提供相关证明文件复印件并加盖</w:t>
            </w:r>
            <w:r>
              <w:rPr>
                <w:rFonts w:hint="eastAsia"/>
                <w:color w:val="000000"/>
                <w:sz w:val="24"/>
                <w:szCs w:val="24"/>
                <w:highlight w:val="none"/>
                <w:lang w:val="en-US" w:eastAsia="zh-CN"/>
              </w:rPr>
              <w:t>供应商</w:t>
            </w:r>
            <w:r>
              <w:rPr>
                <w:rFonts w:hint="default" w:eastAsia="宋体"/>
                <w:color w:val="000000"/>
                <w:sz w:val="24"/>
                <w:szCs w:val="24"/>
                <w:highlight w:val="none"/>
                <w:lang w:val="en-US" w:eastAsia="zh-CN"/>
              </w:rPr>
              <w:t xml:space="preserve">公章，不提供的不得分。） </w:t>
            </w:r>
          </w:p>
          <w:p w14:paraId="4B35D3C2">
            <w:pPr>
              <w:spacing w:line="360" w:lineRule="auto"/>
              <w:jc w:val="left"/>
              <w:rPr>
                <w:rFonts w:hint="default" w:eastAsia="宋体"/>
                <w:color w:val="000000"/>
                <w:sz w:val="24"/>
                <w:szCs w:val="24"/>
                <w:highlight w:val="none"/>
                <w:lang w:val="en-US" w:eastAsia="zh-CN"/>
              </w:rPr>
            </w:pPr>
            <w:r>
              <w:rPr>
                <w:rFonts w:hint="eastAsia"/>
                <w:color w:val="000000"/>
                <w:sz w:val="24"/>
                <w:szCs w:val="24"/>
                <w:highlight w:val="none"/>
                <w:lang w:val="en-US" w:eastAsia="zh-CN"/>
              </w:rPr>
              <w:t>二、</w:t>
            </w:r>
            <w:r>
              <w:rPr>
                <w:rFonts w:hint="default" w:eastAsia="宋体"/>
                <w:color w:val="000000"/>
                <w:sz w:val="24"/>
                <w:szCs w:val="24"/>
                <w:highlight w:val="none"/>
                <w:lang w:val="en-US" w:eastAsia="zh-CN"/>
              </w:rPr>
              <w:t xml:space="preserve">对标本物流运输方案及其保障措施、质量标准及保障措施进行综合评审：  </w:t>
            </w:r>
          </w:p>
          <w:p w14:paraId="5222B752">
            <w:pPr>
              <w:spacing w:line="360" w:lineRule="auto"/>
              <w:jc w:val="left"/>
              <w:rPr>
                <w:rFonts w:hint="default" w:eastAsia="宋体"/>
                <w:color w:val="000000"/>
                <w:sz w:val="24"/>
                <w:szCs w:val="24"/>
                <w:highlight w:val="none"/>
                <w:lang w:val="en-US" w:eastAsia="zh-CN"/>
              </w:rPr>
            </w:pPr>
            <w:r>
              <w:rPr>
                <w:rFonts w:hint="eastAsia" w:cs="Times New Roman"/>
                <w:kern w:val="2"/>
                <w:sz w:val="24"/>
                <w:szCs w:val="24"/>
                <w:highlight w:val="none"/>
                <w:lang w:val="en-US" w:eastAsia="zh-CN" w:bidi="ar-SA"/>
              </w:rPr>
              <w:t>第一档：</w:t>
            </w:r>
            <w:r>
              <w:rPr>
                <w:rFonts w:hint="default" w:eastAsia="宋体"/>
                <w:color w:val="000000"/>
                <w:sz w:val="24"/>
                <w:szCs w:val="24"/>
                <w:highlight w:val="none"/>
                <w:lang w:val="en-US" w:eastAsia="zh-CN"/>
              </w:rPr>
              <w:t>方案详细完整，实施方法合理、可行的，得</w:t>
            </w:r>
            <w:r>
              <w:rPr>
                <w:rFonts w:hint="eastAsia"/>
                <w:color w:val="000000"/>
                <w:sz w:val="24"/>
                <w:szCs w:val="24"/>
                <w:highlight w:val="none"/>
                <w:lang w:val="en-US" w:eastAsia="zh-CN"/>
              </w:rPr>
              <w:t>4</w:t>
            </w:r>
            <w:r>
              <w:rPr>
                <w:rFonts w:hint="default" w:eastAsia="宋体"/>
                <w:color w:val="000000"/>
                <w:sz w:val="24"/>
                <w:szCs w:val="24"/>
                <w:highlight w:val="none"/>
                <w:lang w:val="en-US" w:eastAsia="zh-CN"/>
              </w:rPr>
              <w:t xml:space="preserve">分； </w:t>
            </w:r>
          </w:p>
          <w:p w14:paraId="59DACE11">
            <w:pPr>
              <w:spacing w:line="360" w:lineRule="auto"/>
              <w:jc w:val="left"/>
              <w:rPr>
                <w:rFonts w:hint="default" w:eastAsia="宋体"/>
                <w:color w:val="000000"/>
                <w:sz w:val="24"/>
                <w:szCs w:val="24"/>
                <w:highlight w:val="none"/>
                <w:lang w:val="en-US" w:eastAsia="zh-CN"/>
              </w:rPr>
            </w:pPr>
            <w:r>
              <w:rPr>
                <w:rFonts w:hint="eastAsia" w:cs="Times New Roman"/>
                <w:kern w:val="2"/>
                <w:sz w:val="24"/>
                <w:szCs w:val="24"/>
                <w:highlight w:val="none"/>
                <w:lang w:val="en-US" w:eastAsia="zh-CN" w:bidi="ar-SA"/>
              </w:rPr>
              <w:t>第二档：</w:t>
            </w:r>
            <w:r>
              <w:rPr>
                <w:rFonts w:hint="default" w:eastAsia="宋体"/>
                <w:color w:val="000000"/>
                <w:sz w:val="24"/>
                <w:szCs w:val="24"/>
                <w:highlight w:val="none"/>
                <w:lang w:val="en-US" w:eastAsia="zh-CN"/>
              </w:rPr>
              <w:t>方案较详细完整，实施方法较合理、较可行的，得</w:t>
            </w:r>
            <w:r>
              <w:rPr>
                <w:rFonts w:hint="eastAsia"/>
                <w:color w:val="000000"/>
                <w:sz w:val="24"/>
                <w:szCs w:val="24"/>
                <w:highlight w:val="none"/>
                <w:lang w:val="en-US" w:eastAsia="zh-CN"/>
              </w:rPr>
              <w:t>3</w:t>
            </w:r>
            <w:r>
              <w:rPr>
                <w:rFonts w:hint="default" w:eastAsia="宋体"/>
                <w:color w:val="000000"/>
                <w:sz w:val="24"/>
                <w:szCs w:val="24"/>
                <w:highlight w:val="none"/>
                <w:lang w:val="en-US" w:eastAsia="zh-CN"/>
              </w:rPr>
              <w:t xml:space="preserve">分； </w:t>
            </w:r>
          </w:p>
          <w:p w14:paraId="0223CF8B">
            <w:pPr>
              <w:spacing w:line="360" w:lineRule="auto"/>
              <w:jc w:val="left"/>
              <w:rPr>
                <w:rFonts w:hint="default" w:eastAsia="宋体"/>
                <w:color w:val="000000"/>
                <w:sz w:val="24"/>
                <w:szCs w:val="24"/>
                <w:highlight w:val="none"/>
                <w:lang w:val="en-US" w:eastAsia="zh-CN"/>
              </w:rPr>
            </w:pPr>
            <w:r>
              <w:rPr>
                <w:rFonts w:hint="eastAsia" w:cs="Times New Roman"/>
                <w:kern w:val="2"/>
                <w:sz w:val="24"/>
                <w:szCs w:val="24"/>
                <w:highlight w:val="none"/>
                <w:lang w:val="en-US" w:eastAsia="zh-CN" w:bidi="ar-SA"/>
              </w:rPr>
              <w:t>第三档：</w:t>
            </w:r>
            <w:r>
              <w:rPr>
                <w:rFonts w:hint="default" w:eastAsia="宋体"/>
                <w:color w:val="000000"/>
                <w:sz w:val="24"/>
                <w:szCs w:val="24"/>
                <w:highlight w:val="none"/>
                <w:lang w:val="en-US" w:eastAsia="zh-CN"/>
              </w:rPr>
              <w:t>方案基本完整，实施方法基本合理、基本可行的，得</w:t>
            </w:r>
            <w:r>
              <w:rPr>
                <w:rFonts w:hint="eastAsia"/>
                <w:color w:val="000000"/>
                <w:sz w:val="24"/>
                <w:szCs w:val="24"/>
                <w:highlight w:val="none"/>
                <w:lang w:val="en-US" w:eastAsia="zh-CN"/>
              </w:rPr>
              <w:t>2</w:t>
            </w:r>
            <w:r>
              <w:rPr>
                <w:rFonts w:hint="default" w:eastAsia="宋体"/>
                <w:color w:val="000000"/>
                <w:sz w:val="24"/>
                <w:szCs w:val="24"/>
                <w:highlight w:val="none"/>
                <w:lang w:val="en-US" w:eastAsia="zh-CN"/>
              </w:rPr>
              <w:t xml:space="preserve">分；  </w:t>
            </w:r>
          </w:p>
          <w:p w14:paraId="281EF001">
            <w:pPr>
              <w:spacing w:line="360" w:lineRule="auto"/>
              <w:jc w:val="left"/>
              <w:rPr>
                <w:rFonts w:hint="default" w:eastAsia="宋体"/>
                <w:color w:val="000000"/>
                <w:sz w:val="24"/>
                <w:szCs w:val="24"/>
                <w:highlight w:val="none"/>
                <w:lang w:val="en-US" w:eastAsia="zh-CN"/>
              </w:rPr>
            </w:pPr>
            <w:r>
              <w:rPr>
                <w:rFonts w:hint="eastAsia" w:cs="Times New Roman"/>
                <w:kern w:val="2"/>
                <w:sz w:val="24"/>
                <w:szCs w:val="24"/>
                <w:highlight w:val="none"/>
                <w:lang w:val="en-US" w:eastAsia="zh-CN" w:bidi="ar-SA"/>
              </w:rPr>
              <w:t>第四档：</w:t>
            </w:r>
            <w:r>
              <w:rPr>
                <w:rFonts w:hint="default" w:eastAsia="宋体"/>
                <w:color w:val="000000"/>
                <w:sz w:val="24"/>
                <w:szCs w:val="24"/>
                <w:highlight w:val="none"/>
                <w:lang w:val="en-US" w:eastAsia="zh-CN"/>
              </w:rPr>
              <w:t>方案不完整，实施方法不合理的，得</w:t>
            </w:r>
            <w:r>
              <w:rPr>
                <w:rFonts w:hint="eastAsia"/>
                <w:color w:val="000000"/>
                <w:sz w:val="24"/>
                <w:szCs w:val="24"/>
                <w:highlight w:val="none"/>
                <w:lang w:val="en-US" w:eastAsia="zh-CN"/>
              </w:rPr>
              <w:t>1</w:t>
            </w:r>
            <w:r>
              <w:rPr>
                <w:rFonts w:hint="default" w:eastAsia="宋体"/>
                <w:color w:val="000000"/>
                <w:sz w:val="24"/>
                <w:szCs w:val="24"/>
                <w:highlight w:val="none"/>
                <w:lang w:val="en-US" w:eastAsia="zh-CN"/>
              </w:rPr>
              <w:t xml:space="preserve">分； </w:t>
            </w:r>
          </w:p>
          <w:p w14:paraId="26AB4BB0">
            <w:pPr>
              <w:spacing w:line="360" w:lineRule="auto"/>
              <w:jc w:val="left"/>
              <w:rPr>
                <w:rFonts w:hint="default" w:eastAsia="宋体"/>
                <w:color w:val="000000"/>
                <w:highlight w:val="none"/>
                <w:lang w:val="en-US" w:eastAsia="zh-CN"/>
              </w:rPr>
            </w:pPr>
            <w:r>
              <w:rPr>
                <w:rFonts w:hint="eastAsia" w:cs="Times New Roman"/>
                <w:kern w:val="2"/>
                <w:sz w:val="24"/>
                <w:szCs w:val="24"/>
                <w:highlight w:val="none"/>
                <w:lang w:val="en-US" w:eastAsia="zh-CN" w:bidi="ar-SA"/>
              </w:rPr>
              <w:t>第五档：</w:t>
            </w:r>
            <w:r>
              <w:rPr>
                <w:rFonts w:hint="default" w:eastAsia="宋体"/>
                <w:color w:val="000000"/>
                <w:sz w:val="24"/>
                <w:szCs w:val="24"/>
                <w:highlight w:val="none"/>
                <w:lang w:val="en-US" w:eastAsia="zh-CN"/>
              </w:rPr>
              <w:t>未提供方案的，得</w:t>
            </w:r>
            <w:r>
              <w:rPr>
                <w:rFonts w:hint="eastAsia"/>
                <w:color w:val="000000"/>
                <w:sz w:val="24"/>
                <w:szCs w:val="24"/>
                <w:highlight w:val="none"/>
                <w:lang w:val="en-US" w:eastAsia="zh-CN"/>
              </w:rPr>
              <w:t>0</w:t>
            </w:r>
            <w:r>
              <w:rPr>
                <w:rFonts w:hint="default" w:eastAsia="宋体"/>
                <w:color w:val="000000"/>
                <w:sz w:val="24"/>
                <w:szCs w:val="24"/>
                <w:highlight w:val="none"/>
                <w:lang w:val="en-US" w:eastAsia="zh-CN"/>
              </w:rPr>
              <w:t>分。</w:t>
            </w:r>
          </w:p>
        </w:tc>
      </w:tr>
      <w:tr w14:paraId="37C2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13"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0DB371D4">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4</w:t>
            </w:r>
          </w:p>
        </w:tc>
        <w:tc>
          <w:tcPr>
            <w:tcW w:w="1372"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0EC7A9D7">
            <w:pPr>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sz w:val="24"/>
                <w:highlight w:val="none"/>
              </w:rPr>
              <w:t>质量控制方案及保证措施</w:t>
            </w:r>
          </w:p>
        </w:tc>
        <w:tc>
          <w:tcPr>
            <w:tcW w:w="945"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06FA996D">
            <w:pPr>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
              </w:rPr>
              <w:t>10</w:t>
            </w:r>
            <w:r>
              <w:rPr>
                <w:rFonts w:hint="eastAsia" w:ascii="宋体" w:hAnsi="宋体" w:cs="宋体"/>
                <w:color w:val="auto"/>
                <w:sz w:val="24"/>
                <w:szCs w:val="24"/>
                <w:highlight w:val="none"/>
                <w:lang w:bidi="ar"/>
              </w:rPr>
              <w:t>分</w:t>
            </w:r>
          </w:p>
        </w:tc>
        <w:tc>
          <w:tcPr>
            <w:tcW w:w="5830" w:type="dxa"/>
            <w:tcBorders>
              <w:top w:val="single" w:color="auto" w:sz="4" w:space="0"/>
              <w:left w:val="single" w:color="auto" w:sz="4" w:space="0"/>
              <w:bottom w:val="single" w:color="auto" w:sz="4" w:space="0"/>
              <w:right w:val="single" w:color="auto" w:sz="4" w:space="0"/>
            </w:tcBorders>
            <w:shd w:val="clear" w:color="auto" w:fill="FEFEFE"/>
            <w:noWrap w:val="0"/>
            <w:vAlign w:val="top"/>
          </w:tcPr>
          <w:p w14:paraId="70D0722E">
            <w:pPr>
              <w:spacing w:line="360" w:lineRule="auto"/>
              <w:rPr>
                <w:rFonts w:ascii="宋体" w:hAnsi="宋体"/>
                <w:sz w:val="24"/>
                <w:highlight w:val="none"/>
              </w:rPr>
            </w:pPr>
            <w:r>
              <w:rPr>
                <w:rFonts w:hint="eastAsia" w:ascii="宋体" w:hAnsi="宋体" w:eastAsia="宋体" w:cs="宋体"/>
                <w:sz w:val="24"/>
                <w:szCs w:val="24"/>
                <w:highlight w:val="none"/>
              </w:rPr>
              <w:t>第一档：</w:t>
            </w:r>
            <w:r>
              <w:rPr>
                <w:rFonts w:hint="eastAsia" w:ascii="宋体" w:hAnsi="宋体"/>
                <w:sz w:val="24"/>
                <w:highlight w:val="none"/>
              </w:rPr>
              <w:t>质量控制方案及保证措施内容完整、针对性强、合理可行得</w:t>
            </w:r>
            <w:r>
              <w:rPr>
                <w:rFonts w:ascii="宋体" w:hAnsi="宋体"/>
                <w:sz w:val="24"/>
                <w:highlight w:val="none"/>
              </w:rPr>
              <w:t>10</w:t>
            </w:r>
            <w:r>
              <w:rPr>
                <w:rFonts w:hint="eastAsia" w:ascii="宋体" w:hAnsi="宋体"/>
                <w:sz w:val="24"/>
                <w:highlight w:val="none"/>
              </w:rPr>
              <w:t>分;</w:t>
            </w:r>
          </w:p>
          <w:p w14:paraId="7D4C925E">
            <w:pPr>
              <w:spacing w:line="360" w:lineRule="auto"/>
              <w:rPr>
                <w:rFonts w:ascii="宋体" w:hAnsi="宋体"/>
                <w:sz w:val="24"/>
                <w:highlight w:val="none"/>
              </w:rPr>
            </w:pPr>
            <w:r>
              <w:rPr>
                <w:rFonts w:hint="eastAsia" w:ascii="宋体" w:hAnsi="宋体" w:eastAsia="宋体" w:cs="宋体"/>
                <w:sz w:val="24"/>
                <w:szCs w:val="24"/>
                <w:highlight w:val="none"/>
              </w:rPr>
              <w:t>第二档：</w:t>
            </w:r>
            <w:r>
              <w:rPr>
                <w:rFonts w:hint="eastAsia" w:ascii="宋体" w:hAnsi="宋体"/>
                <w:sz w:val="24"/>
                <w:highlight w:val="none"/>
              </w:rPr>
              <w:t>质量控制方案及保证措施内容较为完整，有针对性得</w:t>
            </w:r>
            <w:r>
              <w:rPr>
                <w:rFonts w:hint="eastAsia" w:ascii="宋体" w:hAnsi="宋体"/>
                <w:sz w:val="24"/>
                <w:highlight w:val="none"/>
                <w:lang w:val="en-US" w:eastAsia="zh-CN"/>
              </w:rPr>
              <w:t>8</w:t>
            </w:r>
            <w:r>
              <w:rPr>
                <w:rFonts w:hint="eastAsia" w:ascii="宋体" w:hAnsi="宋体"/>
                <w:sz w:val="24"/>
                <w:highlight w:val="none"/>
              </w:rPr>
              <w:t>分;</w:t>
            </w:r>
          </w:p>
          <w:p w14:paraId="4F839943">
            <w:pPr>
              <w:spacing w:line="360" w:lineRule="auto"/>
              <w:rPr>
                <w:rFonts w:hint="eastAsia" w:ascii="宋体" w:hAnsi="宋体"/>
                <w:sz w:val="24"/>
                <w:highlight w:val="none"/>
              </w:rPr>
            </w:pPr>
            <w:r>
              <w:rPr>
                <w:rFonts w:hint="eastAsia" w:ascii="宋体" w:hAnsi="宋体" w:eastAsia="宋体" w:cs="宋体"/>
                <w:sz w:val="24"/>
                <w:szCs w:val="24"/>
                <w:highlight w:val="none"/>
              </w:rPr>
              <w:t>第三档：</w:t>
            </w:r>
            <w:r>
              <w:rPr>
                <w:rFonts w:hint="eastAsia" w:ascii="宋体" w:hAnsi="宋体"/>
                <w:sz w:val="24"/>
                <w:highlight w:val="none"/>
              </w:rPr>
              <w:t>质量控制方案及保证措施一般，可行性低的得</w:t>
            </w:r>
            <w:r>
              <w:rPr>
                <w:rFonts w:hint="eastAsia" w:ascii="宋体" w:hAnsi="宋体"/>
                <w:sz w:val="24"/>
                <w:highlight w:val="none"/>
                <w:lang w:val="en-US" w:eastAsia="zh-CN"/>
              </w:rPr>
              <w:t>6</w:t>
            </w:r>
            <w:r>
              <w:rPr>
                <w:rFonts w:hint="eastAsia" w:ascii="宋体" w:hAnsi="宋体"/>
                <w:sz w:val="24"/>
                <w:highlight w:val="none"/>
              </w:rPr>
              <w:t>分;</w:t>
            </w:r>
          </w:p>
          <w:p w14:paraId="68AED312">
            <w:pPr>
              <w:spacing w:line="360" w:lineRule="auto"/>
              <w:rPr>
                <w:rFonts w:ascii="宋体" w:hAnsi="宋体"/>
                <w:sz w:val="24"/>
                <w:highlight w:val="none"/>
              </w:rPr>
            </w:pPr>
            <w:r>
              <w:rPr>
                <w:rFonts w:hint="eastAsia" w:ascii="宋体" w:hAnsi="宋体" w:eastAsia="宋体" w:cs="宋体"/>
                <w:sz w:val="24"/>
                <w:szCs w:val="24"/>
                <w:highlight w:val="none"/>
              </w:rPr>
              <w:t>第</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档：</w:t>
            </w:r>
            <w:r>
              <w:rPr>
                <w:rFonts w:hint="eastAsia" w:ascii="宋体" w:hAnsi="宋体"/>
                <w:sz w:val="24"/>
                <w:highlight w:val="none"/>
              </w:rPr>
              <w:t>质量控制方案及保证措施</w:t>
            </w:r>
            <w:r>
              <w:rPr>
                <w:rFonts w:hint="eastAsia" w:ascii="宋体" w:hAnsi="宋体"/>
                <w:sz w:val="24"/>
                <w:highlight w:val="none"/>
                <w:lang w:val="en-US" w:eastAsia="zh-CN"/>
              </w:rPr>
              <w:t>存在缺陷，内容不全</w:t>
            </w:r>
            <w:r>
              <w:rPr>
                <w:rFonts w:hint="eastAsia" w:ascii="宋体" w:hAnsi="宋体"/>
                <w:sz w:val="24"/>
                <w:highlight w:val="none"/>
              </w:rPr>
              <w:t>，可行性低的得</w:t>
            </w:r>
            <w:r>
              <w:rPr>
                <w:rFonts w:hint="eastAsia" w:ascii="宋体" w:hAnsi="宋体"/>
                <w:sz w:val="24"/>
                <w:highlight w:val="none"/>
                <w:lang w:val="en-US" w:eastAsia="zh-CN"/>
              </w:rPr>
              <w:t>4</w:t>
            </w:r>
            <w:r>
              <w:rPr>
                <w:rFonts w:hint="eastAsia" w:ascii="宋体" w:hAnsi="宋体"/>
                <w:sz w:val="24"/>
                <w:highlight w:val="none"/>
              </w:rPr>
              <w:t>分;</w:t>
            </w:r>
          </w:p>
          <w:p w14:paraId="78288461">
            <w:pPr>
              <w:spacing w:line="360" w:lineRule="auto"/>
              <w:rPr>
                <w:rFonts w:ascii="宋体" w:hAnsi="宋体"/>
                <w:sz w:val="24"/>
                <w:highlight w:val="none"/>
              </w:rPr>
            </w:pPr>
            <w:r>
              <w:rPr>
                <w:rFonts w:hint="eastAsia" w:ascii="宋体" w:hAnsi="宋体" w:eastAsia="宋体" w:cs="宋体"/>
                <w:sz w:val="24"/>
                <w:szCs w:val="24"/>
                <w:highlight w:val="none"/>
              </w:rPr>
              <w:t>第</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rPr>
              <w:t>档：</w:t>
            </w:r>
            <w:r>
              <w:rPr>
                <w:rFonts w:hint="eastAsia" w:ascii="宋体" w:hAnsi="宋体"/>
                <w:sz w:val="24"/>
                <w:highlight w:val="none"/>
              </w:rPr>
              <w:t>质量控制方案及保证措施</w:t>
            </w:r>
            <w:r>
              <w:rPr>
                <w:rFonts w:hint="eastAsia" w:ascii="宋体" w:hAnsi="宋体"/>
                <w:sz w:val="24"/>
                <w:highlight w:val="none"/>
                <w:lang w:val="en-US" w:eastAsia="zh-CN"/>
              </w:rPr>
              <w:t>较差或存在重大问题</w:t>
            </w:r>
            <w:r>
              <w:rPr>
                <w:rFonts w:hint="eastAsia" w:ascii="宋体" w:hAnsi="宋体"/>
                <w:sz w:val="24"/>
                <w:highlight w:val="none"/>
              </w:rPr>
              <w:t>的得</w:t>
            </w:r>
            <w:r>
              <w:rPr>
                <w:rFonts w:hint="eastAsia" w:ascii="宋体" w:hAnsi="宋体"/>
                <w:sz w:val="24"/>
                <w:highlight w:val="none"/>
                <w:lang w:val="en-US" w:eastAsia="zh-CN"/>
              </w:rPr>
              <w:t>2</w:t>
            </w:r>
            <w:r>
              <w:rPr>
                <w:rFonts w:hint="eastAsia" w:ascii="宋体" w:hAnsi="宋体"/>
                <w:sz w:val="24"/>
                <w:highlight w:val="none"/>
              </w:rPr>
              <w:t>分;</w:t>
            </w:r>
          </w:p>
          <w:p w14:paraId="12E54E4B">
            <w:pPr>
              <w:spacing w:line="360" w:lineRule="auto"/>
              <w:rPr>
                <w:rFonts w:hint="eastAsia" w:ascii="Times New Roman" w:hAnsi="Times New Roman" w:eastAsia="宋体" w:cs="Times New Roman"/>
                <w:color w:val="auto"/>
                <w:kern w:val="2"/>
                <w:sz w:val="21"/>
                <w:highlight w:val="none"/>
                <w:lang w:val="en-US" w:eastAsia="zh-CN" w:bidi="ar-SA"/>
              </w:rPr>
            </w:pPr>
            <w:r>
              <w:rPr>
                <w:rFonts w:hint="eastAsia" w:ascii="宋体" w:hAnsi="宋体" w:eastAsia="宋体" w:cs="宋体"/>
                <w:sz w:val="24"/>
                <w:szCs w:val="24"/>
                <w:highlight w:val="none"/>
              </w:rPr>
              <w:t>第</w:t>
            </w: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rPr>
              <w:t>档：</w:t>
            </w:r>
            <w:r>
              <w:rPr>
                <w:rFonts w:hint="eastAsia" w:ascii="宋体" w:hAnsi="宋体"/>
                <w:sz w:val="24"/>
                <w:highlight w:val="none"/>
              </w:rPr>
              <w:t>不提供不得分。</w:t>
            </w:r>
          </w:p>
        </w:tc>
      </w:tr>
      <w:tr w14:paraId="43CE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13"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15A996A9">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7CC14D8B">
            <w:pPr>
              <w:spacing w:line="360" w:lineRule="auto"/>
              <w:jc w:val="center"/>
              <w:rPr>
                <w:rFonts w:hint="eastAsia" w:ascii="宋体" w:hAnsi="宋体"/>
                <w:color w:val="000000"/>
                <w:sz w:val="24"/>
                <w:highlight w:val="none"/>
              </w:rPr>
            </w:pPr>
            <w:r>
              <w:rPr>
                <w:rFonts w:hint="eastAsia" w:cs="宋体" w:asciiTheme="majorEastAsia" w:hAnsiTheme="majorEastAsia" w:eastAsiaTheme="majorEastAsia"/>
                <w:color w:val="000000"/>
                <w:sz w:val="24"/>
                <w:szCs w:val="24"/>
                <w:highlight w:val="none"/>
              </w:rPr>
              <w:t>服务期限及服务要求保证措施</w:t>
            </w:r>
          </w:p>
        </w:tc>
        <w:tc>
          <w:tcPr>
            <w:tcW w:w="945"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46AEF14D">
            <w:pPr>
              <w:widowControl/>
              <w:spacing w:line="288" w:lineRule="auto"/>
              <w:jc w:val="center"/>
              <w:rPr>
                <w:rFonts w:hint="default" w:ascii="宋体" w:hAnsi="宋体" w:cs="宋体"/>
                <w:color w:val="000000"/>
                <w:sz w:val="24"/>
                <w:szCs w:val="24"/>
                <w:highlight w:val="none"/>
                <w:lang w:val="en-US" w:eastAsia="zh-CN" w:bidi="ar"/>
              </w:rPr>
            </w:pPr>
            <w:r>
              <w:rPr>
                <w:rFonts w:hint="eastAsia" w:cs="宋体" w:asciiTheme="majorEastAsia" w:hAnsiTheme="majorEastAsia" w:eastAsiaTheme="majorEastAsia"/>
                <w:bCs/>
                <w:color w:val="000000"/>
                <w:kern w:val="0"/>
                <w:sz w:val="24"/>
                <w:highlight w:val="none"/>
              </w:rPr>
              <w:t>10分</w:t>
            </w:r>
          </w:p>
        </w:tc>
        <w:tc>
          <w:tcPr>
            <w:tcW w:w="583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23CCDF59">
            <w:pPr>
              <w:spacing w:line="360" w:lineRule="auto"/>
              <w:jc w:val="left"/>
              <w:rPr>
                <w:rFonts w:cs="宋体" w:asciiTheme="majorEastAsia" w:hAnsiTheme="majorEastAsia" w:eastAsiaTheme="majorEastAsia"/>
                <w:color w:val="000000"/>
                <w:sz w:val="24"/>
                <w:szCs w:val="24"/>
                <w:highlight w:val="none"/>
              </w:rPr>
            </w:pPr>
            <w:r>
              <w:rPr>
                <w:rFonts w:hint="eastAsia" w:cs="宋体" w:asciiTheme="majorEastAsia" w:hAnsiTheme="majorEastAsia" w:eastAsiaTheme="majorEastAsia"/>
                <w:color w:val="000000"/>
                <w:sz w:val="24"/>
                <w:szCs w:val="24"/>
                <w:highlight w:val="none"/>
              </w:rPr>
              <w:t>对本采购项目服务期限及服务要求保证措施进行评分：</w:t>
            </w:r>
          </w:p>
          <w:p w14:paraId="3EF84AE7">
            <w:pPr>
              <w:spacing w:line="360" w:lineRule="auto"/>
              <w:jc w:val="left"/>
              <w:rPr>
                <w:rFonts w:cs="宋体" w:asciiTheme="majorEastAsia" w:hAnsiTheme="majorEastAsia" w:eastAsiaTheme="majorEastAsia"/>
                <w:color w:val="000000"/>
                <w:sz w:val="24"/>
                <w:szCs w:val="24"/>
                <w:highlight w:val="none"/>
              </w:rPr>
            </w:pPr>
            <w:r>
              <w:rPr>
                <w:rFonts w:hint="eastAsia" w:cs="宋体" w:asciiTheme="majorEastAsia" w:hAnsiTheme="majorEastAsia" w:eastAsiaTheme="majorEastAsia"/>
                <w:color w:val="000000"/>
                <w:sz w:val="24"/>
                <w:szCs w:val="24"/>
                <w:highlight w:val="none"/>
              </w:rPr>
              <w:t>第一档：提供的服务期限及服务要求保证措施完全满足采购人及项目需求的，进度计划、保证措施及违约承诺叙述合理且完整的，并具有针对性的得</w:t>
            </w:r>
            <w:r>
              <w:rPr>
                <w:rFonts w:hint="eastAsia" w:cs="宋体" w:asciiTheme="majorEastAsia" w:hAnsiTheme="majorEastAsia" w:eastAsiaTheme="majorEastAsia"/>
                <w:color w:val="000000"/>
                <w:sz w:val="24"/>
                <w:szCs w:val="24"/>
                <w:highlight w:val="none"/>
                <w:lang w:val="en-US" w:eastAsia="zh-CN"/>
              </w:rPr>
              <w:t>1</w:t>
            </w:r>
            <w:r>
              <w:rPr>
                <w:rFonts w:hint="eastAsia" w:cs="宋体" w:asciiTheme="majorEastAsia" w:hAnsiTheme="majorEastAsia" w:eastAsiaTheme="majorEastAsia"/>
                <w:color w:val="000000"/>
                <w:sz w:val="24"/>
                <w:szCs w:val="24"/>
                <w:highlight w:val="none"/>
              </w:rPr>
              <w:t>0分；</w:t>
            </w:r>
          </w:p>
          <w:p w14:paraId="118F18B3">
            <w:pPr>
              <w:spacing w:line="360" w:lineRule="auto"/>
              <w:jc w:val="left"/>
              <w:rPr>
                <w:rFonts w:cs="宋体" w:asciiTheme="majorEastAsia" w:hAnsiTheme="majorEastAsia" w:eastAsiaTheme="majorEastAsia"/>
                <w:color w:val="000000"/>
                <w:sz w:val="24"/>
                <w:szCs w:val="24"/>
                <w:highlight w:val="none"/>
              </w:rPr>
            </w:pPr>
            <w:r>
              <w:rPr>
                <w:rFonts w:hint="eastAsia" w:cs="宋体" w:asciiTheme="majorEastAsia" w:hAnsiTheme="majorEastAsia" w:eastAsiaTheme="majorEastAsia"/>
                <w:color w:val="000000"/>
                <w:sz w:val="24"/>
                <w:szCs w:val="24"/>
                <w:highlight w:val="none"/>
              </w:rPr>
              <w:t>第二档：提供的服务期限及服务要求保证措施基本满足采购人及项目需求的，进度计划、保证措施及违约承诺叙述基本到位的得</w:t>
            </w:r>
            <w:r>
              <w:rPr>
                <w:rFonts w:hint="eastAsia" w:cs="宋体" w:asciiTheme="majorEastAsia" w:hAnsiTheme="majorEastAsia" w:eastAsiaTheme="majorEastAsia"/>
                <w:color w:val="000000"/>
                <w:sz w:val="24"/>
                <w:szCs w:val="24"/>
                <w:highlight w:val="none"/>
                <w:lang w:val="en-US" w:eastAsia="zh-CN"/>
              </w:rPr>
              <w:t>8</w:t>
            </w:r>
            <w:r>
              <w:rPr>
                <w:rFonts w:hint="eastAsia" w:cs="宋体" w:asciiTheme="majorEastAsia" w:hAnsiTheme="majorEastAsia" w:eastAsiaTheme="majorEastAsia"/>
                <w:color w:val="000000"/>
                <w:sz w:val="24"/>
                <w:szCs w:val="24"/>
                <w:highlight w:val="none"/>
              </w:rPr>
              <w:t>分；</w:t>
            </w:r>
          </w:p>
          <w:p w14:paraId="7253ACA2">
            <w:pPr>
              <w:spacing w:line="360" w:lineRule="auto"/>
              <w:jc w:val="left"/>
              <w:rPr>
                <w:rFonts w:hint="eastAsia" w:cs="宋体" w:asciiTheme="majorEastAsia" w:hAnsiTheme="majorEastAsia" w:eastAsiaTheme="majorEastAsia"/>
                <w:color w:val="000000"/>
                <w:sz w:val="24"/>
                <w:szCs w:val="24"/>
                <w:highlight w:val="none"/>
              </w:rPr>
            </w:pPr>
            <w:r>
              <w:rPr>
                <w:rFonts w:hint="eastAsia" w:cs="宋体" w:asciiTheme="majorEastAsia" w:hAnsiTheme="majorEastAsia" w:eastAsiaTheme="majorEastAsia"/>
                <w:color w:val="000000"/>
                <w:sz w:val="24"/>
                <w:szCs w:val="24"/>
                <w:highlight w:val="none"/>
              </w:rPr>
              <w:t>第三档：提供的服务期限及服务要求保证措施不全面的，进度计划、保证措施及违约承诺叙述存在一定偏差，针对性不足的得</w:t>
            </w:r>
            <w:r>
              <w:rPr>
                <w:rFonts w:hint="eastAsia" w:cs="宋体" w:asciiTheme="majorEastAsia" w:hAnsiTheme="majorEastAsia" w:eastAsiaTheme="majorEastAsia"/>
                <w:color w:val="000000"/>
                <w:sz w:val="24"/>
                <w:szCs w:val="24"/>
                <w:highlight w:val="none"/>
                <w:lang w:val="en-US" w:eastAsia="zh-CN"/>
              </w:rPr>
              <w:t>6</w:t>
            </w:r>
            <w:r>
              <w:rPr>
                <w:rFonts w:hint="eastAsia" w:cs="宋体" w:asciiTheme="majorEastAsia" w:hAnsiTheme="majorEastAsia" w:eastAsiaTheme="majorEastAsia"/>
                <w:color w:val="000000"/>
                <w:sz w:val="24"/>
                <w:szCs w:val="24"/>
                <w:highlight w:val="none"/>
              </w:rPr>
              <w:t>分；</w:t>
            </w:r>
          </w:p>
          <w:p w14:paraId="007379FB">
            <w:pPr>
              <w:spacing w:line="360" w:lineRule="auto"/>
              <w:jc w:val="left"/>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第四档：</w:t>
            </w:r>
            <w:r>
              <w:rPr>
                <w:rFonts w:hint="eastAsia" w:cs="宋体" w:asciiTheme="majorEastAsia" w:hAnsiTheme="majorEastAsia" w:eastAsiaTheme="majorEastAsia"/>
                <w:color w:val="000000"/>
                <w:sz w:val="24"/>
                <w:szCs w:val="24"/>
                <w:highlight w:val="none"/>
              </w:rPr>
              <w:t>提供的服务期限及服务要求保证措施</w:t>
            </w:r>
            <w:r>
              <w:rPr>
                <w:rFonts w:hint="eastAsia" w:cs="宋体" w:asciiTheme="majorEastAsia" w:hAnsiTheme="majorEastAsia" w:eastAsiaTheme="majorEastAsia"/>
                <w:color w:val="000000"/>
                <w:sz w:val="24"/>
                <w:szCs w:val="24"/>
                <w:highlight w:val="none"/>
                <w:lang w:val="en-US" w:eastAsia="zh-CN"/>
              </w:rPr>
              <w:t>较差，进度计划、保证措施及违约承诺较差的，得4分</w:t>
            </w:r>
          </w:p>
          <w:p w14:paraId="03E8B3CE">
            <w:pPr>
              <w:spacing w:line="360" w:lineRule="auto"/>
              <w:jc w:val="left"/>
              <w:rPr>
                <w:rFonts w:hint="eastAsia" w:ascii="宋体" w:hAnsi="宋体"/>
                <w:color w:val="000000"/>
                <w:sz w:val="24"/>
                <w:highlight w:val="none"/>
                <w:lang w:val="en-US" w:eastAsia="zh-CN"/>
              </w:rPr>
            </w:pPr>
            <w:r>
              <w:rPr>
                <w:rFonts w:hint="eastAsia" w:cs="宋体" w:asciiTheme="majorEastAsia" w:hAnsiTheme="majorEastAsia" w:eastAsiaTheme="majorEastAsia"/>
                <w:color w:val="000000"/>
                <w:sz w:val="24"/>
                <w:szCs w:val="24"/>
                <w:highlight w:val="none"/>
              </w:rPr>
              <w:t>第</w:t>
            </w:r>
            <w:r>
              <w:rPr>
                <w:rFonts w:hint="eastAsia" w:cs="宋体" w:asciiTheme="majorEastAsia" w:hAnsiTheme="majorEastAsia" w:eastAsiaTheme="majorEastAsia"/>
                <w:color w:val="000000"/>
                <w:sz w:val="24"/>
                <w:szCs w:val="24"/>
                <w:highlight w:val="none"/>
                <w:lang w:val="en-US" w:eastAsia="zh-CN"/>
              </w:rPr>
              <w:t>五</w:t>
            </w:r>
            <w:r>
              <w:rPr>
                <w:rFonts w:hint="eastAsia" w:cs="宋体" w:asciiTheme="majorEastAsia" w:hAnsiTheme="majorEastAsia" w:eastAsiaTheme="majorEastAsia"/>
                <w:color w:val="000000"/>
                <w:sz w:val="24"/>
                <w:szCs w:val="24"/>
                <w:highlight w:val="none"/>
              </w:rPr>
              <w:t>档：提供的服务期限及服务要求保证措施不满足采购人及项目需求的或未提供服务期限及服务要求保证措施的，</w:t>
            </w:r>
            <w:r>
              <w:rPr>
                <w:rFonts w:hint="eastAsia" w:cs="宋体" w:asciiTheme="majorEastAsia" w:hAnsiTheme="majorEastAsia" w:eastAsiaTheme="majorEastAsia"/>
                <w:color w:val="000000"/>
                <w:sz w:val="24"/>
                <w:szCs w:val="24"/>
                <w:highlight w:val="none"/>
                <w:lang w:val="en-US" w:eastAsia="zh-CN"/>
              </w:rPr>
              <w:t>不得分</w:t>
            </w:r>
            <w:r>
              <w:rPr>
                <w:rFonts w:hint="eastAsia" w:cs="宋体" w:asciiTheme="majorEastAsia" w:hAnsiTheme="majorEastAsia" w:eastAsiaTheme="majorEastAsia"/>
                <w:color w:val="000000"/>
                <w:sz w:val="24"/>
                <w:szCs w:val="24"/>
                <w:highlight w:val="none"/>
              </w:rPr>
              <w:t>；</w:t>
            </w:r>
          </w:p>
        </w:tc>
      </w:tr>
      <w:tr w14:paraId="1E8D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trPr>
        <w:tc>
          <w:tcPr>
            <w:tcW w:w="813"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1B1D2F15">
            <w:pPr>
              <w:spacing w:line="360" w:lineRule="auto"/>
              <w:ind w:firstLine="235" w:firstLineChars="98"/>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6</w:t>
            </w:r>
          </w:p>
        </w:tc>
        <w:tc>
          <w:tcPr>
            <w:tcW w:w="1372"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5B1D6CF6">
            <w:pPr>
              <w:widowControl/>
              <w:spacing w:line="360" w:lineRule="auto"/>
              <w:jc w:val="center"/>
              <w:rPr>
                <w:rFonts w:hint="eastAsia" w:cs="宋体" w:asciiTheme="majorEastAsia" w:hAnsiTheme="majorEastAsia" w:eastAsiaTheme="majorEastAsia"/>
                <w:color w:val="000000"/>
                <w:sz w:val="24"/>
                <w:szCs w:val="24"/>
                <w:highlight w:val="none"/>
                <w:lang w:val="en-US" w:eastAsia="zh-CN"/>
              </w:rPr>
            </w:pPr>
            <w:r>
              <w:rPr>
                <w:rFonts w:hint="default" w:cs="宋体" w:asciiTheme="majorEastAsia" w:hAnsiTheme="majorEastAsia" w:eastAsiaTheme="majorEastAsia"/>
                <w:color w:val="000000"/>
                <w:sz w:val="24"/>
                <w:szCs w:val="24"/>
                <w:highlight w:val="none"/>
                <w:lang w:val="en-US" w:eastAsia="zh-CN"/>
              </w:rPr>
              <w:t>应急方案</w:t>
            </w:r>
          </w:p>
        </w:tc>
        <w:tc>
          <w:tcPr>
            <w:tcW w:w="945"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5A2BBCE9">
            <w:pPr>
              <w:widowControl/>
              <w:spacing w:line="360" w:lineRule="auto"/>
              <w:jc w:val="center"/>
              <w:rPr>
                <w:rFonts w:hint="eastAsia"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5分</w:t>
            </w:r>
          </w:p>
        </w:tc>
        <w:tc>
          <w:tcPr>
            <w:tcW w:w="583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217B7480">
            <w:pPr>
              <w:widowControl/>
              <w:spacing w:line="360" w:lineRule="auto"/>
              <w:jc w:val="left"/>
              <w:rPr>
                <w:rFonts w:hint="default" w:cs="宋体" w:asciiTheme="majorEastAsia" w:hAnsiTheme="majorEastAsia" w:eastAsiaTheme="majorEastAsia"/>
                <w:color w:val="000000"/>
                <w:sz w:val="24"/>
                <w:szCs w:val="24"/>
                <w:highlight w:val="none"/>
                <w:lang w:val="en-US" w:eastAsia="zh-CN"/>
              </w:rPr>
            </w:pPr>
            <w:r>
              <w:rPr>
                <w:rFonts w:hint="default" w:cs="宋体" w:asciiTheme="majorEastAsia" w:hAnsiTheme="majorEastAsia" w:eastAsiaTheme="majorEastAsia"/>
                <w:color w:val="000000"/>
                <w:sz w:val="24"/>
                <w:szCs w:val="24"/>
                <w:highlight w:val="none"/>
                <w:lang w:val="en-US" w:eastAsia="zh-CN"/>
              </w:rPr>
              <w:t>根据各</w:t>
            </w:r>
            <w:r>
              <w:rPr>
                <w:rFonts w:hint="eastAsia" w:cs="宋体" w:asciiTheme="majorEastAsia" w:hAnsiTheme="majorEastAsia" w:eastAsiaTheme="majorEastAsia"/>
                <w:color w:val="000000"/>
                <w:sz w:val="24"/>
                <w:szCs w:val="24"/>
                <w:highlight w:val="none"/>
                <w:lang w:val="en-US" w:eastAsia="zh-CN"/>
              </w:rPr>
              <w:t>供应商</w:t>
            </w:r>
            <w:r>
              <w:rPr>
                <w:rFonts w:hint="default" w:cs="宋体" w:asciiTheme="majorEastAsia" w:hAnsiTheme="majorEastAsia" w:eastAsiaTheme="majorEastAsia"/>
                <w:color w:val="000000"/>
                <w:sz w:val="24"/>
                <w:szCs w:val="24"/>
                <w:highlight w:val="none"/>
                <w:lang w:val="en-US" w:eastAsia="zh-CN"/>
              </w:rPr>
              <w:t xml:space="preserve">提供的应急方案（如应急措施、应急时间安排、服务支持等）进行综合评审：  </w:t>
            </w:r>
          </w:p>
          <w:p w14:paraId="05B55CCC">
            <w:pPr>
              <w:widowControl/>
              <w:spacing w:line="360" w:lineRule="auto"/>
              <w:jc w:val="left"/>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第一档：</w:t>
            </w:r>
            <w:r>
              <w:rPr>
                <w:rFonts w:hint="default" w:cs="宋体" w:asciiTheme="majorEastAsia" w:hAnsiTheme="majorEastAsia" w:eastAsiaTheme="majorEastAsia"/>
                <w:color w:val="000000"/>
                <w:sz w:val="24"/>
                <w:szCs w:val="24"/>
                <w:highlight w:val="none"/>
                <w:lang w:val="en-US" w:eastAsia="zh-CN"/>
              </w:rPr>
              <w:t>应急方案内容全面完善、详细清晰、合理性高，得</w:t>
            </w:r>
            <w:r>
              <w:rPr>
                <w:rFonts w:hint="eastAsia" w:cs="宋体" w:asciiTheme="majorEastAsia" w:hAnsiTheme="majorEastAsia" w:eastAsiaTheme="majorEastAsia"/>
                <w:color w:val="000000"/>
                <w:sz w:val="24"/>
                <w:szCs w:val="24"/>
                <w:highlight w:val="none"/>
                <w:lang w:val="en-US" w:eastAsia="zh-CN"/>
              </w:rPr>
              <w:t>5</w:t>
            </w:r>
            <w:r>
              <w:rPr>
                <w:rFonts w:hint="default" w:cs="宋体" w:asciiTheme="majorEastAsia" w:hAnsiTheme="majorEastAsia" w:eastAsiaTheme="majorEastAsia"/>
                <w:color w:val="000000"/>
                <w:sz w:val="24"/>
                <w:szCs w:val="24"/>
                <w:highlight w:val="none"/>
                <w:lang w:val="en-US" w:eastAsia="zh-CN"/>
              </w:rPr>
              <w:t xml:space="preserve">分； </w:t>
            </w:r>
          </w:p>
          <w:p w14:paraId="75372588">
            <w:pPr>
              <w:widowControl/>
              <w:spacing w:line="360" w:lineRule="auto"/>
              <w:jc w:val="left"/>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第二档：</w:t>
            </w:r>
            <w:r>
              <w:rPr>
                <w:rFonts w:hint="default" w:cs="宋体" w:asciiTheme="majorEastAsia" w:hAnsiTheme="majorEastAsia" w:eastAsiaTheme="majorEastAsia"/>
                <w:color w:val="000000"/>
                <w:sz w:val="24"/>
                <w:szCs w:val="24"/>
                <w:highlight w:val="none"/>
                <w:lang w:val="en-US" w:eastAsia="zh-CN"/>
              </w:rPr>
              <w:t xml:space="preserve">应急方案内容全面、比较清晰、合理，得4分；  </w:t>
            </w:r>
          </w:p>
          <w:p w14:paraId="6370AF42">
            <w:pPr>
              <w:widowControl/>
              <w:spacing w:line="360" w:lineRule="auto"/>
              <w:jc w:val="left"/>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第三档：</w:t>
            </w:r>
            <w:r>
              <w:rPr>
                <w:rFonts w:hint="default" w:cs="宋体" w:asciiTheme="majorEastAsia" w:hAnsiTheme="majorEastAsia" w:eastAsiaTheme="majorEastAsia"/>
                <w:color w:val="000000"/>
                <w:sz w:val="24"/>
                <w:szCs w:val="24"/>
                <w:highlight w:val="none"/>
                <w:lang w:val="en-US" w:eastAsia="zh-CN"/>
              </w:rPr>
              <w:t xml:space="preserve">应急方案内容基本全面、部分合理，得2分；  </w:t>
            </w:r>
            <w:r>
              <w:rPr>
                <w:rFonts w:hint="eastAsia" w:cs="宋体" w:asciiTheme="majorEastAsia" w:hAnsiTheme="majorEastAsia" w:eastAsiaTheme="majorEastAsia"/>
                <w:color w:val="000000"/>
                <w:sz w:val="24"/>
                <w:szCs w:val="24"/>
                <w:highlight w:val="none"/>
                <w:lang w:val="en-US" w:eastAsia="zh-CN"/>
              </w:rPr>
              <w:t>第四档：</w:t>
            </w:r>
            <w:r>
              <w:rPr>
                <w:rFonts w:hint="default" w:cs="宋体" w:asciiTheme="majorEastAsia" w:hAnsiTheme="majorEastAsia" w:eastAsiaTheme="majorEastAsia"/>
                <w:color w:val="000000"/>
                <w:sz w:val="24"/>
                <w:szCs w:val="24"/>
                <w:highlight w:val="none"/>
                <w:lang w:val="en-US" w:eastAsia="zh-CN"/>
              </w:rPr>
              <w:t xml:space="preserve">应急方案内容不清晰，得1分；  </w:t>
            </w:r>
          </w:p>
          <w:p w14:paraId="4647F5BB">
            <w:pPr>
              <w:widowControl/>
              <w:spacing w:line="360" w:lineRule="auto"/>
              <w:jc w:val="left"/>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第五档：</w:t>
            </w:r>
            <w:r>
              <w:rPr>
                <w:rFonts w:hint="default" w:cs="宋体" w:asciiTheme="majorEastAsia" w:hAnsiTheme="majorEastAsia" w:eastAsiaTheme="majorEastAsia"/>
                <w:color w:val="000000"/>
                <w:sz w:val="24"/>
                <w:szCs w:val="24"/>
                <w:highlight w:val="none"/>
                <w:lang w:val="en-US" w:eastAsia="zh-CN"/>
              </w:rPr>
              <w:t>未提供方案的，得0分。</w:t>
            </w:r>
          </w:p>
        </w:tc>
      </w:tr>
      <w:tr w14:paraId="1889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3"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39B58BE5">
            <w:pPr>
              <w:spacing w:line="360" w:lineRule="auto"/>
              <w:ind w:firstLine="235" w:firstLineChars="98"/>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7</w:t>
            </w:r>
          </w:p>
        </w:tc>
        <w:tc>
          <w:tcPr>
            <w:tcW w:w="1372"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1A3DB51B">
            <w:pPr>
              <w:spacing w:line="360" w:lineRule="auto"/>
              <w:jc w:val="center"/>
              <w:rPr>
                <w:rFonts w:hint="eastAsia" w:ascii="宋体" w:hAnsi="宋体"/>
                <w:color w:val="000000"/>
                <w:sz w:val="24"/>
                <w:highlight w:val="none"/>
              </w:rPr>
            </w:pPr>
            <w:r>
              <w:rPr>
                <w:rFonts w:hint="eastAsia" w:cs="宋体" w:asciiTheme="majorEastAsia" w:hAnsiTheme="majorEastAsia" w:eastAsiaTheme="majorEastAsia"/>
                <w:color w:val="000000"/>
                <w:sz w:val="24"/>
                <w:szCs w:val="24"/>
                <w:highlight w:val="none"/>
              </w:rPr>
              <w:t>项目人员情况</w:t>
            </w:r>
          </w:p>
        </w:tc>
        <w:tc>
          <w:tcPr>
            <w:tcW w:w="945"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13311EF1">
            <w:pPr>
              <w:spacing w:line="360" w:lineRule="auto"/>
              <w:jc w:val="center"/>
              <w:rPr>
                <w:rFonts w:hint="eastAsia" w:ascii="宋体" w:hAnsi="宋体"/>
                <w:color w:val="000000"/>
                <w:sz w:val="24"/>
                <w:highlight w:val="none"/>
              </w:rPr>
            </w:pPr>
            <w:r>
              <w:rPr>
                <w:rFonts w:hint="eastAsia" w:asciiTheme="majorEastAsia" w:hAnsiTheme="majorEastAsia" w:eastAsiaTheme="majorEastAsia"/>
                <w:color w:val="000000"/>
                <w:sz w:val="24"/>
                <w:szCs w:val="24"/>
                <w:highlight w:val="none"/>
                <w:lang w:val="en-US" w:eastAsia="zh-CN"/>
              </w:rPr>
              <w:t>10</w:t>
            </w:r>
            <w:r>
              <w:rPr>
                <w:rFonts w:hint="eastAsia" w:cs="宋体" w:asciiTheme="majorEastAsia" w:hAnsiTheme="majorEastAsia" w:eastAsiaTheme="majorEastAsia"/>
                <w:color w:val="000000"/>
                <w:sz w:val="24"/>
                <w:szCs w:val="24"/>
                <w:highlight w:val="none"/>
              </w:rPr>
              <w:t>分</w:t>
            </w:r>
          </w:p>
        </w:tc>
        <w:tc>
          <w:tcPr>
            <w:tcW w:w="583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04474D63">
            <w:pPr>
              <w:spacing w:line="360" w:lineRule="auto"/>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供应商</w:t>
            </w:r>
            <w:r>
              <w:rPr>
                <w:rFonts w:hint="default" w:cs="宋体" w:asciiTheme="majorEastAsia" w:hAnsiTheme="majorEastAsia" w:eastAsiaTheme="majorEastAsia"/>
                <w:color w:val="000000"/>
                <w:sz w:val="24"/>
                <w:szCs w:val="24"/>
                <w:highlight w:val="none"/>
                <w:lang w:val="en-US" w:eastAsia="zh-CN"/>
              </w:rPr>
              <w:t xml:space="preserve">实验室检验人员配备应符合国家相关要求，包括但不限于病理医师、检验技师、人员数量、职称、专业可满足检测需求。  </w:t>
            </w:r>
          </w:p>
          <w:p w14:paraId="060E5690">
            <w:pPr>
              <w:numPr>
                <w:ilvl w:val="0"/>
                <w:numId w:val="1"/>
              </w:numPr>
              <w:spacing w:line="360" w:lineRule="auto"/>
              <w:rPr>
                <w:rFonts w:hint="default" w:cs="宋体" w:asciiTheme="majorEastAsia" w:hAnsiTheme="majorEastAsia" w:eastAsiaTheme="majorEastAsia"/>
                <w:color w:val="000000"/>
                <w:sz w:val="24"/>
                <w:szCs w:val="24"/>
                <w:highlight w:val="none"/>
                <w:lang w:val="en-US" w:eastAsia="zh-CN"/>
              </w:rPr>
            </w:pPr>
            <w:r>
              <w:rPr>
                <w:rFonts w:hint="default" w:cs="宋体" w:asciiTheme="majorEastAsia" w:hAnsiTheme="majorEastAsia" w:eastAsiaTheme="majorEastAsia"/>
                <w:color w:val="000000"/>
                <w:sz w:val="24"/>
                <w:szCs w:val="24"/>
                <w:highlight w:val="none"/>
                <w:lang w:val="en-US" w:eastAsia="zh-CN"/>
              </w:rPr>
              <w:t>具备医学检验、临床医学相关高级职称人员专业人员：每提供一名人员得</w:t>
            </w:r>
            <w:r>
              <w:rPr>
                <w:rFonts w:hint="eastAsia" w:cs="宋体" w:asciiTheme="majorEastAsia" w:hAnsiTheme="majorEastAsia" w:eastAsiaTheme="majorEastAsia"/>
                <w:color w:val="000000"/>
                <w:sz w:val="24"/>
                <w:szCs w:val="24"/>
                <w:highlight w:val="none"/>
                <w:lang w:val="en-US" w:eastAsia="zh-CN"/>
              </w:rPr>
              <w:t>1</w:t>
            </w:r>
            <w:r>
              <w:rPr>
                <w:rFonts w:hint="default" w:cs="宋体" w:asciiTheme="majorEastAsia" w:hAnsiTheme="majorEastAsia" w:eastAsiaTheme="majorEastAsia"/>
                <w:color w:val="000000"/>
                <w:sz w:val="24"/>
                <w:szCs w:val="24"/>
                <w:highlight w:val="none"/>
                <w:lang w:val="en-US" w:eastAsia="zh-CN"/>
              </w:rPr>
              <w:t>分，本单项最高得</w:t>
            </w:r>
            <w:r>
              <w:rPr>
                <w:rFonts w:hint="eastAsia" w:cs="宋体" w:asciiTheme="majorEastAsia" w:hAnsiTheme="majorEastAsia" w:eastAsiaTheme="majorEastAsia"/>
                <w:color w:val="000000"/>
                <w:sz w:val="24"/>
                <w:szCs w:val="24"/>
                <w:highlight w:val="none"/>
                <w:lang w:val="en-US" w:eastAsia="zh-CN"/>
              </w:rPr>
              <w:t>4</w:t>
            </w:r>
            <w:r>
              <w:rPr>
                <w:rFonts w:hint="default" w:cs="宋体" w:asciiTheme="majorEastAsia" w:hAnsiTheme="majorEastAsia" w:eastAsiaTheme="majorEastAsia"/>
                <w:color w:val="000000"/>
                <w:sz w:val="24"/>
                <w:szCs w:val="24"/>
                <w:highlight w:val="none"/>
                <w:lang w:val="en-US" w:eastAsia="zh-CN"/>
              </w:rPr>
              <w:t xml:space="preserve">分。  </w:t>
            </w:r>
          </w:p>
          <w:p w14:paraId="6C1C243F">
            <w:pPr>
              <w:numPr>
                <w:ilvl w:val="0"/>
                <w:numId w:val="1"/>
              </w:numPr>
              <w:spacing w:line="360" w:lineRule="auto"/>
              <w:ind w:left="0" w:leftChars="0" w:firstLine="0" w:firstLineChars="0"/>
              <w:rPr>
                <w:rFonts w:hint="default" w:cs="宋体" w:asciiTheme="majorEastAsia" w:hAnsiTheme="majorEastAsia" w:eastAsiaTheme="majorEastAsia"/>
                <w:color w:val="000000"/>
                <w:sz w:val="24"/>
                <w:szCs w:val="24"/>
                <w:highlight w:val="none"/>
                <w:lang w:val="en-US" w:eastAsia="zh-CN"/>
              </w:rPr>
            </w:pPr>
            <w:r>
              <w:rPr>
                <w:rFonts w:hint="default" w:cs="宋体" w:asciiTheme="majorEastAsia" w:hAnsiTheme="majorEastAsia" w:eastAsiaTheme="majorEastAsia"/>
                <w:color w:val="000000"/>
                <w:sz w:val="24"/>
                <w:szCs w:val="24"/>
                <w:highlight w:val="none"/>
                <w:lang w:val="en-US" w:eastAsia="zh-CN"/>
              </w:rPr>
              <w:t>具备医学检验、临床医学相关中级职称人员：每提供一名人员得</w:t>
            </w:r>
            <w:r>
              <w:rPr>
                <w:rFonts w:hint="eastAsia" w:cs="宋体" w:asciiTheme="majorEastAsia" w:hAnsiTheme="majorEastAsia" w:eastAsiaTheme="majorEastAsia"/>
                <w:color w:val="000000"/>
                <w:sz w:val="24"/>
                <w:szCs w:val="24"/>
                <w:highlight w:val="none"/>
                <w:lang w:val="en-US" w:eastAsia="zh-CN"/>
              </w:rPr>
              <w:t>1</w:t>
            </w:r>
            <w:r>
              <w:rPr>
                <w:rFonts w:hint="default" w:cs="宋体" w:asciiTheme="majorEastAsia" w:hAnsiTheme="majorEastAsia" w:eastAsiaTheme="majorEastAsia"/>
                <w:color w:val="000000"/>
                <w:sz w:val="24"/>
                <w:szCs w:val="24"/>
                <w:highlight w:val="none"/>
                <w:lang w:val="en-US" w:eastAsia="zh-CN"/>
              </w:rPr>
              <w:t>分，本单项最高得</w:t>
            </w:r>
            <w:r>
              <w:rPr>
                <w:rFonts w:hint="eastAsia" w:cs="宋体" w:asciiTheme="majorEastAsia" w:hAnsiTheme="majorEastAsia" w:eastAsiaTheme="majorEastAsia"/>
                <w:color w:val="000000"/>
                <w:sz w:val="24"/>
                <w:szCs w:val="24"/>
                <w:highlight w:val="none"/>
                <w:lang w:val="en-US" w:eastAsia="zh-CN"/>
              </w:rPr>
              <w:t>6</w:t>
            </w:r>
            <w:r>
              <w:rPr>
                <w:rFonts w:hint="default" w:cs="宋体" w:asciiTheme="majorEastAsia" w:hAnsiTheme="majorEastAsia" w:eastAsiaTheme="majorEastAsia"/>
                <w:color w:val="000000"/>
                <w:sz w:val="24"/>
                <w:szCs w:val="24"/>
                <w:highlight w:val="none"/>
                <w:lang w:val="en-US" w:eastAsia="zh-CN"/>
              </w:rPr>
              <w:t xml:space="preserve">分。 </w:t>
            </w:r>
          </w:p>
          <w:p w14:paraId="64BBB371">
            <w:pPr>
              <w:numPr>
                <w:ilvl w:val="0"/>
                <w:numId w:val="0"/>
              </w:numPr>
              <w:spacing w:line="360" w:lineRule="auto"/>
              <w:ind w:leftChars="0"/>
              <w:rPr>
                <w:rFonts w:hint="default" w:eastAsiaTheme="majorEastAsia"/>
                <w:color w:val="000000"/>
                <w:highlight w:val="none"/>
                <w:lang w:val="en-US" w:eastAsia="zh-CN"/>
              </w:rPr>
            </w:pPr>
            <w:r>
              <w:rPr>
                <w:rFonts w:hint="default" w:cs="宋体" w:asciiTheme="majorEastAsia" w:hAnsiTheme="majorEastAsia" w:eastAsiaTheme="majorEastAsia"/>
                <w:color w:val="000000"/>
                <w:sz w:val="24"/>
                <w:szCs w:val="24"/>
                <w:highlight w:val="none"/>
                <w:lang w:val="en-US" w:eastAsia="zh-CN"/>
              </w:rPr>
              <w:t>注：同一人具备多个专业证书按最高资质计算且不得重复计算。以人员证书以及在本项目投标截止时间前任意1个月的</w:t>
            </w:r>
            <w:r>
              <w:rPr>
                <w:rFonts w:hint="eastAsia" w:cs="宋体" w:asciiTheme="majorEastAsia" w:hAnsiTheme="majorEastAsia" w:eastAsiaTheme="majorEastAsia"/>
                <w:color w:val="000000"/>
                <w:sz w:val="24"/>
                <w:szCs w:val="24"/>
                <w:highlight w:val="none"/>
                <w:lang w:val="en-US" w:eastAsia="zh-CN"/>
              </w:rPr>
              <w:t>社保证明</w:t>
            </w:r>
            <w:r>
              <w:rPr>
                <w:rFonts w:hint="default" w:cs="宋体" w:asciiTheme="majorEastAsia" w:hAnsiTheme="majorEastAsia" w:eastAsiaTheme="majorEastAsia"/>
                <w:color w:val="000000"/>
                <w:sz w:val="24"/>
                <w:szCs w:val="24"/>
                <w:highlight w:val="none"/>
                <w:lang w:val="en-US" w:eastAsia="zh-CN"/>
              </w:rPr>
              <w:t>，或单位代缴个人所得税税单复印件作为评分依据。</w:t>
            </w:r>
          </w:p>
        </w:tc>
      </w:tr>
      <w:tr w14:paraId="2446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13"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1000CF1C">
            <w:pPr>
              <w:spacing w:line="360" w:lineRule="auto"/>
              <w:ind w:firstLine="235" w:firstLineChars="98"/>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8</w:t>
            </w:r>
          </w:p>
        </w:tc>
        <w:tc>
          <w:tcPr>
            <w:tcW w:w="1372"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5ABE9904">
            <w:pPr>
              <w:spacing w:line="360" w:lineRule="auto"/>
              <w:jc w:val="center"/>
              <w:rPr>
                <w:rFonts w:hint="eastAsia" w:ascii="宋体" w:hAnsi="宋体" w:eastAsia="宋体" w:cs="宋体"/>
                <w:color w:val="000000"/>
                <w:sz w:val="24"/>
                <w:szCs w:val="24"/>
                <w:highlight w:val="none"/>
                <w:lang w:eastAsia="zh-CN"/>
              </w:rPr>
            </w:pPr>
            <w:r>
              <w:rPr>
                <w:rFonts w:hint="eastAsia" w:cs="宋体" w:asciiTheme="majorEastAsia" w:hAnsiTheme="majorEastAsia" w:eastAsiaTheme="majorEastAsia"/>
                <w:color w:val="000000"/>
                <w:sz w:val="24"/>
                <w:szCs w:val="24"/>
                <w:highlight w:val="none"/>
              </w:rPr>
              <w:t>业绩情况</w:t>
            </w:r>
          </w:p>
        </w:tc>
        <w:tc>
          <w:tcPr>
            <w:tcW w:w="945"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72523886">
            <w:pPr>
              <w:spacing w:line="360" w:lineRule="auto"/>
              <w:jc w:val="center"/>
              <w:rPr>
                <w:rFonts w:hint="eastAsia" w:ascii="宋体" w:hAnsi="宋体" w:cs="宋体"/>
                <w:color w:val="000000"/>
                <w:sz w:val="24"/>
                <w:szCs w:val="24"/>
                <w:highlight w:val="none"/>
                <w:lang w:val="en-US" w:eastAsia="zh-CN" w:bidi="ar"/>
              </w:rPr>
            </w:pPr>
            <w:r>
              <w:rPr>
                <w:rFonts w:cs="宋体" w:asciiTheme="majorEastAsia" w:hAnsiTheme="majorEastAsia" w:eastAsiaTheme="majorEastAsia"/>
                <w:color w:val="000000"/>
                <w:sz w:val="24"/>
                <w:szCs w:val="24"/>
                <w:highlight w:val="none"/>
              </w:rPr>
              <w:t>5</w:t>
            </w:r>
            <w:r>
              <w:rPr>
                <w:rFonts w:hint="eastAsia" w:cs="宋体" w:asciiTheme="majorEastAsia" w:hAnsiTheme="majorEastAsia" w:eastAsiaTheme="majorEastAsia"/>
                <w:color w:val="000000"/>
                <w:sz w:val="24"/>
                <w:szCs w:val="24"/>
                <w:highlight w:val="none"/>
              </w:rPr>
              <w:t>分</w:t>
            </w:r>
          </w:p>
        </w:tc>
        <w:tc>
          <w:tcPr>
            <w:tcW w:w="583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31908C57">
            <w:pPr>
              <w:pStyle w:val="17"/>
              <w:spacing w:line="360" w:lineRule="auto"/>
              <w:rPr>
                <w:rFonts w:asciiTheme="majorEastAsia" w:hAnsiTheme="majorEastAsia" w:eastAsiaTheme="majorEastAsia"/>
                <w:color w:val="000000"/>
                <w:sz w:val="24"/>
                <w:szCs w:val="36"/>
                <w:highlight w:val="none"/>
              </w:rPr>
            </w:pPr>
            <w:r>
              <w:rPr>
                <w:rFonts w:hint="eastAsia" w:asciiTheme="majorEastAsia" w:hAnsiTheme="majorEastAsia" w:eastAsiaTheme="majorEastAsia"/>
                <w:color w:val="000000"/>
                <w:sz w:val="24"/>
                <w:szCs w:val="36"/>
                <w:highlight w:val="none"/>
                <w:lang w:eastAsia="zh-CN"/>
              </w:rPr>
              <w:t>供应商</w:t>
            </w:r>
            <w:r>
              <w:rPr>
                <w:rFonts w:hint="eastAsia" w:asciiTheme="majorEastAsia" w:hAnsiTheme="majorEastAsia" w:eastAsiaTheme="majorEastAsia"/>
                <w:color w:val="000000"/>
                <w:sz w:val="24"/>
                <w:szCs w:val="36"/>
                <w:highlight w:val="none"/>
              </w:rPr>
              <w:t>有1个和本项目相关的类似业绩得基础分1分，每增加一个加2分，满分5分。</w:t>
            </w:r>
          </w:p>
          <w:p w14:paraId="2CBFE932">
            <w:pPr>
              <w:spacing w:line="360" w:lineRule="auto"/>
              <w:rPr>
                <w:rFonts w:hint="eastAsia" w:ascii="宋体" w:hAnsi="宋体" w:cs="Times New Roman" w:eastAsiaTheme="majorEastAsia"/>
                <w:color w:val="000000"/>
                <w:kern w:val="2"/>
                <w:sz w:val="24"/>
                <w:highlight w:val="none"/>
                <w:lang w:val="en-US" w:eastAsia="zh-CN" w:bidi="ar-SA"/>
              </w:rPr>
            </w:pPr>
            <w:r>
              <w:rPr>
                <w:rFonts w:hint="eastAsia" w:cs="宋体" w:asciiTheme="majorEastAsia" w:hAnsiTheme="majorEastAsia" w:eastAsiaTheme="majorEastAsia"/>
                <w:color w:val="000000"/>
                <w:sz w:val="24"/>
                <w:szCs w:val="24"/>
                <w:highlight w:val="none"/>
              </w:rPr>
              <w:t>注：类似业绩指</w:t>
            </w:r>
            <w:r>
              <w:rPr>
                <w:rFonts w:hint="eastAsia" w:cs="宋体" w:asciiTheme="majorEastAsia" w:hAnsiTheme="majorEastAsia" w:eastAsiaTheme="majorEastAsia"/>
                <w:color w:val="000000"/>
                <w:sz w:val="24"/>
                <w:highlight w:val="none"/>
              </w:rPr>
              <w:t>审计</w:t>
            </w:r>
            <w:r>
              <w:rPr>
                <w:rFonts w:hint="eastAsia" w:cs="宋体" w:asciiTheme="majorEastAsia" w:hAnsiTheme="majorEastAsia" w:eastAsiaTheme="majorEastAsia"/>
                <w:color w:val="000000"/>
                <w:sz w:val="24"/>
                <w:szCs w:val="24"/>
                <w:highlight w:val="none"/>
              </w:rPr>
              <w:t>项目</w:t>
            </w:r>
            <w:r>
              <w:rPr>
                <w:rFonts w:hint="eastAsia" w:cs="宋体" w:asciiTheme="majorEastAsia" w:hAnsiTheme="majorEastAsia" w:eastAsiaTheme="majorEastAsia"/>
                <w:color w:val="000000"/>
                <w:sz w:val="24"/>
                <w:szCs w:val="24"/>
                <w:highlight w:val="none"/>
                <w:lang w:val="en-US" w:eastAsia="zh-CN"/>
              </w:rPr>
              <w:t>业绩</w:t>
            </w:r>
            <w:r>
              <w:rPr>
                <w:rFonts w:hint="eastAsia" w:cs="宋体" w:asciiTheme="majorEastAsia" w:hAnsiTheme="majorEastAsia" w:eastAsiaTheme="majorEastAsia"/>
                <w:color w:val="000000"/>
                <w:sz w:val="24"/>
                <w:szCs w:val="24"/>
                <w:highlight w:val="none"/>
              </w:rPr>
              <w:t>。</w:t>
            </w:r>
            <w:r>
              <w:rPr>
                <w:rFonts w:hint="eastAsia" w:cs="宋体" w:asciiTheme="majorEastAsia" w:hAnsiTheme="majorEastAsia" w:eastAsiaTheme="majorEastAsia"/>
                <w:color w:val="000000"/>
                <w:sz w:val="24"/>
                <w:szCs w:val="24"/>
                <w:highlight w:val="none"/>
                <w:lang w:eastAsia="zh-CN"/>
              </w:rPr>
              <w:t>（</w:t>
            </w:r>
            <w:r>
              <w:rPr>
                <w:rFonts w:hint="eastAsia" w:cs="宋体" w:asciiTheme="majorEastAsia" w:hAnsiTheme="majorEastAsia" w:eastAsiaTheme="majorEastAsia"/>
                <w:color w:val="000000"/>
                <w:sz w:val="24"/>
                <w:szCs w:val="24"/>
                <w:highlight w:val="none"/>
                <w:lang w:val="en-US" w:eastAsia="zh-CN"/>
              </w:rPr>
              <w:t>提供合同协议书或中标通知书或业主证明材料原件扫描件加盖公章</w:t>
            </w:r>
            <w:r>
              <w:rPr>
                <w:rFonts w:hint="eastAsia" w:cs="宋体" w:asciiTheme="majorEastAsia" w:hAnsiTheme="majorEastAsia" w:eastAsiaTheme="majorEastAsia"/>
                <w:color w:val="000000"/>
                <w:sz w:val="24"/>
                <w:szCs w:val="24"/>
                <w:highlight w:val="none"/>
                <w:lang w:eastAsia="zh-CN"/>
              </w:rPr>
              <w:t>）</w:t>
            </w:r>
          </w:p>
        </w:tc>
      </w:tr>
      <w:tr w14:paraId="71D8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13"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6C7D3C6F">
            <w:pPr>
              <w:tabs>
                <w:tab w:val="left" w:pos="875"/>
              </w:tabs>
              <w:spacing w:line="360" w:lineRule="auto"/>
              <w:jc w:val="center"/>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9</w:t>
            </w:r>
          </w:p>
        </w:tc>
        <w:tc>
          <w:tcPr>
            <w:tcW w:w="1372"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54E7F384">
            <w:pPr>
              <w:tabs>
                <w:tab w:val="left" w:pos="875"/>
              </w:tabs>
              <w:spacing w:line="360" w:lineRule="auto"/>
              <w:jc w:val="center"/>
              <w:rPr>
                <w:rFonts w:hint="eastAsia" w:cs="宋体" w:asciiTheme="majorEastAsia" w:hAnsiTheme="majorEastAsia" w:eastAsiaTheme="majorEastAsia"/>
                <w:color w:val="000000"/>
                <w:sz w:val="24"/>
                <w:szCs w:val="24"/>
                <w:highlight w:val="none"/>
                <w:lang w:val="en-US" w:eastAsia="zh-CN"/>
              </w:rPr>
            </w:pPr>
            <w:r>
              <w:rPr>
                <w:rFonts w:hint="default" w:cs="宋体" w:asciiTheme="majorEastAsia" w:hAnsiTheme="majorEastAsia" w:eastAsiaTheme="majorEastAsia"/>
                <w:color w:val="000000"/>
                <w:sz w:val="24"/>
                <w:szCs w:val="24"/>
                <w:highlight w:val="none"/>
                <w:lang w:val="en-US" w:eastAsia="zh-CN"/>
              </w:rPr>
              <w:t>售后服务方案</w:t>
            </w:r>
          </w:p>
        </w:tc>
        <w:tc>
          <w:tcPr>
            <w:tcW w:w="945"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12752D28">
            <w:pPr>
              <w:tabs>
                <w:tab w:val="left" w:pos="875"/>
              </w:tabs>
              <w:spacing w:line="360" w:lineRule="auto"/>
              <w:jc w:val="center"/>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5分</w:t>
            </w:r>
          </w:p>
        </w:tc>
        <w:tc>
          <w:tcPr>
            <w:tcW w:w="583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14:paraId="12B40596">
            <w:pPr>
              <w:tabs>
                <w:tab w:val="left" w:pos="875"/>
              </w:tabs>
              <w:spacing w:line="360" w:lineRule="auto"/>
              <w:rPr>
                <w:rFonts w:hint="default" w:cs="宋体" w:asciiTheme="majorEastAsia" w:hAnsiTheme="majorEastAsia" w:eastAsiaTheme="majorEastAsia"/>
                <w:color w:val="000000"/>
                <w:sz w:val="24"/>
                <w:szCs w:val="24"/>
                <w:highlight w:val="none"/>
                <w:lang w:val="en-US" w:eastAsia="zh-CN"/>
              </w:rPr>
            </w:pPr>
            <w:r>
              <w:rPr>
                <w:rFonts w:hint="default" w:cs="宋体" w:asciiTheme="majorEastAsia" w:hAnsiTheme="majorEastAsia" w:eastAsiaTheme="majorEastAsia"/>
                <w:color w:val="000000"/>
                <w:sz w:val="24"/>
                <w:szCs w:val="24"/>
                <w:highlight w:val="none"/>
                <w:lang w:val="en-US" w:eastAsia="zh-CN"/>
              </w:rPr>
              <w:t>根据</w:t>
            </w:r>
            <w:r>
              <w:rPr>
                <w:rFonts w:hint="eastAsia" w:cs="宋体" w:asciiTheme="majorEastAsia" w:hAnsiTheme="majorEastAsia" w:eastAsiaTheme="majorEastAsia"/>
                <w:color w:val="000000"/>
                <w:sz w:val="24"/>
                <w:szCs w:val="24"/>
                <w:highlight w:val="none"/>
                <w:lang w:val="en-US" w:eastAsia="zh-CN"/>
              </w:rPr>
              <w:t>供应商</w:t>
            </w:r>
            <w:r>
              <w:rPr>
                <w:rFonts w:hint="default" w:cs="宋体" w:asciiTheme="majorEastAsia" w:hAnsiTheme="majorEastAsia" w:eastAsiaTheme="majorEastAsia"/>
                <w:color w:val="000000"/>
                <w:sz w:val="24"/>
                <w:szCs w:val="24"/>
                <w:highlight w:val="none"/>
                <w:lang w:val="en-US" w:eastAsia="zh-CN"/>
              </w:rPr>
              <w:t xml:space="preserve">提供的售后服务承诺方案，售后服务计划及方案是否合理、是否有针对项目制定完善、可靠的售后服务方案进行综合评审： </w:t>
            </w:r>
          </w:p>
          <w:p w14:paraId="28453115">
            <w:pPr>
              <w:tabs>
                <w:tab w:val="left" w:pos="875"/>
              </w:tabs>
              <w:spacing w:line="360" w:lineRule="auto"/>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第一档：供应商</w:t>
            </w:r>
            <w:r>
              <w:rPr>
                <w:rFonts w:hint="default" w:cs="宋体" w:asciiTheme="majorEastAsia" w:hAnsiTheme="majorEastAsia" w:eastAsiaTheme="majorEastAsia"/>
                <w:color w:val="000000"/>
                <w:sz w:val="24"/>
                <w:szCs w:val="24"/>
                <w:highlight w:val="none"/>
                <w:lang w:val="en-US" w:eastAsia="zh-CN"/>
              </w:rPr>
              <w:t>售后服务方案完整，实施方法可行，得</w:t>
            </w:r>
            <w:r>
              <w:rPr>
                <w:rFonts w:hint="eastAsia" w:cs="宋体" w:asciiTheme="majorEastAsia" w:hAnsiTheme="majorEastAsia" w:eastAsiaTheme="majorEastAsia"/>
                <w:color w:val="000000"/>
                <w:sz w:val="24"/>
                <w:szCs w:val="24"/>
                <w:highlight w:val="none"/>
                <w:lang w:val="en-US" w:eastAsia="zh-CN"/>
              </w:rPr>
              <w:t>5</w:t>
            </w:r>
            <w:r>
              <w:rPr>
                <w:rFonts w:hint="default" w:cs="宋体" w:asciiTheme="majorEastAsia" w:hAnsiTheme="majorEastAsia" w:eastAsiaTheme="majorEastAsia"/>
                <w:color w:val="000000"/>
                <w:sz w:val="24"/>
                <w:szCs w:val="24"/>
                <w:highlight w:val="none"/>
                <w:lang w:val="en-US" w:eastAsia="zh-CN"/>
              </w:rPr>
              <w:t xml:space="preserve">分； </w:t>
            </w:r>
          </w:p>
          <w:p w14:paraId="1A8D6B19">
            <w:pPr>
              <w:tabs>
                <w:tab w:val="left" w:pos="875"/>
              </w:tabs>
              <w:spacing w:line="360" w:lineRule="auto"/>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第二档：供应商</w:t>
            </w:r>
            <w:r>
              <w:rPr>
                <w:rFonts w:hint="default" w:cs="宋体" w:asciiTheme="majorEastAsia" w:hAnsiTheme="majorEastAsia" w:eastAsiaTheme="majorEastAsia"/>
                <w:color w:val="000000"/>
                <w:sz w:val="24"/>
                <w:szCs w:val="24"/>
                <w:highlight w:val="none"/>
                <w:lang w:val="en-US" w:eastAsia="zh-CN"/>
              </w:rPr>
              <w:t>售后服务方案比较完整，实施方法比较可行，得</w:t>
            </w:r>
            <w:r>
              <w:rPr>
                <w:rFonts w:hint="eastAsia" w:cs="宋体" w:asciiTheme="majorEastAsia" w:hAnsiTheme="majorEastAsia" w:eastAsiaTheme="majorEastAsia"/>
                <w:color w:val="000000"/>
                <w:sz w:val="24"/>
                <w:szCs w:val="24"/>
                <w:highlight w:val="none"/>
                <w:lang w:val="en-US" w:eastAsia="zh-CN"/>
              </w:rPr>
              <w:t>4</w:t>
            </w:r>
            <w:r>
              <w:rPr>
                <w:rFonts w:hint="default" w:cs="宋体" w:asciiTheme="majorEastAsia" w:hAnsiTheme="majorEastAsia" w:eastAsiaTheme="majorEastAsia"/>
                <w:color w:val="000000"/>
                <w:sz w:val="24"/>
                <w:szCs w:val="24"/>
                <w:highlight w:val="none"/>
                <w:lang w:val="en-US" w:eastAsia="zh-CN"/>
              </w:rPr>
              <w:t xml:space="preserve">分； </w:t>
            </w:r>
          </w:p>
          <w:p w14:paraId="4EAC19A7">
            <w:pPr>
              <w:tabs>
                <w:tab w:val="left" w:pos="875"/>
              </w:tabs>
              <w:spacing w:line="360" w:lineRule="auto"/>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第三档：供应商</w:t>
            </w:r>
            <w:r>
              <w:rPr>
                <w:rFonts w:hint="default" w:cs="宋体" w:asciiTheme="majorEastAsia" w:hAnsiTheme="majorEastAsia" w:eastAsiaTheme="majorEastAsia"/>
                <w:color w:val="000000"/>
                <w:sz w:val="24"/>
                <w:szCs w:val="24"/>
                <w:highlight w:val="none"/>
                <w:lang w:val="en-US" w:eastAsia="zh-CN"/>
              </w:rPr>
              <w:t>售后服务方案基本完整，实施方法基本可行，得</w:t>
            </w:r>
            <w:r>
              <w:rPr>
                <w:rFonts w:hint="eastAsia" w:cs="宋体" w:asciiTheme="majorEastAsia" w:hAnsiTheme="majorEastAsia" w:eastAsiaTheme="majorEastAsia"/>
                <w:color w:val="000000"/>
                <w:sz w:val="24"/>
                <w:szCs w:val="24"/>
                <w:highlight w:val="none"/>
                <w:lang w:val="en-US" w:eastAsia="zh-CN"/>
              </w:rPr>
              <w:t>3</w:t>
            </w:r>
            <w:r>
              <w:rPr>
                <w:rFonts w:hint="default" w:cs="宋体" w:asciiTheme="majorEastAsia" w:hAnsiTheme="majorEastAsia" w:eastAsiaTheme="majorEastAsia"/>
                <w:color w:val="000000"/>
                <w:sz w:val="24"/>
                <w:szCs w:val="24"/>
                <w:highlight w:val="none"/>
                <w:lang w:val="en-US" w:eastAsia="zh-CN"/>
              </w:rPr>
              <w:t xml:space="preserve">分；  </w:t>
            </w:r>
          </w:p>
          <w:p w14:paraId="48FD8050">
            <w:pPr>
              <w:tabs>
                <w:tab w:val="left" w:pos="875"/>
              </w:tabs>
              <w:spacing w:line="360" w:lineRule="auto"/>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第四档：供应商</w:t>
            </w:r>
            <w:r>
              <w:rPr>
                <w:rFonts w:hint="default" w:cs="宋体" w:asciiTheme="majorEastAsia" w:hAnsiTheme="majorEastAsia" w:eastAsiaTheme="majorEastAsia"/>
                <w:color w:val="000000"/>
                <w:sz w:val="24"/>
                <w:szCs w:val="24"/>
                <w:highlight w:val="none"/>
                <w:lang w:val="en-US" w:eastAsia="zh-CN"/>
              </w:rPr>
              <w:t>售后服务方案不完整，实施方法不当，得</w:t>
            </w:r>
            <w:r>
              <w:rPr>
                <w:rFonts w:hint="eastAsia" w:cs="宋体" w:asciiTheme="majorEastAsia" w:hAnsiTheme="majorEastAsia" w:eastAsiaTheme="majorEastAsia"/>
                <w:color w:val="000000"/>
                <w:sz w:val="24"/>
                <w:szCs w:val="24"/>
                <w:highlight w:val="none"/>
                <w:lang w:val="en-US" w:eastAsia="zh-CN"/>
              </w:rPr>
              <w:t>2</w:t>
            </w:r>
            <w:r>
              <w:rPr>
                <w:rFonts w:hint="default" w:cs="宋体" w:asciiTheme="majorEastAsia" w:hAnsiTheme="majorEastAsia" w:eastAsiaTheme="majorEastAsia"/>
                <w:color w:val="000000"/>
                <w:sz w:val="24"/>
                <w:szCs w:val="24"/>
                <w:highlight w:val="none"/>
                <w:lang w:val="en-US" w:eastAsia="zh-CN"/>
              </w:rPr>
              <w:t>分；</w:t>
            </w:r>
          </w:p>
          <w:p w14:paraId="3750A01C">
            <w:pPr>
              <w:tabs>
                <w:tab w:val="left" w:pos="875"/>
              </w:tabs>
              <w:spacing w:line="360" w:lineRule="auto"/>
              <w:rPr>
                <w:rFonts w:hint="default" w:cs="宋体" w:asciiTheme="majorEastAsia" w:hAnsiTheme="majorEastAsia" w:eastAsiaTheme="majorEastAsia"/>
                <w:color w:val="000000"/>
                <w:sz w:val="24"/>
                <w:szCs w:val="24"/>
                <w:highlight w:val="none"/>
                <w:lang w:val="en-US" w:eastAsia="zh-CN"/>
              </w:rPr>
            </w:pPr>
            <w:r>
              <w:rPr>
                <w:rFonts w:hint="eastAsia" w:cs="宋体" w:asciiTheme="majorEastAsia" w:hAnsiTheme="majorEastAsia" w:eastAsiaTheme="majorEastAsia"/>
                <w:color w:val="000000"/>
                <w:sz w:val="24"/>
                <w:szCs w:val="24"/>
                <w:highlight w:val="none"/>
                <w:lang w:val="en-US" w:eastAsia="zh-CN"/>
              </w:rPr>
              <w:t>第五档：</w:t>
            </w:r>
            <w:r>
              <w:rPr>
                <w:rFonts w:hint="default" w:cs="宋体" w:asciiTheme="majorEastAsia" w:hAnsiTheme="majorEastAsia" w:eastAsiaTheme="majorEastAsia"/>
                <w:color w:val="000000"/>
                <w:sz w:val="24"/>
                <w:szCs w:val="24"/>
                <w:highlight w:val="none"/>
                <w:lang w:val="en-US" w:eastAsia="zh-CN"/>
              </w:rPr>
              <w:t>无提供售后服务方案，得0分。</w:t>
            </w:r>
          </w:p>
        </w:tc>
      </w:tr>
    </w:tbl>
    <w:p w14:paraId="70363FC1">
      <w:pPr>
        <w:spacing w:line="360" w:lineRule="auto"/>
        <w:ind w:firstLine="472" w:firstLineChars="225"/>
        <w:rPr>
          <w:rFonts w:hint="eastAsia" w:ascii="宋体" w:hAnsi="宋体" w:eastAsia="宋体" w:cs="宋体"/>
          <w:color w:val="auto"/>
          <w:highlight w:val="none"/>
        </w:rPr>
        <w:sectPr>
          <w:pgSz w:w="11905" w:h="16838"/>
          <w:pgMar w:top="1383" w:right="1366" w:bottom="1383" w:left="1366" w:header="907" w:footer="737" w:gutter="0"/>
          <w:pgBorders>
            <w:top w:val="none" w:sz="0" w:space="0"/>
            <w:left w:val="none" w:sz="0" w:space="0"/>
            <w:bottom w:val="single" w:color="auto" w:sz="4" w:space="1"/>
            <w:right w:val="none" w:sz="0" w:space="0"/>
          </w:pgBorders>
          <w:pgNumType w:fmt="decimal"/>
          <w:cols w:space="0" w:num="1"/>
          <w:rtlGutter w:val="0"/>
          <w:docGrid w:type="lines" w:linePitch="320" w:charSpace="0"/>
        </w:sectPr>
      </w:pPr>
    </w:p>
    <w:p w14:paraId="1ADEFCEE">
      <w:pPr>
        <w:pStyle w:val="2"/>
        <w:rPr>
          <w:rFonts w:hint="eastAsia" w:ascii="宋体" w:hAnsi="宋体" w:eastAsia="宋体" w:cs="宋体"/>
          <w:color w:val="auto"/>
          <w:highlight w:val="none"/>
        </w:rPr>
      </w:pPr>
      <w:bookmarkStart w:id="98" w:name="_Toc484211534"/>
      <w:bookmarkStart w:id="99" w:name="_Toc12121"/>
      <w:r>
        <w:rPr>
          <w:rFonts w:hint="eastAsia" w:ascii="宋体" w:hAnsi="宋体" w:eastAsia="宋体" w:cs="宋体"/>
          <w:color w:val="auto"/>
          <w:highlight w:val="none"/>
        </w:rPr>
        <w:t>第四章 合同条款及格式</w:t>
      </w:r>
      <w:bookmarkEnd w:id="98"/>
      <w:bookmarkEnd w:id="99"/>
    </w:p>
    <w:p w14:paraId="71B57682">
      <w:pPr>
        <w:rPr>
          <w:rFonts w:hint="eastAsia"/>
          <w:color w:val="auto"/>
          <w:highlight w:val="none"/>
        </w:rPr>
      </w:pPr>
    </w:p>
    <w:p w14:paraId="3F0A2F96">
      <w:pPr>
        <w:jc w:val="center"/>
        <w:rPr>
          <w:rFonts w:hint="eastAsia" w:ascii="宋体" w:hAnsi="宋体" w:eastAsia="宋体" w:cs="宋体"/>
          <w:color w:val="auto"/>
          <w:sz w:val="28"/>
          <w:szCs w:val="28"/>
          <w:highlight w:val="none"/>
          <w:lang w:eastAsia="zh-CN"/>
        </w:rPr>
      </w:pPr>
      <w:bookmarkStart w:id="100" w:name="_Toc484211538"/>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以双方最终签订为准</w:t>
      </w:r>
      <w:r>
        <w:rPr>
          <w:rFonts w:hint="eastAsia" w:ascii="宋体" w:hAnsi="宋体" w:cs="宋体"/>
          <w:color w:val="auto"/>
          <w:sz w:val="28"/>
          <w:szCs w:val="28"/>
          <w:highlight w:val="none"/>
          <w:lang w:eastAsia="zh-CN"/>
        </w:rPr>
        <w:t>）</w:t>
      </w:r>
    </w:p>
    <w:p w14:paraId="5AD3D734">
      <w:pPr>
        <w:pStyle w:val="2"/>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bookmarkStart w:id="101" w:name="_Toc4829"/>
      <w:r>
        <w:rPr>
          <w:rFonts w:hint="eastAsia" w:ascii="宋体" w:hAnsi="宋体" w:eastAsia="宋体" w:cs="宋体"/>
          <w:color w:val="auto"/>
          <w:highlight w:val="none"/>
        </w:rPr>
        <w:t>第五章</w:t>
      </w:r>
      <w:bookmarkEnd w:id="100"/>
      <w:r>
        <w:rPr>
          <w:rFonts w:hint="eastAsia" w:ascii="宋体" w:hAnsi="宋体" w:eastAsia="宋体" w:cs="宋体"/>
          <w:color w:val="auto"/>
          <w:highlight w:val="none"/>
          <w:lang w:eastAsia="zh-CN"/>
        </w:rPr>
        <w:t>采购需求</w:t>
      </w:r>
      <w:bookmarkEnd w:id="101"/>
    </w:p>
    <w:p w14:paraId="157DC2FB">
      <w:pPr>
        <w:pStyle w:val="13"/>
        <w:rPr>
          <w:rFonts w:hint="eastAsia" w:ascii="宋体" w:hAnsi="宋体" w:eastAsia="宋体" w:cs="宋体"/>
          <w:color w:val="auto"/>
          <w:highlight w:val="none"/>
        </w:rPr>
      </w:pPr>
    </w:p>
    <w:p w14:paraId="6CB6338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lang w:val="en-US"/>
        </w:rPr>
      </w:pPr>
      <w:bookmarkStart w:id="102" w:name="_Toc484211541"/>
      <w:r>
        <w:rPr>
          <w:rFonts w:hint="eastAsia" w:ascii="宋体" w:hAnsi="宋体" w:cs="宋体"/>
          <w:i w:val="0"/>
          <w:iCs w:val="0"/>
          <w:color w:val="auto"/>
          <w:sz w:val="24"/>
          <w:szCs w:val="24"/>
          <w:highlight w:val="none"/>
          <w:lang w:val="en-US" w:eastAsia="zh-CN"/>
        </w:rPr>
        <w:t>一</w:t>
      </w:r>
      <w:r>
        <w:rPr>
          <w:rFonts w:hint="eastAsia" w:ascii="宋体" w:hAnsi="宋体" w:eastAsia="宋体" w:cs="宋体"/>
          <w:color w:val="auto"/>
          <w:sz w:val="24"/>
          <w:highlight w:val="none"/>
        </w:rPr>
        <w:t>、</w:t>
      </w: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eastAsia="zh-CN"/>
        </w:rPr>
        <w:t>GDZB-YXTP2024-001</w:t>
      </w:r>
    </w:p>
    <w:p w14:paraId="36DDD2FA">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二</w:t>
      </w:r>
      <w:r>
        <w:rPr>
          <w:rFonts w:hint="eastAsia" w:ascii="宋体" w:hAnsi="宋体" w:eastAsia="宋体" w:cs="宋体"/>
          <w:color w:val="auto"/>
          <w:sz w:val="24"/>
          <w:highlight w:val="none"/>
        </w:rPr>
        <w:t>、</w:t>
      </w:r>
      <w:r>
        <w:rPr>
          <w:rFonts w:hint="eastAsia" w:ascii="宋体" w:hAnsi="宋体" w:eastAsia="宋体" w:cs="宋体"/>
          <w:i w:val="0"/>
          <w:iCs w:val="0"/>
          <w:color w:val="auto"/>
          <w:sz w:val="24"/>
          <w:szCs w:val="24"/>
          <w:highlight w:val="none"/>
        </w:rPr>
        <w:t>项目名称：</w:t>
      </w:r>
      <w:r>
        <w:rPr>
          <w:rFonts w:hint="eastAsia" w:ascii="宋体" w:hAnsi="宋体" w:cs="宋体"/>
          <w:i w:val="0"/>
          <w:iCs w:val="0"/>
          <w:color w:val="auto"/>
          <w:sz w:val="24"/>
          <w:szCs w:val="24"/>
          <w:highlight w:val="none"/>
          <w:lang w:eastAsia="zh-CN"/>
        </w:rPr>
        <w:t>华宁县人民医院检验外送服务采购项目</w:t>
      </w:r>
    </w:p>
    <w:p w14:paraId="21D8EA6E">
      <w:pPr>
        <w:pStyle w:val="66"/>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三</w:t>
      </w:r>
      <w:r>
        <w:rPr>
          <w:rFonts w:hint="eastAsia" w:ascii="宋体" w:hAnsi="宋体" w:eastAsia="宋体" w:cs="宋体"/>
          <w:color w:val="auto"/>
          <w:sz w:val="24"/>
          <w:highlight w:val="none"/>
        </w:rPr>
        <w:t>、</w:t>
      </w:r>
      <w:r>
        <w:rPr>
          <w:rFonts w:hint="eastAsia" w:ascii="宋体" w:hAnsi="宋体" w:cs="宋体"/>
          <w:i w:val="0"/>
          <w:iCs w:val="0"/>
          <w:color w:val="auto"/>
          <w:sz w:val="24"/>
          <w:szCs w:val="24"/>
          <w:highlight w:val="none"/>
          <w:lang w:val="en-US" w:eastAsia="zh-CN"/>
        </w:rPr>
        <w:t>采购范围及要求：为满足病人的医疗需求，方便病人在当地诊断治疗，提高临床诊断准确率，对华宁县人民医院未开展的检验项目，外送第三方检验机构检验，即确定一家符合资质的第三方检验机构合作。开展的检验检测项目多，涵盖普通常规检测、自身免疫性疾病检测、高血压筛查、库欣综合征、嗜铬细胞瘤筛查、用药基因筛查、肿瘤检测等其他检验检测。</w:t>
      </w:r>
    </w:p>
    <w:p w14:paraId="0452A064">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四</w:t>
      </w:r>
      <w:r>
        <w:rPr>
          <w:rFonts w:hint="eastAsia" w:ascii="宋体" w:hAnsi="宋体" w:eastAsia="宋体" w:cs="宋体"/>
          <w:color w:val="auto"/>
          <w:sz w:val="24"/>
          <w:highlight w:val="none"/>
        </w:rPr>
        <w:t>、</w:t>
      </w:r>
      <w:r>
        <w:rPr>
          <w:rFonts w:hint="eastAsia" w:ascii="宋体" w:hAnsi="宋体" w:eastAsia="宋体" w:cs="宋体"/>
          <w:i w:val="0"/>
          <w:iCs w:val="0"/>
          <w:color w:val="auto"/>
          <w:sz w:val="24"/>
          <w:szCs w:val="24"/>
          <w:highlight w:val="none"/>
        </w:rPr>
        <w:t>采购方式：</w:t>
      </w:r>
      <w:r>
        <w:rPr>
          <w:rFonts w:hint="eastAsia" w:ascii="宋体" w:hAnsi="宋体" w:cs="宋体"/>
          <w:i w:val="0"/>
          <w:iCs w:val="0"/>
          <w:color w:val="auto"/>
          <w:sz w:val="24"/>
          <w:szCs w:val="24"/>
          <w:highlight w:val="none"/>
          <w:lang w:val="en-US" w:eastAsia="zh-CN"/>
        </w:rPr>
        <w:t>谈判采购</w:t>
      </w:r>
    </w:p>
    <w:p w14:paraId="267D7AF6">
      <w:pPr>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五</w:t>
      </w:r>
      <w:r>
        <w:rPr>
          <w:rFonts w:hint="eastAsia" w:ascii="宋体" w:hAnsi="宋体" w:eastAsia="宋体" w:cs="宋体"/>
          <w:color w:val="auto"/>
          <w:sz w:val="24"/>
          <w:highlight w:val="none"/>
        </w:rPr>
        <w:t>、</w:t>
      </w: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val="en-US" w:eastAsia="zh-CN"/>
        </w:rPr>
        <w:t>¥200000.00元/年，大写：人民币贰拾万元整/年</w:t>
      </w:r>
      <w:r>
        <w:rPr>
          <w:rFonts w:hint="eastAsia" w:ascii="宋体" w:hAnsi="宋体" w:eastAsia="宋体" w:cs="宋体"/>
          <w:i w:val="0"/>
          <w:iCs w:val="0"/>
          <w:color w:val="auto"/>
          <w:sz w:val="24"/>
          <w:szCs w:val="24"/>
          <w:highlight w:val="none"/>
        </w:rPr>
        <w:t>；</w:t>
      </w:r>
    </w:p>
    <w:p w14:paraId="4E62605F">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highlight w:val="none"/>
        </w:rPr>
        <w:t>、</w:t>
      </w:r>
      <w:r>
        <w:rPr>
          <w:rFonts w:hint="eastAsia" w:ascii="宋体" w:hAnsi="宋体" w:cs="宋体"/>
          <w:color w:val="auto"/>
          <w:sz w:val="24"/>
          <w:szCs w:val="24"/>
          <w:highlight w:val="none"/>
        </w:rPr>
        <w:t>采购限价</w:t>
      </w:r>
      <w:r>
        <w:rPr>
          <w:rFonts w:hint="eastAsia" w:ascii="宋体" w:hAnsi="宋体" w:cs="宋体"/>
          <w:i w:val="0"/>
          <w:iCs w:val="0"/>
          <w:color w:val="auto"/>
          <w:sz w:val="24"/>
          <w:szCs w:val="24"/>
          <w:highlight w:val="none"/>
          <w:lang w:eastAsia="zh-CN"/>
        </w:rPr>
        <w:t>：</w:t>
      </w:r>
      <w:r>
        <w:rPr>
          <w:rFonts w:hint="eastAsia" w:ascii="宋体" w:hAnsi="宋体" w:cs="宋体"/>
          <w:b/>
          <w:bCs/>
          <w:color w:val="auto"/>
          <w:sz w:val="24"/>
          <w:szCs w:val="24"/>
          <w:highlight w:val="none"/>
        </w:rPr>
        <w:t>根据最新《云南省医疗服务价格文件汇编》收费标准计费规定进行计价，最终以</w:t>
      </w:r>
      <w:r>
        <w:rPr>
          <w:rFonts w:hint="eastAsia" w:ascii="宋体" w:hAnsi="宋体" w:cs="宋体"/>
          <w:b/>
          <w:bCs/>
          <w:color w:val="auto"/>
          <w:sz w:val="24"/>
          <w:szCs w:val="24"/>
          <w:highlight w:val="none"/>
          <w:lang w:val="en-US" w:eastAsia="zh-CN"/>
        </w:rPr>
        <w:t>采购人提供外送服务清单</w:t>
      </w:r>
      <w:r>
        <w:rPr>
          <w:rFonts w:hint="eastAsia" w:ascii="宋体" w:hAnsi="宋体" w:cs="宋体"/>
          <w:b/>
          <w:bCs/>
          <w:color w:val="auto"/>
          <w:sz w:val="24"/>
          <w:szCs w:val="24"/>
          <w:highlight w:val="none"/>
        </w:rPr>
        <w:t>的</w:t>
      </w:r>
      <w:r>
        <w:rPr>
          <w:rFonts w:hint="eastAsia" w:ascii="宋体" w:hAnsi="宋体" w:cs="宋体"/>
          <w:b/>
          <w:bCs/>
          <w:color w:val="auto"/>
          <w:sz w:val="24"/>
          <w:szCs w:val="24"/>
          <w:highlight w:val="none"/>
          <w:lang w:val="en-US" w:eastAsia="zh-CN"/>
        </w:rPr>
        <w:t>结算金额</w:t>
      </w:r>
      <w:r>
        <w:rPr>
          <w:rFonts w:hint="eastAsia" w:ascii="宋体" w:hAnsi="宋体" w:cs="宋体"/>
          <w:b/>
          <w:bCs/>
          <w:color w:val="auto"/>
          <w:sz w:val="24"/>
          <w:szCs w:val="24"/>
          <w:highlight w:val="none"/>
        </w:rPr>
        <w:t>基础上下浮xx% 的形式进行</w:t>
      </w:r>
      <w:r>
        <w:rPr>
          <w:rFonts w:hint="eastAsia" w:ascii="宋体" w:hAnsi="宋体" w:cs="宋体"/>
          <w:b/>
          <w:bCs/>
          <w:color w:val="auto"/>
          <w:sz w:val="24"/>
          <w:szCs w:val="24"/>
          <w:highlight w:val="none"/>
          <w:lang w:val="en-US" w:eastAsia="zh-CN"/>
        </w:rPr>
        <w:t>谈判</w:t>
      </w:r>
      <w:r>
        <w:rPr>
          <w:rFonts w:hint="eastAsia" w:ascii="宋体" w:hAnsi="宋体" w:cs="宋体"/>
          <w:b/>
          <w:bCs/>
          <w:color w:val="auto"/>
          <w:sz w:val="24"/>
          <w:szCs w:val="24"/>
          <w:highlight w:val="none"/>
        </w:rPr>
        <w:t>报价</w:t>
      </w:r>
      <w:r>
        <w:rPr>
          <w:rFonts w:hint="eastAsia" w:ascii="宋体" w:hAnsi="宋体" w:cs="宋体"/>
          <w:i w:val="0"/>
          <w:iCs w:val="0"/>
          <w:color w:val="auto"/>
          <w:sz w:val="24"/>
          <w:szCs w:val="24"/>
          <w:highlight w:val="none"/>
          <w:lang w:val="en-US" w:eastAsia="zh-CN"/>
        </w:rPr>
        <w:t>七</w:t>
      </w:r>
      <w:r>
        <w:rPr>
          <w:rFonts w:hint="eastAsia" w:ascii="宋体" w:hAnsi="宋体" w:eastAsia="宋体" w:cs="宋体"/>
          <w:color w:val="auto"/>
          <w:sz w:val="24"/>
          <w:highlight w:val="none"/>
        </w:rPr>
        <w:t>、</w:t>
      </w:r>
      <w:r>
        <w:rPr>
          <w:rFonts w:hint="eastAsia" w:ascii="宋体" w:hAnsi="宋体" w:cs="宋体"/>
          <w:i w:val="0"/>
          <w:iCs w:val="0"/>
          <w:color w:val="auto"/>
          <w:sz w:val="24"/>
          <w:szCs w:val="24"/>
          <w:highlight w:val="none"/>
          <w:lang w:val="en-US" w:eastAsia="zh-CN"/>
        </w:rPr>
        <w:t>采购内容</w:t>
      </w:r>
      <w:r>
        <w:rPr>
          <w:rFonts w:hint="eastAsia" w:ascii="宋体" w:hAnsi="宋体" w:eastAsia="宋体" w:cs="宋体"/>
          <w:color w:val="auto"/>
          <w:sz w:val="24"/>
          <w:szCs w:val="24"/>
          <w:highlight w:val="none"/>
          <w:lang w:val="en-US" w:eastAsia="zh-CN"/>
        </w:rPr>
        <w:t>：</w:t>
      </w:r>
    </w:p>
    <w:p w14:paraId="02791F76">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为满足病人的医疗需求，方便病人在当地诊断治疗，提高临床诊断准确率，对华宁县人民医院未开展的检验项目，外送第三方检验机构检验，即确定一家符合资质的第三方检验机构合作。</w:t>
      </w:r>
    </w:p>
    <w:p w14:paraId="0250BB58">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质量要求：</w:t>
      </w:r>
      <w:r>
        <w:rPr>
          <w:rFonts w:hint="eastAsia" w:cs="方正仿宋_GBK" w:asciiTheme="majorEastAsia" w:hAnsiTheme="majorEastAsia" w:eastAsiaTheme="majorEastAsia"/>
          <w:sz w:val="24"/>
          <w:szCs w:val="24"/>
          <w:highlight w:val="none"/>
        </w:rPr>
        <w:t>符合国家和行业现行相关标准和规范，</w:t>
      </w:r>
      <w:r>
        <w:rPr>
          <w:rFonts w:hint="eastAsia" w:cs="方正仿宋_GBK" w:asciiTheme="majorEastAsia" w:hAnsiTheme="majorEastAsia" w:eastAsiaTheme="majorEastAsia"/>
          <w:sz w:val="24"/>
          <w:szCs w:val="24"/>
          <w:highlight w:val="none"/>
          <w:lang w:eastAsia="zh-CN"/>
        </w:rPr>
        <w:t>提交成果真实准确、清晰有据，合</w:t>
      </w:r>
      <w:r>
        <w:rPr>
          <w:rFonts w:hint="eastAsia" w:cs="方正仿宋_GBK" w:asciiTheme="majorEastAsia" w:hAnsiTheme="majorEastAsia" w:eastAsiaTheme="majorEastAsia"/>
          <w:sz w:val="24"/>
          <w:szCs w:val="24"/>
          <w:highlight w:val="none"/>
        </w:rPr>
        <w:t>同履行过程中不得出现违反国家法规及行业规范的行为。服务质量满足</w:t>
      </w:r>
      <w:r>
        <w:rPr>
          <w:rFonts w:hint="eastAsia" w:cs="方正仿宋_GBK" w:asciiTheme="majorEastAsia" w:hAnsiTheme="majorEastAsia" w:eastAsiaTheme="majorEastAsia"/>
          <w:sz w:val="24"/>
          <w:szCs w:val="24"/>
          <w:highlight w:val="none"/>
          <w:lang w:val="en-US" w:eastAsia="zh-CN"/>
        </w:rPr>
        <w:t>采购人</w:t>
      </w:r>
      <w:r>
        <w:rPr>
          <w:rFonts w:hint="eastAsia" w:cs="方正仿宋_GBK" w:asciiTheme="majorEastAsia" w:hAnsiTheme="majorEastAsia" w:eastAsiaTheme="majorEastAsia"/>
          <w:sz w:val="24"/>
          <w:szCs w:val="24"/>
          <w:highlight w:val="none"/>
        </w:rPr>
        <w:t>标准及要求。</w:t>
      </w:r>
    </w:p>
    <w:p w14:paraId="70B1DBD0">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合同履行期限：</w:t>
      </w:r>
      <w:r>
        <w:rPr>
          <w:rFonts w:hint="eastAsia" w:ascii="宋体" w:hAnsi="宋体" w:cs="宋体"/>
          <w:color w:val="auto"/>
          <w:sz w:val="24"/>
          <w:szCs w:val="24"/>
          <w:highlight w:val="none"/>
          <w:lang w:val="en-US" w:eastAsia="zh-CN"/>
        </w:rPr>
        <w:t>自合同签订之日起一年</w:t>
      </w:r>
    </w:p>
    <w:p w14:paraId="6C5C4952">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十</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服务地点：</w:t>
      </w:r>
      <w:r>
        <w:rPr>
          <w:rFonts w:hint="eastAsia" w:ascii="宋体" w:hAnsi="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lang w:val="en-US" w:eastAsia="zh-CN"/>
        </w:rPr>
        <w:t>。</w:t>
      </w:r>
    </w:p>
    <w:p w14:paraId="78BA7382">
      <w:pPr>
        <w:numPr>
          <w:ilvl w:val="0"/>
          <w:numId w:val="0"/>
        </w:numPr>
        <w:spacing w:line="360" w:lineRule="auto"/>
        <w:ind w:firstLine="480" w:firstLineChars="200"/>
        <w:jc w:val="left"/>
        <w:rPr>
          <w:rFonts w:hint="default"/>
          <w:b w:val="0"/>
          <w:bCs/>
          <w:sz w:val="24"/>
          <w:highlight w:val="none"/>
          <w:lang w:val="en-US" w:eastAsia="zh-CN"/>
        </w:rPr>
      </w:pPr>
      <w:r>
        <w:rPr>
          <w:rFonts w:hint="eastAsia"/>
          <w:b w:val="0"/>
          <w:bCs/>
          <w:sz w:val="24"/>
          <w:highlight w:val="none"/>
          <w:lang w:val="en-US" w:eastAsia="zh-CN"/>
        </w:rPr>
        <w:t>十一、</w:t>
      </w:r>
      <w:r>
        <w:rPr>
          <w:b w:val="0"/>
          <w:bCs/>
          <w:sz w:val="24"/>
          <w:highlight w:val="none"/>
        </w:rPr>
        <w:t>违约责任</w:t>
      </w:r>
    </w:p>
    <w:p w14:paraId="786AEA14">
      <w:pPr>
        <w:pStyle w:val="22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b w:val="0"/>
          <w:bCs w:val="0"/>
          <w:sz w:val="24"/>
          <w:highlight w:val="none"/>
        </w:rPr>
      </w:pPr>
      <w:r>
        <w:rPr>
          <w:b w:val="0"/>
          <w:bCs w:val="0"/>
          <w:sz w:val="24"/>
          <w:highlight w:val="none"/>
        </w:rPr>
        <w:t>（1）导致医疗事故的误差，由</w:t>
      </w:r>
      <w:r>
        <w:rPr>
          <w:rFonts w:hint="eastAsia"/>
          <w:b w:val="0"/>
          <w:bCs w:val="0"/>
          <w:sz w:val="24"/>
          <w:highlight w:val="none"/>
          <w:lang w:val="en-US" w:eastAsia="zh-CN"/>
        </w:rPr>
        <w:t>成交供应商</w:t>
      </w:r>
      <w:r>
        <w:rPr>
          <w:b w:val="0"/>
          <w:bCs w:val="0"/>
          <w:sz w:val="24"/>
          <w:highlight w:val="none"/>
        </w:rPr>
        <w:t>承担相应的法律责任，并赔偿采购人的损失,采购人有权单方终止合同。</w:t>
      </w:r>
    </w:p>
    <w:p w14:paraId="7D1216E4">
      <w:pPr>
        <w:pStyle w:val="22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b w:val="0"/>
          <w:bCs w:val="0"/>
          <w:sz w:val="24"/>
          <w:highlight w:val="none"/>
        </w:rPr>
      </w:pPr>
      <w:r>
        <w:rPr>
          <w:b w:val="0"/>
          <w:bCs w:val="0"/>
          <w:sz w:val="24"/>
          <w:highlight w:val="none"/>
        </w:rPr>
        <w:t>（2）</w:t>
      </w:r>
      <w:r>
        <w:rPr>
          <w:rFonts w:hint="eastAsia"/>
          <w:b w:val="0"/>
          <w:bCs w:val="0"/>
          <w:sz w:val="24"/>
          <w:highlight w:val="none"/>
          <w:lang w:val="en-US" w:eastAsia="zh-CN"/>
        </w:rPr>
        <w:t>成交供应商</w:t>
      </w:r>
      <w:r>
        <w:rPr>
          <w:b w:val="0"/>
          <w:bCs w:val="0"/>
          <w:sz w:val="24"/>
          <w:highlight w:val="none"/>
        </w:rPr>
        <w:t>对采购人送检的合格样本结果负责，对于按照</w:t>
      </w:r>
      <w:r>
        <w:rPr>
          <w:rFonts w:hint="eastAsia"/>
          <w:b w:val="0"/>
          <w:bCs w:val="0"/>
          <w:sz w:val="24"/>
          <w:highlight w:val="none"/>
          <w:lang w:val="en-US" w:eastAsia="zh-CN"/>
        </w:rPr>
        <w:t>成交供应商</w:t>
      </w:r>
      <w:r>
        <w:rPr>
          <w:b w:val="0"/>
          <w:bCs w:val="0"/>
          <w:sz w:val="24"/>
          <w:highlight w:val="none"/>
        </w:rPr>
        <w:t>要求取材的合格样本，若因</w:t>
      </w:r>
      <w:r>
        <w:rPr>
          <w:rFonts w:hint="eastAsia"/>
          <w:b w:val="0"/>
          <w:bCs w:val="0"/>
          <w:sz w:val="24"/>
          <w:highlight w:val="none"/>
          <w:lang w:val="en-US" w:eastAsia="zh-CN"/>
        </w:rPr>
        <w:t>成交供应商</w:t>
      </w:r>
      <w:r>
        <w:rPr>
          <w:b w:val="0"/>
          <w:bCs w:val="0"/>
          <w:sz w:val="24"/>
          <w:highlight w:val="none"/>
        </w:rPr>
        <w:t>原因导致检测结果存在质量问题，由</w:t>
      </w:r>
      <w:r>
        <w:rPr>
          <w:rFonts w:hint="eastAsia"/>
          <w:b w:val="0"/>
          <w:bCs w:val="0"/>
          <w:sz w:val="24"/>
          <w:highlight w:val="none"/>
          <w:lang w:val="en-US" w:eastAsia="zh-CN"/>
        </w:rPr>
        <w:t>成交供应商</w:t>
      </w:r>
      <w:r>
        <w:rPr>
          <w:b w:val="0"/>
          <w:bCs w:val="0"/>
          <w:sz w:val="24"/>
          <w:highlight w:val="none"/>
        </w:rPr>
        <w:t>承担相应责任。</w:t>
      </w:r>
    </w:p>
    <w:p w14:paraId="6944E483">
      <w:pPr>
        <w:pStyle w:val="22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b/>
          <w:sz w:val="24"/>
          <w:highlight w:val="none"/>
          <w:lang w:val="en-US" w:eastAsia="zh-CN"/>
        </w:rPr>
      </w:pPr>
      <w:r>
        <w:rPr>
          <w:b w:val="0"/>
          <w:bCs w:val="0"/>
          <w:sz w:val="24"/>
          <w:highlight w:val="none"/>
        </w:rPr>
        <w:t>（3）</w:t>
      </w:r>
      <w:r>
        <w:rPr>
          <w:rFonts w:hint="eastAsia"/>
          <w:b w:val="0"/>
          <w:bCs w:val="0"/>
          <w:sz w:val="24"/>
          <w:highlight w:val="none"/>
          <w:lang w:val="en-US" w:eastAsia="zh-CN"/>
        </w:rPr>
        <w:t>成交供应商</w:t>
      </w:r>
      <w:r>
        <w:rPr>
          <w:b w:val="0"/>
          <w:bCs w:val="0"/>
          <w:sz w:val="24"/>
          <w:highlight w:val="none"/>
        </w:rPr>
        <w:t>应保证其用到本项目的专利、技术是其合格持有，且享有处分权，若因实施本项目的专利技术产生的侵权纠纷，采购人有权向</w:t>
      </w:r>
      <w:r>
        <w:rPr>
          <w:rFonts w:hint="eastAsia"/>
          <w:b w:val="0"/>
          <w:bCs w:val="0"/>
          <w:sz w:val="24"/>
          <w:highlight w:val="none"/>
          <w:lang w:val="en-US" w:eastAsia="zh-CN"/>
        </w:rPr>
        <w:t>成交供应商</w:t>
      </w:r>
      <w:r>
        <w:rPr>
          <w:b w:val="0"/>
          <w:bCs w:val="0"/>
          <w:sz w:val="24"/>
          <w:highlight w:val="none"/>
        </w:rPr>
        <w:t>追究责任，并向</w:t>
      </w:r>
      <w:r>
        <w:rPr>
          <w:rFonts w:hint="eastAsia"/>
          <w:b w:val="0"/>
          <w:bCs w:val="0"/>
          <w:sz w:val="24"/>
          <w:highlight w:val="none"/>
          <w:lang w:val="en-US" w:eastAsia="zh-CN"/>
        </w:rPr>
        <w:t>成交供应商</w:t>
      </w:r>
      <w:r>
        <w:rPr>
          <w:b w:val="0"/>
          <w:bCs w:val="0"/>
          <w:sz w:val="24"/>
          <w:highlight w:val="none"/>
        </w:rPr>
        <w:t>索赔因此受到的全部损失，并有权单方终止本项目合同。</w:t>
      </w:r>
    </w:p>
    <w:p w14:paraId="0BFC7C7E">
      <w:pPr>
        <w:numPr>
          <w:ilvl w:val="0"/>
          <w:numId w:val="0"/>
        </w:numPr>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b/>
          <w:sz w:val="24"/>
          <w:highlight w:val="none"/>
          <w:lang w:val="en-US" w:eastAsia="zh-CN"/>
        </w:rPr>
        <w:t>十一</w:t>
      </w:r>
      <w:r>
        <w:rPr>
          <w:rFonts w:hint="eastAsia" w:ascii="宋体" w:hAnsi="宋体" w:eastAsia="宋体" w:cs="宋体"/>
          <w:color w:val="auto"/>
          <w:sz w:val="24"/>
          <w:highlight w:val="none"/>
        </w:rPr>
        <w:t>、</w:t>
      </w:r>
      <w:r>
        <w:rPr>
          <w:b/>
          <w:bCs w:val="0"/>
          <w:sz w:val="24"/>
          <w:highlight w:val="none"/>
        </w:rPr>
        <w:t>项目</w:t>
      </w:r>
      <w:r>
        <w:rPr>
          <w:rFonts w:hint="eastAsia" w:ascii="宋体" w:hAnsi="宋体" w:eastAsia="宋体" w:cs="宋体"/>
          <w:b/>
          <w:bCs w:val="0"/>
          <w:color w:val="auto"/>
          <w:sz w:val="24"/>
          <w:szCs w:val="24"/>
          <w:highlight w:val="none"/>
          <w:lang w:val="en-US" w:eastAsia="zh-CN"/>
        </w:rPr>
        <w:t>其他</w:t>
      </w:r>
      <w:r>
        <w:rPr>
          <w:b/>
          <w:bCs w:val="0"/>
          <w:sz w:val="24"/>
          <w:highlight w:val="none"/>
        </w:rPr>
        <w:t>要求</w:t>
      </w:r>
      <w:r>
        <w:rPr>
          <w:rFonts w:hint="eastAsia" w:ascii="宋体" w:hAnsi="宋体" w:eastAsia="宋体" w:cs="宋体"/>
          <w:color w:val="auto"/>
          <w:sz w:val="24"/>
          <w:szCs w:val="24"/>
          <w:highlight w:val="none"/>
          <w:lang w:val="en-US" w:eastAsia="zh-CN"/>
        </w:rPr>
        <w:t>：</w:t>
      </w:r>
    </w:p>
    <w:p w14:paraId="41FC3BA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1.合作单位要在业内信誉度较高，市场服务评价好；</w:t>
      </w:r>
    </w:p>
    <w:p w14:paraId="06EE426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2.开展的检验检测项目多，能够涵盖普通常规检测、自身免疫性疾病检测、高血压筛查、库欣综合征、嗜铬细胞瘤筛查、用药基因筛查、肿瘤检测等其他检验检测；</w:t>
      </w:r>
    </w:p>
    <w:p w14:paraId="63C2812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3.有成熟的物流体系；</w:t>
      </w:r>
    </w:p>
    <w:p w14:paraId="73D3B5E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4.一周至少6天上门服务收取标本；</w:t>
      </w:r>
    </w:p>
    <w:p w14:paraId="232C66A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5.普通项目出具报告时限不得超过2天；</w:t>
      </w:r>
    </w:p>
    <w:p w14:paraId="669BB75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6.每年不少于1次学术交流；</w:t>
      </w:r>
    </w:p>
    <w:p w14:paraId="15E45A0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7.每季度至少一次临床科室回访；</w:t>
      </w:r>
    </w:p>
    <w:p w14:paraId="15E153B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8.免费提供标本采集所需耗材；</w:t>
      </w:r>
    </w:p>
    <w:p w14:paraId="6E7DC31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9.客户终端安装报告查询、打印APP。</w:t>
      </w:r>
    </w:p>
    <w:p w14:paraId="4DEAEB57">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br w:type="page"/>
      </w:r>
    </w:p>
    <w:p w14:paraId="5161DA5A">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color w:val="auto"/>
          <w:sz w:val="24"/>
          <w:highlight w:val="none"/>
          <w:lang w:val="en-US" w:eastAsia="zh-CN"/>
        </w:rPr>
        <w:sectPr>
          <w:headerReference r:id="rId7" w:type="default"/>
          <w:footerReference r:id="rId8" w:type="default"/>
          <w:pgSz w:w="11905" w:h="16838"/>
          <w:pgMar w:top="1383" w:right="1366" w:bottom="1383" w:left="1366" w:header="907" w:footer="737" w:gutter="0"/>
          <w:pgBorders>
            <w:top w:val="none" w:sz="0" w:space="0"/>
            <w:left w:val="none" w:sz="0" w:space="0"/>
            <w:bottom w:val="single" w:color="auto" w:sz="4" w:space="1"/>
            <w:right w:val="none" w:sz="0" w:space="0"/>
          </w:pgBorders>
          <w:pgNumType w:fmt="decimal"/>
          <w:cols w:space="0" w:num="1"/>
          <w:rtlGutter w:val="0"/>
          <w:docGrid w:type="lines" w:linePitch="320" w:charSpace="0"/>
        </w:sectPr>
      </w:pPr>
    </w:p>
    <w:p w14:paraId="51D30B8D">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十二、定价清单</w:t>
      </w:r>
    </w:p>
    <w:tbl>
      <w:tblPr>
        <w:tblStyle w:val="54"/>
        <w:tblW w:w="141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63"/>
        <w:gridCol w:w="2045"/>
        <w:gridCol w:w="1453"/>
        <w:gridCol w:w="915"/>
        <w:gridCol w:w="2152"/>
        <w:gridCol w:w="2559"/>
        <w:gridCol w:w="624"/>
        <w:gridCol w:w="431"/>
        <w:gridCol w:w="648"/>
      </w:tblGrid>
      <w:tr w14:paraId="0B8A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4190" w:type="dxa"/>
            <w:gridSpan w:val="9"/>
            <w:tcBorders>
              <w:top w:val="nil"/>
              <w:left w:val="nil"/>
              <w:bottom w:val="nil"/>
              <w:right w:val="nil"/>
            </w:tcBorders>
            <w:shd w:val="clear" w:color="auto" w:fill="auto"/>
            <w:noWrap/>
            <w:vAlign w:val="center"/>
          </w:tcPr>
          <w:p w14:paraId="4717DB5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云南省非营利性医疗服务价格目录以内的项目</w:t>
            </w:r>
          </w:p>
        </w:tc>
      </w:tr>
      <w:tr w14:paraId="3F53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A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1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报告单明细</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C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9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项目编码</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8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C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项目内涵</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C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4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2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标准收费</w:t>
            </w:r>
          </w:p>
        </w:tc>
      </w:tr>
      <w:tr w14:paraId="5A04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6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糖尿病自身抗体三项（IAA,ICA,GAD）</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A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抗胰岛细胞抗体(ICA)定量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2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CF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250402026a</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2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抗胰岛素抗体测定（免疫学法）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3CD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8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E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2D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14:paraId="1F4D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54C0">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1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胰岛素自身抗体(IAA)定量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B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B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250402027</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抗胰岛素受体抗体测定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8A0B">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3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8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AB98">
            <w:pPr>
              <w:jc w:val="right"/>
              <w:rPr>
                <w:rFonts w:hint="eastAsia" w:ascii="宋体" w:hAnsi="宋体" w:eastAsia="宋体" w:cs="宋体"/>
                <w:i w:val="0"/>
                <w:iCs w:val="0"/>
                <w:color w:val="000000"/>
                <w:sz w:val="22"/>
                <w:szCs w:val="22"/>
                <w:u w:val="none"/>
              </w:rPr>
            </w:pPr>
          </w:p>
        </w:tc>
      </w:tr>
      <w:tr w14:paraId="6CA1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14BF">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2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血清抗谷氨酸脱羧酶抗体(GAD)定量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8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44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250310043a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6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血清抗谷氨酸脱羧酶抗体测定（化学发光法）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92B0">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A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F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0635">
            <w:pPr>
              <w:jc w:val="right"/>
              <w:rPr>
                <w:rFonts w:hint="eastAsia" w:ascii="宋体" w:hAnsi="宋体" w:eastAsia="宋体" w:cs="宋体"/>
                <w:i w:val="0"/>
                <w:iCs w:val="0"/>
                <w:color w:val="000000"/>
                <w:sz w:val="22"/>
                <w:szCs w:val="22"/>
                <w:u w:val="none"/>
              </w:rPr>
            </w:pPr>
          </w:p>
        </w:tc>
      </w:tr>
      <w:tr w14:paraId="02F6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1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高血压组合五项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A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肾素浓度(Renin)</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D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0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250310026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E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血浆肾素活性测定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DB31">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F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3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B0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r>
      <w:tr w14:paraId="7C77D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CE04">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D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促肾上腺皮质激素(ACTH)</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6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F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w:t>
            </w:r>
            <w:bookmarkStart w:id="110" w:name="_GoBack"/>
            <w:bookmarkEnd w:id="110"/>
            <w:r>
              <w:rPr>
                <w:rFonts w:hint="eastAsia" w:ascii="宋体" w:hAnsi="宋体" w:eastAsia="宋体" w:cs="宋体"/>
                <w:i w:val="0"/>
                <w:iCs w:val="0"/>
                <w:color w:val="000000"/>
                <w:kern w:val="0"/>
                <w:sz w:val="22"/>
                <w:szCs w:val="22"/>
                <w:u w:val="none"/>
                <w:lang w:val="en-US" w:eastAsia="zh-CN" w:bidi="ar"/>
              </w:rPr>
              <w:t>06a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9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血清促肾上腺皮质激素测定（化学发光法）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AB57">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E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0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795E">
            <w:pPr>
              <w:jc w:val="right"/>
              <w:rPr>
                <w:rFonts w:hint="eastAsia" w:ascii="宋体" w:hAnsi="宋体" w:eastAsia="宋体" w:cs="宋体"/>
                <w:i w:val="0"/>
                <w:iCs w:val="0"/>
                <w:color w:val="000000"/>
                <w:sz w:val="22"/>
                <w:szCs w:val="22"/>
                <w:u w:val="none"/>
              </w:rPr>
            </w:pPr>
          </w:p>
        </w:tc>
      </w:tr>
      <w:tr w14:paraId="11A7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269F">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6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皮质醇(COR)</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8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0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250310018a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4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血浆皮质醇测定（化学发光法）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31E5">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2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D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77BE">
            <w:pPr>
              <w:jc w:val="right"/>
              <w:rPr>
                <w:rFonts w:hint="eastAsia" w:ascii="宋体" w:hAnsi="宋体" w:eastAsia="宋体" w:cs="宋体"/>
                <w:i w:val="0"/>
                <w:iCs w:val="0"/>
                <w:color w:val="000000"/>
                <w:sz w:val="22"/>
                <w:szCs w:val="22"/>
                <w:u w:val="none"/>
              </w:rPr>
            </w:pPr>
          </w:p>
        </w:tc>
      </w:tr>
      <w:tr w14:paraId="6DF8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3BF9">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E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醛固酮(ALD)</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5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E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250310023a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C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B80B">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8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7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DFE1">
            <w:pPr>
              <w:jc w:val="right"/>
              <w:rPr>
                <w:rFonts w:hint="eastAsia" w:ascii="宋体" w:hAnsi="宋体" w:eastAsia="宋体" w:cs="宋体"/>
                <w:i w:val="0"/>
                <w:iCs w:val="0"/>
                <w:color w:val="000000"/>
                <w:sz w:val="22"/>
                <w:szCs w:val="22"/>
                <w:u w:val="none"/>
              </w:rPr>
            </w:pPr>
          </w:p>
        </w:tc>
      </w:tr>
      <w:tr w14:paraId="5E4D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B0BD">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9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AARR,计算法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1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1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B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AARR,计算法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59C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8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6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4150">
            <w:pPr>
              <w:jc w:val="right"/>
              <w:rPr>
                <w:rFonts w:hint="eastAsia" w:ascii="宋体" w:hAnsi="宋体" w:eastAsia="宋体" w:cs="宋体"/>
                <w:i w:val="0"/>
                <w:iCs w:val="0"/>
                <w:color w:val="000000"/>
                <w:sz w:val="22"/>
                <w:szCs w:val="22"/>
                <w:u w:val="none"/>
              </w:rPr>
            </w:pPr>
          </w:p>
        </w:tc>
      </w:tr>
      <w:tr w14:paraId="3D7E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6FC0">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血管紧张素II(AngII</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2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8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250310028</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0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血管紧张素Ⅱ测定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CEFC">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8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6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31F4">
            <w:pPr>
              <w:jc w:val="right"/>
              <w:rPr>
                <w:rFonts w:hint="eastAsia" w:ascii="宋体" w:hAnsi="宋体" w:eastAsia="宋体" w:cs="宋体"/>
                <w:i w:val="0"/>
                <w:iCs w:val="0"/>
                <w:color w:val="000000"/>
                <w:sz w:val="22"/>
                <w:szCs w:val="22"/>
                <w:u w:val="none"/>
              </w:rPr>
            </w:pPr>
          </w:p>
        </w:tc>
      </w:tr>
      <w:tr w14:paraId="2BEB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3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铁四项(TIBC,UIBC,TE,FE/TIBC)</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42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血铁（FE）亚铁嗪法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A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亚铁嗪法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9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250304007b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E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铁测定（其他方法）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0DA8">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83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9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4E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14:paraId="52E5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7512">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BD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不饱和铁结合力（UIBC）亚铁嗪法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7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亚铁嗪法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71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250304008b</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7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血清总铁结合力测定（其他方法）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0278">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1B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7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315B">
            <w:pPr>
              <w:jc w:val="right"/>
              <w:rPr>
                <w:rFonts w:hint="eastAsia" w:ascii="宋体" w:hAnsi="宋体" w:eastAsia="宋体" w:cs="宋体"/>
                <w:i w:val="0"/>
                <w:iCs w:val="0"/>
                <w:color w:val="000000"/>
                <w:sz w:val="22"/>
                <w:szCs w:val="22"/>
                <w:u w:val="none"/>
              </w:rPr>
            </w:pPr>
          </w:p>
        </w:tc>
      </w:tr>
      <w:tr w14:paraId="5A342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C22E">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CD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总铁结合力（TIBC） 计算法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2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51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不计费</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08CC">
            <w:pPr>
              <w:jc w:val="left"/>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D99F">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EA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9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3CFF">
            <w:pPr>
              <w:jc w:val="right"/>
              <w:rPr>
                <w:rFonts w:hint="eastAsia" w:ascii="宋体" w:hAnsi="宋体" w:eastAsia="宋体" w:cs="宋体"/>
                <w:i w:val="0"/>
                <w:iCs w:val="0"/>
                <w:color w:val="000000"/>
                <w:sz w:val="22"/>
                <w:szCs w:val="22"/>
                <w:u w:val="none"/>
              </w:rPr>
            </w:pPr>
          </w:p>
        </w:tc>
      </w:tr>
      <w:tr w14:paraId="2948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0BCC">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F3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铁饱和度 计算法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E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6C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不计费</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98ED">
            <w:pPr>
              <w:jc w:val="left"/>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11B4">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BD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2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470D">
            <w:pPr>
              <w:jc w:val="right"/>
              <w:rPr>
                <w:rFonts w:hint="eastAsia" w:ascii="宋体" w:hAnsi="宋体" w:eastAsia="宋体" w:cs="宋体"/>
                <w:i w:val="0"/>
                <w:iCs w:val="0"/>
                <w:color w:val="000000"/>
                <w:sz w:val="22"/>
                <w:szCs w:val="22"/>
                <w:u w:val="none"/>
              </w:rPr>
            </w:pPr>
          </w:p>
        </w:tc>
      </w:tr>
      <w:tr w14:paraId="4D40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2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性激素六项(FSH,LH,E2,P,T,PRL)</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F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促卵泡激素(FSH)</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C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F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250310004a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0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血清促卵泡刺激素测定（化学发光法）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5D1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1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C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C0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 </w:t>
            </w:r>
          </w:p>
        </w:tc>
      </w:tr>
      <w:tr w14:paraId="18E4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5930">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F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促黄体生成素(LH)</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C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A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250310005a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血清促黄体生成素测定（化学发光法）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D5A2">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1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B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ED1E">
            <w:pPr>
              <w:jc w:val="right"/>
              <w:rPr>
                <w:rFonts w:hint="eastAsia" w:ascii="宋体" w:hAnsi="宋体" w:eastAsia="宋体" w:cs="宋体"/>
                <w:i w:val="0"/>
                <w:iCs w:val="0"/>
                <w:color w:val="000000"/>
                <w:sz w:val="22"/>
                <w:szCs w:val="22"/>
                <w:u w:val="none"/>
              </w:rPr>
            </w:pPr>
          </w:p>
        </w:tc>
      </w:tr>
      <w:tr w14:paraId="7287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AFC3">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62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雌二醇(E2)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D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0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250310036a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6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雌二醇测定（化学发光法）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F14D">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6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C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3DB0">
            <w:pPr>
              <w:jc w:val="right"/>
              <w:rPr>
                <w:rFonts w:hint="eastAsia" w:ascii="宋体" w:hAnsi="宋体" w:eastAsia="宋体" w:cs="宋体"/>
                <w:i w:val="0"/>
                <w:iCs w:val="0"/>
                <w:color w:val="000000"/>
                <w:sz w:val="22"/>
                <w:szCs w:val="22"/>
                <w:u w:val="none"/>
              </w:rPr>
            </w:pPr>
          </w:p>
        </w:tc>
      </w:tr>
      <w:tr w14:paraId="5B7D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1205">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1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孕酮(P)</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8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BA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250310037a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0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孕酮测定（化学发光法）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695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F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7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6364">
            <w:pPr>
              <w:jc w:val="right"/>
              <w:rPr>
                <w:rFonts w:hint="eastAsia" w:ascii="宋体" w:hAnsi="宋体" w:eastAsia="宋体" w:cs="宋体"/>
                <w:i w:val="0"/>
                <w:iCs w:val="0"/>
                <w:color w:val="000000"/>
                <w:sz w:val="22"/>
                <w:szCs w:val="22"/>
                <w:u w:val="none"/>
              </w:rPr>
            </w:pPr>
          </w:p>
        </w:tc>
      </w:tr>
      <w:tr w14:paraId="73DB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6CF9">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9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睾酮(T)</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5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54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250310030a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睾酮测定（化学发光法）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8FC3">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8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0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46ED">
            <w:pPr>
              <w:jc w:val="right"/>
              <w:rPr>
                <w:rFonts w:hint="eastAsia" w:ascii="宋体" w:hAnsi="宋体" w:eastAsia="宋体" w:cs="宋体"/>
                <w:i w:val="0"/>
                <w:iCs w:val="0"/>
                <w:color w:val="000000"/>
                <w:sz w:val="22"/>
                <w:szCs w:val="22"/>
                <w:u w:val="none"/>
              </w:rPr>
            </w:pPr>
          </w:p>
        </w:tc>
      </w:tr>
      <w:tr w14:paraId="6360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94EF">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C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垂体催乳素(PRL</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2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3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250310002a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3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血清泌乳素测定（化学发光法）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DC57">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1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F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60EA">
            <w:pPr>
              <w:jc w:val="right"/>
              <w:rPr>
                <w:rFonts w:hint="eastAsia" w:ascii="宋体" w:hAnsi="宋体" w:eastAsia="宋体" w:cs="宋体"/>
                <w:i w:val="0"/>
                <w:iCs w:val="0"/>
                <w:color w:val="000000"/>
                <w:sz w:val="22"/>
                <w:szCs w:val="22"/>
                <w:u w:val="none"/>
              </w:rPr>
            </w:pPr>
          </w:p>
        </w:tc>
      </w:tr>
      <w:tr w14:paraId="0309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5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结核杆菌(TB-DNA)定性,实时荧光PCR</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2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结核杆菌(TB-DNA)定性 实时荧光PCR</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4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1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250403065a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D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病原体DNA定性测定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6B5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B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C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C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14:paraId="713E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A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地中海贫血筛查</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7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血红蛋白H包涵体检测</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8838">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F1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250202030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1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血红蛋白H包涵体检测</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1211">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0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E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5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98.00 </w:t>
            </w:r>
          </w:p>
        </w:tc>
      </w:tr>
      <w:tr w14:paraId="50BC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E850">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E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血红蛋白电泳</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3174">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250202026*4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8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血红蛋白电泳</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A07F">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B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E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8F1A">
            <w:pPr>
              <w:jc w:val="right"/>
              <w:rPr>
                <w:rFonts w:hint="eastAsia" w:ascii="宋体" w:hAnsi="宋体" w:eastAsia="宋体" w:cs="宋体"/>
                <w:i w:val="0"/>
                <w:iCs w:val="0"/>
                <w:color w:val="000000"/>
                <w:sz w:val="22"/>
                <w:szCs w:val="22"/>
                <w:u w:val="none"/>
              </w:rPr>
            </w:pPr>
          </w:p>
        </w:tc>
      </w:tr>
      <w:tr w14:paraId="0B90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794B">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6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分子生物学计算机彩色图文报告</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9C23">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F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1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分子生物学计算机彩色图文报告</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F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含计算机图文处理、储存及彩色图文报告。</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6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3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4C4">
            <w:pPr>
              <w:jc w:val="right"/>
              <w:rPr>
                <w:rFonts w:hint="eastAsia" w:ascii="宋体" w:hAnsi="宋体" w:eastAsia="宋体" w:cs="宋体"/>
                <w:i w:val="0"/>
                <w:iCs w:val="0"/>
                <w:color w:val="000000"/>
                <w:sz w:val="22"/>
                <w:szCs w:val="22"/>
                <w:u w:val="none"/>
              </w:rPr>
            </w:pPr>
          </w:p>
        </w:tc>
      </w:tr>
      <w:tr w14:paraId="276B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B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优生系列十项(TORCH-IgM/IgG)</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D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单纯疱疹病毒(HSV-I)IgM抗体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6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C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5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0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包括IgG、IgM。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7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7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9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r>
      <w:tr w14:paraId="69F8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BB19">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6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单纯疱疹病毒(HSV-1)IgG抗体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6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6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A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7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包括IgG、IgM。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F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4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DF93">
            <w:pPr>
              <w:jc w:val="right"/>
              <w:rPr>
                <w:rFonts w:hint="eastAsia" w:ascii="宋体" w:hAnsi="宋体" w:eastAsia="宋体" w:cs="宋体"/>
                <w:i w:val="0"/>
                <w:iCs w:val="0"/>
                <w:color w:val="000000"/>
                <w:sz w:val="22"/>
                <w:szCs w:val="22"/>
                <w:u w:val="none"/>
              </w:rPr>
            </w:pPr>
          </w:p>
        </w:tc>
      </w:tr>
      <w:tr w14:paraId="15A1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FABD">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F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单纯疱疹病毒(HSV-II)IgM抗体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8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67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3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E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包括IgG、IgM。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9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9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A7A4">
            <w:pPr>
              <w:jc w:val="right"/>
              <w:rPr>
                <w:rFonts w:hint="eastAsia" w:ascii="宋体" w:hAnsi="宋体" w:eastAsia="宋体" w:cs="宋体"/>
                <w:i w:val="0"/>
                <w:iCs w:val="0"/>
                <w:color w:val="000000"/>
                <w:sz w:val="22"/>
                <w:szCs w:val="22"/>
                <w:u w:val="none"/>
              </w:rPr>
            </w:pPr>
          </w:p>
        </w:tc>
      </w:tr>
      <w:tr w14:paraId="006C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5BC6">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4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单纯疱疹病毒(HSV-II)IgG抗体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A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4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5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4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包括IgG、IgM。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F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7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4042">
            <w:pPr>
              <w:jc w:val="right"/>
              <w:rPr>
                <w:rFonts w:hint="eastAsia" w:ascii="宋体" w:hAnsi="宋体" w:eastAsia="宋体" w:cs="宋体"/>
                <w:i w:val="0"/>
                <w:iCs w:val="0"/>
                <w:color w:val="000000"/>
                <w:sz w:val="22"/>
                <w:szCs w:val="22"/>
                <w:u w:val="none"/>
              </w:rPr>
            </w:pPr>
          </w:p>
        </w:tc>
      </w:tr>
      <w:tr w14:paraId="1541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3DB6">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4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巨细胞病毒IgM抗体(CMV-IgM)</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1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B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4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包括IgG、IgM。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E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5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FA6F">
            <w:pPr>
              <w:jc w:val="right"/>
              <w:rPr>
                <w:rFonts w:hint="eastAsia" w:ascii="宋体" w:hAnsi="宋体" w:eastAsia="宋体" w:cs="宋体"/>
                <w:i w:val="0"/>
                <w:iCs w:val="0"/>
                <w:color w:val="000000"/>
                <w:sz w:val="22"/>
                <w:szCs w:val="22"/>
                <w:u w:val="none"/>
              </w:rPr>
            </w:pPr>
          </w:p>
        </w:tc>
      </w:tr>
      <w:tr w14:paraId="197C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C574">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E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巨细胞病毒IgG抗体(CMV-IgG)</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C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8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6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F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包括IgG、IgM。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8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1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B5E1">
            <w:pPr>
              <w:jc w:val="right"/>
              <w:rPr>
                <w:rFonts w:hint="eastAsia" w:ascii="宋体" w:hAnsi="宋体" w:eastAsia="宋体" w:cs="宋体"/>
                <w:i w:val="0"/>
                <w:iCs w:val="0"/>
                <w:color w:val="000000"/>
                <w:sz w:val="22"/>
                <w:szCs w:val="22"/>
                <w:u w:val="none"/>
              </w:rPr>
            </w:pPr>
          </w:p>
        </w:tc>
      </w:tr>
      <w:tr w14:paraId="783E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129D">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E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风疹病毒IgM抗体(RV-IgM)</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1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8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250403021b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5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08AE">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9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2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2D47">
            <w:pPr>
              <w:jc w:val="right"/>
              <w:rPr>
                <w:rFonts w:hint="eastAsia" w:ascii="宋体" w:hAnsi="宋体" w:eastAsia="宋体" w:cs="宋体"/>
                <w:i w:val="0"/>
                <w:iCs w:val="0"/>
                <w:color w:val="000000"/>
                <w:sz w:val="22"/>
                <w:szCs w:val="22"/>
                <w:u w:val="none"/>
              </w:rPr>
            </w:pPr>
          </w:p>
        </w:tc>
      </w:tr>
      <w:tr w14:paraId="2260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826F">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5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风疹病毒IgG抗体(RV-gG)</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C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CD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250403021b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F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28A7">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8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E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B011">
            <w:pPr>
              <w:jc w:val="right"/>
              <w:rPr>
                <w:rFonts w:hint="eastAsia" w:ascii="宋体" w:hAnsi="宋体" w:eastAsia="宋体" w:cs="宋体"/>
                <w:i w:val="0"/>
                <w:iCs w:val="0"/>
                <w:color w:val="000000"/>
                <w:sz w:val="22"/>
                <w:szCs w:val="22"/>
                <w:u w:val="none"/>
              </w:rPr>
            </w:pPr>
          </w:p>
        </w:tc>
      </w:tr>
      <w:tr w14:paraId="080F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0290">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9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号形虫IgM抗体(TOX-IgM)</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1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B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250403020b*2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弓形体抗体测定（免疫学法等）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600B">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A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C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6F32">
            <w:pPr>
              <w:jc w:val="right"/>
              <w:rPr>
                <w:rFonts w:hint="eastAsia" w:ascii="宋体" w:hAnsi="宋体" w:eastAsia="宋体" w:cs="宋体"/>
                <w:i w:val="0"/>
                <w:iCs w:val="0"/>
                <w:color w:val="000000"/>
                <w:sz w:val="22"/>
                <w:szCs w:val="22"/>
                <w:u w:val="none"/>
              </w:rPr>
            </w:pPr>
          </w:p>
        </w:tc>
      </w:tr>
      <w:tr w14:paraId="2A21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4225">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B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弓形虫IgG抗体(TOX-IgG)</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3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2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250403020b*2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9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弓形体抗体测定（免疫学法等）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120B">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7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0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092B">
            <w:pPr>
              <w:jc w:val="right"/>
              <w:rPr>
                <w:rFonts w:hint="eastAsia" w:ascii="宋体" w:hAnsi="宋体" w:eastAsia="宋体" w:cs="宋体"/>
                <w:i w:val="0"/>
                <w:iCs w:val="0"/>
                <w:color w:val="000000"/>
                <w:sz w:val="22"/>
                <w:szCs w:val="22"/>
                <w:u w:val="none"/>
              </w:rPr>
            </w:pPr>
          </w:p>
        </w:tc>
      </w:tr>
      <w:tr w14:paraId="20D8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9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乙型肝炎病毒(HBV-DNA),定量,实时荧光定量PCR</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8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乙型肝炎病毒脱氧核糖核酸（HBV-DNA）定量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D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250403003b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7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乙型肝炎DNA测定（定量测定）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5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包括HBV-YMDD、HBV-前C区变异等。</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8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8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C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14:paraId="7D45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9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免疫风湿三项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E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抗角蛋白抗体(AKA)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A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间接免疫荧光法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08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250402038</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E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抗角蛋白抗体(AKA)测定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1264">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4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A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C1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r>
      <w:tr w14:paraId="3C77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587A">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7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抗核抗体(ANA)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1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间接免疫荧光法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250402002b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4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抗核抗体测定（其他方法）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37CA">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3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7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6D90">
            <w:pPr>
              <w:jc w:val="right"/>
              <w:rPr>
                <w:rFonts w:hint="eastAsia" w:ascii="宋体" w:hAnsi="宋体" w:eastAsia="宋体" w:cs="宋体"/>
                <w:i w:val="0"/>
                <w:iCs w:val="0"/>
                <w:color w:val="000000"/>
                <w:sz w:val="22"/>
                <w:szCs w:val="22"/>
                <w:u w:val="none"/>
              </w:rPr>
            </w:pPr>
          </w:p>
        </w:tc>
      </w:tr>
      <w:tr w14:paraId="6078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F2BD">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6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抗环瓜氨酸肽抗体(CCP)定量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1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24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250402041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B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抗环瓜氨酸肽抗体(抗CCP抗体)测定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3B3F">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9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B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5E0A">
            <w:pPr>
              <w:jc w:val="right"/>
              <w:rPr>
                <w:rFonts w:hint="eastAsia" w:ascii="宋体" w:hAnsi="宋体" w:eastAsia="宋体" w:cs="宋体"/>
                <w:i w:val="0"/>
                <w:iCs w:val="0"/>
                <w:color w:val="000000"/>
                <w:sz w:val="22"/>
                <w:szCs w:val="22"/>
                <w:u w:val="none"/>
              </w:rPr>
            </w:pPr>
          </w:p>
        </w:tc>
      </w:tr>
      <w:tr w14:paraId="6108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55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抗核抗体谱(自身免疫15项)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9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抗U1RNP/Sm抗体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B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3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C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5603">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0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6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0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315.00 </w:t>
            </w:r>
          </w:p>
        </w:tc>
      </w:tr>
      <w:tr w14:paraId="249C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EA07">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1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抗Sm抗体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0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3E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4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2A7E">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0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B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6CA1">
            <w:pPr>
              <w:jc w:val="right"/>
              <w:rPr>
                <w:rFonts w:hint="eastAsia" w:ascii="宋体" w:hAnsi="宋体" w:eastAsia="宋体" w:cs="宋体"/>
                <w:i w:val="0"/>
                <w:iCs w:val="0"/>
                <w:color w:val="000000"/>
                <w:sz w:val="22"/>
                <w:szCs w:val="22"/>
                <w:u w:val="none"/>
              </w:rPr>
            </w:pPr>
          </w:p>
        </w:tc>
      </w:tr>
      <w:tr w14:paraId="3B18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5EC6">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0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抗SSA抗体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A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6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7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C7FD">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0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D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1E76">
            <w:pPr>
              <w:jc w:val="right"/>
              <w:rPr>
                <w:rFonts w:hint="eastAsia" w:ascii="宋体" w:hAnsi="宋体" w:eastAsia="宋体" w:cs="宋体"/>
                <w:i w:val="0"/>
                <w:iCs w:val="0"/>
                <w:color w:val="000000"/>
                <w:sz w:val="22"/>
                <w:szCs w:val="22"/>
                <w:u w:val="none"/>
              </w:rPr>
            </w:pPr>
          </w:p>
        </w:tc>
      </w:tr>
      <w:tr w14:paraId="140F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9BD5">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F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抗SSB抗体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8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B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D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88D9">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D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4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4FB4">
            <w:pPr>
              <w:jc w:val="right"/>
              <w:rPr>
                <w:rFonts w:hint="eastAsia" w:ascii="宋体" w:hAnsi="宋体" w:eastAsia="宋体" w:cs="宋体"/>
                <w:i w:val="0"/>
                <w:iCs w:val="0"/>
                <w:color w:val="000000"/>
                <w:sz w:val="22"/>
                <w:szCs w:val="22"/>
                <w:u w:val="none"/>
              </w:rPr>
            </w:pPr>
          </w:p>
        </w:tc>
      </w:tr>
      <w:tr w14:paraId="230B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55C0">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F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抗Ro-52抗体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E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44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4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E88C">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1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E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C5FD">
            <w:pPr>
              <w:jc w:val="right"/>
              <w:rPr>
                <w:rFonts w:hint="eastAsia" w:ascii="宋体" w:hAnsi="宋体" w:eastAsia="宋体" w:cs="宋体"/>
                <w:i w:val="0"/>
                <w:iCs w:val="0"/>
                <w:color w:val="000000"/>
                <w:sz w:val="22"/>
                <w:szCs w:val="22"/>
                <w:u w:val="none"/>
              </w:rPr>
            </w:pPr>
          </w:p>
        </w:tc>
      </w:tr>
      <w:tr w14:paraId="5684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7D66">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C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抗Sc1-70抗体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1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0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2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9F02">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1C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6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AD64">
            <w:pPr>
              <w:jc w:val="right"/>
              <w:rPr>
                <w:rFonts w:hint="eastAsia" w:ascii="宋体" w:hAnsi="宋体" w:eastAsia="宋体" w:cs="宋体"/>
                <w:i w:val="0"/>
                <w:iCs w:val="0"/>
                <w:color w:val="000000"/>
                <w:sz w:val="22"/>
                <w:szCs w:val="22"/>
                <w:u w:val="none"/>
              </w:rPr>
            </w:pPr>
          </w:p>
        </w:tc>
      </w:tr>
      <w:tr w14:paraId="6A49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F8FC">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E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抗PM-Sc1抗体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C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45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B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EA1E">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D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3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975E">
            <w:pPr>
              <w:jc w:val="right"/>
              <w:rPr>
                <w:rFonts w:hint="eastAsia" w:ascii="宋体" w:hAnsi="宋体" w:eastAsia="宋体" w:cs="宋体"/>
                <w:i w:val="0"/>
                <w:iCs w:val="0"/>
                <w:color w:val="000000"/>
                <w:sz w:val="22"/>
                <w:szCs w:val="22"/>
                <w:u w:val="none"/>
              </w:rPr>
            </w:pPr>
          </w:p>
        </w:tc>
      </w:tr>
      <w:tr w14:paraId="552B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E722">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5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抗J0-1抗体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1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6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E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19A8">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B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2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C021">
            <w:pPr>
              <w:jc w:val="right"/>
              <w:rPr>
                <w:rFonts w:hint="eastAsia" w:ascii="宋体" w:hAnsi="宋体" w:eastAsia="宋体" w:cs="宋体"/>
                <w:i w:val="0"/>
                <w:iCs w:val="0"/>
                <w:color w:val="000000"/>
                <w:sz w:val="22"/>
                <w:szCs w:val="22"/>
                <w:u w:val="none"/>
              </w:rPr>
            </w:pPr>
          </w:p>
        </w:tc>
      </w:tr>
      <w:tr w14:paraId="7A140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7C40">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E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抗着丝点抗体(CENPB)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B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C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D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665D">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D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F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F289">
            <w:pPr>
              <w:jc w:val="right"/>
              <w:rPr>
                <w:rFonts w:hint="eastAsia" w:ascii="宋体" w:hAnsi="宋体" w:eastAsia="宋体" w:cs="宋体"/>
                <w:i w:val="0"/>
                <w:iCs w:val="0"/>
                <w:color w:val="000000"/>
                <w:sz w:val="22"/>
                <w:szCs w:val="22"/>
                <w:u w:val="none"/>
              </w:rPr>
            </w:pPr>
          </w:p>
        </w:tc>
      </w:tr>
      <w:tr w14:paraId="5C13F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03F8">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E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抗rRNP抗体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F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1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98B8">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1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E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AB06">
            <w:pPr>
              <w:jc w:val="right"/>
              <w:rPr>
                <w:rFonts w:hint="eastAsia" w:ascii="宋体" w:hAnsi="宋体" w:eastAsia="宋体" w:cs="宋体"/>
                <w:i w:val="0"/>
                <w:iCs w:val="0"/>
                <w:color w:val="000000"/>
                <w:sz w:val="22"/>
                <w:szCs w:val="22"/>
                <w:u w:val="none"/>
              </w:rPr>
            </w:pPr>
          </w:p>
        </w:tc>
      </w:tr>
      <w:tr w14:paraId="22F6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3AAC">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3C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抗dsDNA抗体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D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4C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E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2659">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2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3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4493">
            <w:pPr>
              <w:jc w:val="right"/>
              <w:rPr>
                <w:rFonts w:hint="eastAsia" w:ascii="宋体" w:hAnsi="宋体" w:eastAsia="宋体" w:cs="宋体"/>
                <w:i w:val="0"/>
                <w:iCs w:val="0"/>
                <w:color w:val="000000"/>
                <w:sz w:val="22"/>
                <w:szCs w:val="22"/>
                <w:u w:val="none"/>
              </w:rPr>
            </w:pPr>
          </w:p>
        </w:tc>
      </w:tr>
      <w:tr w14:paraId="5321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1C45">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8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抗PCNA抗体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A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5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250402036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17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抗增殖细胞核抗原抗体（抗PCNA）测定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7CD0">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1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7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46D9">
            <w:pPr>
              <w:jc w:val="right"/>
              <w:rPr>
                <w:rFonts w:hint="eastAsia" w:ascii="宋体" w:hAnsi="宋体" w:eastAsia="宋体" w:cs="宋体"/>
                <w:i w:val="0"/>
                <w:iCs w:val="0"/>
                <w:color w:val="000000"/>
                <w:sz w:val="22"/>
                <w:szCs w:val="22"/>
                <w:u w:val="none"/>
              </w:rPr>
            </w:pPr>
          </w:p>
        </w:tc>
      </w:tr>
      <w:tr w14:paraId="6CB7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00ED">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7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抗核小体抗体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9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5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250402044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42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抗核小体抗体测定（AnuA）</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867C">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B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6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43D7">
            <w:pPr>
              <w:jc w:val="right"/>
              <w:rPr>
                <w:rFonts w:hint="eastAsia" w:ascii="宋体" w:hAnsi="宋体" w:eastAsia="宋体" w:cs="宋体"/>
                <w:i w:val="0"/>
                <w:iCs w:val="0"/>
                <w:color w:val="000000"/>
                <w:sz w:val="22"/>
                <w:szCs w:val="22"/>
                <w:u w:val="none"/>
              </w:rPr>
            </w:pPr>
          </w:p>
        </w:tc>
      </w:tr>
      <w:tr w14:paraId="6745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3D8B">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抗组蛋白抗体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B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B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250402049</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D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抗组蛋白抗体(AHA)测定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68FC">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9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F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81CA">
            <w:pPr>
              <w:jc w:val="right"/>
              <w:rPr>
                <w:rFonts w:hint="eastAsia" w:ascii="宋体" w:hAnsi="宋体" w:eastAsia="宋体" w:cs="宋体"/>
                <w:i w:val="0"/>
                <w:iCs w:val="0"/>
                <w:color w:val="000000"/>
                <w:sz w:val="22"/>
                <w:szCs w:val="22"/>
                <w:u w:val="none"/>
              </w:rPr>
            </w:pPr>
          </w:p>
        </w:tc>
      </w:tr>
      <w:tr w14:paraId="413B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95AB">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4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抗线粒体亚型-2抗体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9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D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250402059</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E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抗Mi-2抗体测定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4CC2">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B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F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5826">
            <w:pPr>
              <w:jc w:val="right"/>
              <w:rPr>
                <w:rFonts w:hint="eastAsia" w:ascii="宋体" w:hAnsi="宋体" w:eastAsia="宋体" w:cs="宋体"/>
                <w:i w:val="0"/>
                <w:iCs w:val="0"/>
                <w:color w:val="000000"/>
                <w:sz w:val="22"/>
                <w:szCs w:val="22"/>
                <w:u w:val="none"/>
              </w:rPr>
            </w:pPr>
          </w:p>
        </w:tc>
      </w:tr>
      <w:tr w14:paraId="0FE0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85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促甲状腺激素受体抗体(TRAb),化学发光法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A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促甲状腺激素受体抗体(TRAb)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7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5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250310017a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B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促甲状腺素受体抗体测定（化学发光法）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966D">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5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0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B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2425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50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抗核抗体(ANA),间接免疫荧光法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5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抗核抗体(ANA)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6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间接免疫荧光法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C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250402002b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7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抗核抗体测定（其他方法）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8117">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4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1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1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4866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C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血管炎五项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E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抗蛋白酶3抗体(PR3-Ab)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5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D6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E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抗中性粒细胞胞浆抗体测定（ANCA）</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7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3"/>
                <w:lang w:val="en-US" w:eastAsia="zh-CN" w:bidi="ar"/>
              </w:rPr>
              <w:t>包括cANCA、pANCA、PR</w:t>
            </w:r>
            <w:r>
              <w:rPr>
                <w:rStyle w:val="224"/>
                <w:lang w:val="en-US" w:eastAsia="zh-CN" w:bidi="ar"/>
              </w:rPr>
              <w:t>3</w:t>
            </w:r>
            <w:r>
              <w:rPr>
                <w:rStyle w:val="223"/>
                <w:lang w:val="en-US" w:eastAsia="zh-CN" w:bidi="ar"/>
              </w:rPr>
              <w:t>-ANCA、MPO-ANCA。</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7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8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2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r>
      <w:tr w14:paraId="6D7F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2836">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7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抗髓过氧化物酶抗体(MPO-Ab)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4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2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4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抗中性粒细胞胞浆抗体测定（ANCA）</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8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3"/>
                <w:lang w:val="en-US" w:eastAsia="zh-CN" w:bidi="ar"/>
              </w:rPr>
              <w:t>包括cANCA、pANCA、PR</w:t>
            </w:r>
            <w:r>
              <w:rPr>
                <w:rStyle w:val="224"/>
                <w:lang w:val="en-US" w:eastAsia="zh-CN" w:bidi="ar"/>
              </w:rPr>
              <w:t>3</w:t>
            </w:r>
            <w:r>
              <w:rPr>
                <w:rStyle w:val="223"/>
                <w:lang w:val="en-US" w:eastAsia="zh-CN" w:bidi="ar"/>
              </w:rPr>
              <w:t>-ANCA、MPO-ANCA。</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7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0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3738">
            <w:pPr>
              <w:jc w:val="right"/>
              <w:rPr>
                <w:rFonts w:hint="eastAsia" w:ascii="宋体" w:hAnsi="宋体" w:eastAsia="宋体" w:cs="宋体"/>
                <w:i w:val="0"/>
                <w:iCs w:val="0"/>
                <w:color w:val="000000"/>
                <w:sz w:val="22"/>
                <w:szCs w:val="22"/>
                <w:u w:val="none"/>
              </w:rPr>
            </w:pPr>
          </w:p>
        </w:tc>
      </w:tr>
      <w:tr w14:paraId="0B97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FACC">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1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抗中性粒细胞胞浆抗体-CANCA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7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7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2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抗中性粒细胞胞浆抗体测定（ANCA）</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7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3"/>
                <w:lang w:val="en-US" w:eastAsia="zh-CN" w:bidi="ar"/>
              </w:rPr>
              <w:t>包括cANCA、pANCA、PR</w:t>
            </w:r>
            <w:r>
              <w:rPr>
                <w:rStyle w:val="224"/>
                <w:lang w:val="en-US" w:eastAsia="zh-CN" w:bidi="ar"/>
              </w:rPr>
              <w:t>3</w:t>
            </w:r>
            <w:r>
              <w:rPr>
                <w:rStyle w:val="223"/>
                <w:lang w:val="en-US" w:eastAsia="zh-CN" w:bidi="ar"/>
              </w:rPr>
              <w:t>-ANCA、MPO-ANCA。</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3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4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0780">
            <w:pPr>
              <w:jc w:val="right"/>
              <w:rPr>
                <w:rFonts w:hint="eastAsia" w:ascii="宋体" w:hAnsi="宋体" w:eastAsia="宋体" w:cs="宋体"/>
                <w:i w:val="0"/>
                <w:iCs w:val="0"/>
                <w:color w:val="000000"/>
                <w:sz w:val="22"/>
                <w:szCs w:val="22"/>
                <w:u w:val="none"/>
              </w:rPr>
            </w:pPr>
          </w:p>
        </w:tc>
      </w:tr>
      <w:tr w14:paraId="1182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347F">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8F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抗中性粒细胞胞浆抗体-PANCA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5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0E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2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抗中性粒细胞胞浆抗体测定（ANCA）</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9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3"/>
                <w:lang w:val="en-US" w:eastAsia="zh-CN" w:bidi="ar"/>
              </w:rPr>
              <w:t>包括cANCA、pANCA、PR</w:t>
            </w:r>
            <w:r>
              <w:rPr>
                <w:rStyle w:val="224"/>
                <w:lang w:val="en-US" w:eastAsia="zh-CN" w:bidi="ar"/>
              </w:rPr>
              <w:t>3</w:t>
            </w:r>
            <w:r>
              <w:rPr>
                <w:rStyle w:val="223"/>
                <w:lang w:val="en-US" w:eastAsia="zh-CN" w:bidi="ar"/>
              </w:rPr>
              <w:t>-ANCA、MPO-ANCA。</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2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8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44C8">
            <w:pPr>
              <w:jc w:val="right"/>
              <w:rPr>
                <w:rFonts w:hint="eastAsia" w:ascii="宋体" w:hAnsi="宋体" w:eastAsia="宋体" w:cs="宋体"/>
                <w:i w:val="0"/>
                <w:iCs w:val="0"/>
                <w:color w:val="000000"/>
                <w:sz w:val="22"/>
                <w:szCs w:val="22"/>
                <w:u w:val="none"/>
              </w:rPr>
            </w:pPr>
          </w:p>
        </w:tc>
      </w:tr>
      <w:tr w14:paraId="65BC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7830">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2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抗心磷脂抗体(ACA)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B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8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250402016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3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抗心磷脂抗体测定(ACA)</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包括IgA、IgM、IgG。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2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0FB0">
            <w:pPr>
              <w:jc w:val="right"/>
              <w:rPr>
                <w:rFonts w:hint="eastAsia" w:ascii="宋体" w:hAnsi="宋体" w:eastAsia="宋体" w:cs="宋体"/>
                <w:i w:val="0"/>
                <w:iCs w:val="0"/>
                <w:color w:val="000000"/>
                <w:sz w:val="22"/>
                <w:szCs w:val="22"/>
                <w:u w:val="none"/>
              </w:rPr>
            </w:pPr>
          </w:p>
        </w:tc>
      </w:tr>
      <w:tr w14:paraId="4480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7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25-羟基维生素D</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A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25-羟基维生素D2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5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高效液相色谱-串联质谱法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0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250309002a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F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1,25双羟维生素D测定(色谱法)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ADB7">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8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5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01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r>
      <w:tr w14:paraId="105F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906D">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E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25-羟基维生素D3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3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高效液相色谱-串联质谱法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D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250309002a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C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1,25双羟维生素D测定(色谱法)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1281">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B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1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4C36">
            <w:pPr>
              <w:jc w:val="right"/>
              <w:rPr>
                <w:rFonts w:hint="eastAsia" w:ascii="宋体" w:hAnsi="宋体" w:eastAsia="宋体" w:cs="宋体"/>
                <w:i w:val="0"/>
                <w:iCs w:val="0"/>
                <w:color w:val="000000"/>
                <w:sz w:val="22"/>
                <w:szCs w:val="22"/>
                <w:u w:val="none"/>
              </w:rPr>
            </w:pPr>
          </w:p>
        </w:tc>
      </w:tr>
      <w:tr w14:paraId="7565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6BC4">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E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25-羟基维生素D，D2+D3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F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B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6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3201">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7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A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CBE6">
            <w:pPr>
              <w:jc w:val="right"/>
              <w:rPr>
                <w:rFonts w:hint="eastAsia" w:ascii="宋体" w:hAnsi="宋体" w:eastAsia="宋体" w:cs="宋体"/>
                <w:i w:val="0"/>
                <w:iCs w:val="0"/>
                <w:color w:val="000000"/>
                <w:sz w:val="22"/>
                <w:szCs w:val="22"/>
                <w:u w:val="none"/>
              </w:rPr>
            </w:pPr>
          </w:p>
        </w:tc>
      </w:tr>
      <w:tr w14:paraId="591A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4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戊肝两项（HEV-IgG、HEV-IgM）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0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戊型肝炎病毒抗体IgM(HEV-IgM)</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5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1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250403017b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E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2AB4">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F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F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restart"/>
            <w:tcBorders>
              <w:top w:val="single" w:color="000000" w:sz="4" w:space="0"/>
              <w:left w:val="single" w:color="000000" w:sz="4" w:space="0"/>
              <w:right w:val="single" w:color="000000" w:sz="4" w:space="0"/>
            </w:tcBorders>
            <w:shd w:val="clear" w:color="auto" w:fill="auto"/>
            <w:noWrap/>
            <w:vAlign w:val="center"/>
          </w:tcPr>
          <w:p w14:paraId="0C75B2AA">
            <w:pPr>
              <w:keepNext w:val="0"/>
              <w:keepLines w:val="0"/>
              <w:widowControl/>
              <w:suppressLineNumbers w:val="0"/>
              <w:jc w:val="righ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 xml:space="preserve">40.00 </w:t>
            </w:r>
          </w:p>
        </w:tc>
      </w:tr>
      <w:tr w14:paraId="4587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1618">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8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戊型肝炎病毒抗体IgG(HEV-IgG)</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7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250403017b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5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5732">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3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C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left w:val="single" w:color="000000" w:sz="4" w:space="0"/>
              <w:bottom w:val="single" w:color="000000" w:sz="4" w:space="0"/>
              <w:right w:val="single" w:color="000000" w:sz="4" w:space="0"/>
            </w:tcBorders>
            <w:shd w:val="clear" w:color="auto" w:fill="auto"/>
            <w:noWrap/>
            <w:vAlign w:val="center"/>
          </w:tcPr>
          <w:p w14:paraId="06A3B2BC">
            <w:pPr>
              <w:jc w:val="right"/>
              <w:rPr>
                <w:rFonts w:hint="eastAsia" w:ascii="宋体" w:hAnsi="宋体" w:eastAsia="宋体" w:cs="宋体"/>
                <w:i w:val="0"/>
                <w:iCs w:val="0"/>
                <w:color w:val="FF0000"/>
                <w:sz w:val="22"/>
                <w:szCs w:val="22"/>
                <w:u w:val="none"/>
              </w:rPr>
            </w:pPr>
          </w:p>
        </w:tc>
      </w:tr>
      <w:tr w14:paraId="4010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0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全血微量元素七项(Pb,Mn,Ca,Cu,Fe,Zn,Mg)</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3E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Pb,Mn,Ca,Cu,Fe,Zn,Mg</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5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电感耦合等离子体质谱法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83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250304004b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D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钙测定（其他方法）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699F">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0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1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8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 </w:t>
            </w:r>
          </w:p>
        </w:tc>
      </w:tr>
      <w:tr w14:paraId="2B00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1E63">
            <w:pPr>
              <w:jc w:val="left"/>
              <w:rPr>
                <w:rFonts w:hint="eastAsia" w:ascii="宋体" w:hAnsi="宋体" w:eastAsia="宋体" w:cs="宋体"/>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D4331">
            <w:pPr>
              <w:jc w:val="left"/>
              <w:rPr>
                <w:rFonts w:hint="eastAsia" w:ascii="宋体" w:hAnsi="宋体" w:eastAsia="宋体" w:cs="宋体"/>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E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电感耦合等离子体质谱法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9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250304006b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4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镁测定（其他方法）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F2A6">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7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4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C3E3">
            <w:pPr>
              <w:jc w:val="right"/>
              <w:rPr>
                <w:rFonts w:hint="eastAsia" w:ascii="宋体" w:hAnsi="宋体" w:eastAsia="宋体" w:cs="宋体"/>
                <w:i w:val="0"/>
                <w:iCs w:val="0"/>
                <w:color w:val="000000"/>
                <w:sz w:val="22"/>
                <w:szCs w:val="22"/>
                <w:u w:val="none"/>
              </w:rPr>
            </w:pPr>
          </w:p>
        </w:tc>
      </w:tr>
      <w:tr w14:paraId="1581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8714">
            <w:pPr>
              <w:jc w:val="left"/>
              <w:rPr>
                <w:rFonts w:hint="eastAsia" w:ascii="宋体" w:hAnsi="宋体" w:eastAsia="宋体" w:cs="宋体"/>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6A6C5">
            <w:pPr>
              <w:jc w:val="left"/>
              <w:rPr>
                <w:rFonts w:hint="eastAsia" w:ascii="宋体" w:hAnsi="宋体" w:eastAsia="宋体" w:cs="宋体"/>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A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电感耦合等离子体质谱法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B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250304007b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3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铁测定（其他方法）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91C6">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5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B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13A5">
            <w:pPr>
              <w:jc w:val="right"/>
              <w:rPr>
                <w:rFonts w:hint="eastAsia" w:ascii="宋体" w:hAnsi="宋体" w:eastAsia="宋体" w:cs="宋体"/>
                <w:i w:val="0"/>
                <w:iCs w:val="0"/>
                <w:color w:val="000000"/>
                <w:sz w:val="22"/>
                <w:szCs w:val="22"/>
                <w:u w:val="none"/>
              </w:rPr>
            </w:pPr>
          </w:p>
        </w:tc>
      </w:tr>
      <w:tr w14:paraId="6AAA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829A">
            <w:pPr>
              <w:jc w:val="left"/>
              <w:rPr>
                <w:rFonts w:hint="eastAsia" w:ascii="宋体" w:hAnsi="宋体" w:eastAsia="宋体" w:cs="宋体"/>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40F4">
            <w:pPr>
              <w:jc w:val="left"/>
              <w:rPr>
                <w:rFonts w:hint="eastAsia" w:ascii="宋体" w:hAnsi="宋体" w:eastAsia="宋体" w:cs="宋体"/>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8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电感耦合等离子体质谱法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E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250304009</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B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全血铅测定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6F92">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4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7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A018">
            <w:pPr>
              <w:jc w:val="right"/>
              <w:rPr>
                <w:rFonts w:hint="eastAsia" w:ascii="宋体" w:hAnsi="宋体" w:eastAsia="宋体" w:cs="宋体"/>
                <w:i w:val="0"/>
                <w:iCs w:val="0"/>
                <w:color w:val="000000"/>
                <w:sz w:val="22"/>
                <w:szCs w:val="22"/>
                <w:u w:val="none"/>
              </w:rPr>
            </w:pPr>
          </w:p>
        </w:tc>
      </w:tr>
      <w:tr w14:paraId="4E14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679D">
            <w:pPr>
              <w:jc w:val="left"/>
              <w:rPr>
                <w:rFonts w:hint="eastAsia" w:ascii="宋体" w:hAnsi="宋体" w:eastAsia="宋体" w:cs="宋体"/>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CB4D">
            <w:pPr>
              <w:jc w:val="left"/>
              <w:rPr>
                <w:rFonts w:hint="eastAsia" w:ascii="宋体" w:hAnsi="宋体" w:eastAsia="宋体" w:cs="宋体"/>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E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电感耦合等离子体质谱法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C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250304013*3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9F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微量元素测定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2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包括铜、硒、锌、锶、镉、汞、铝、锰、钼、锂、砷、碘等。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C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每元素</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E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E0A4">
            <w:pPr>
              <w:jc w:val="right"/>
              <w:rPr>
                <w:rFonts w:hint="eastAsia" w:ascii="宋体" w:hAnsi="宋体" w:eastAsia="宋体" w:cs="宋体"/>
                <w:i w:val="0"/>
                <w:iCs w:val="0"/>
                <w:color w:val="000000"/>
                <w:sz w:val="22"/>
                <w:szCs w:val="22"/>
                <w:u w:val="none"/>
              </w:rPr>
            </w:pPr>
          </w:p>
        </w:tc>
      </w:tr>
      <w:tr w14:paraId="04EA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9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自身免疫性肝病抗体八项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7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抗线粒体亚型-2抗体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0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A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250402007a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F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抗线粒体抗体测定(免疫印迹法)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EE28">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E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2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1F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205.00 </w:t>
            </w:r>
          </w:p>
        </w:tc>
      </w:tr>
      <w:tr w14:paraId="4F82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E868">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9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抗可溶性肝抗原/肝胰抗原抗体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B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A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250402039</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D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抗可溶性肝抗原/肝-胰抗原抗体(SLA/LP)测定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234A">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F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C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AC35">
            <w:pPr>
              <w:jc w:val="right"/>
              <w:rPr>
                <w:rFonts w:hint="eastAsia" w:ascii="宋体" w:hAnsi="宋体" w:eastAsia="宋体" w:cs="宋体"/>
                <w:i w:val="0"/>
                <w:iCs w:val="0"/>
                <w:color w:val="000000"/>
                <w:sz w:val="22"/>
                <w:szCs w:val="22"/>
                <w:u w:val="none"/>
              </w:rPr>
            </w:pPr>
          </w:p>
        </w:tc>
      </w:tr>
      <w:tr w14:paraId="3087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E1DD">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E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抗肝肾微粒体抗体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3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D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250402040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8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抗肝肾微粒体抗体(LKM)测定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D7B4">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B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1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6950">
            <w:pPr>
              <w:jc w:val="right"/>
              <w:rPr>
                <w:rFonts w:hint="eastAsia" w:ascii="宋体" w:hAnsi="宋体" w:eastAsia="宋体" w:cs="宋体"/>
                <w:i w:val="0"/>
                <w:iCs w:val="0"/>
                <w:color w:val="000000"/>
                <w:sz w:val="22"/>
                <w:szCs w:val="22"/>
                <w:u w:val="none"/>
              </w:rPr>
            </w:pPr>
          </w:p>
        </w:tc>
      </w:tr>
      <w:tr w14:paraId="52E1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5241">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3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抗肝溶质抗原1型抗体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3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0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250402046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7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抗肝细胞溶质抗原I型抗体测定(LC-1)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884E">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7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9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F359">
            <w:pPr>
              <w:jc w:val="right"/>
              <w:rPr>
                <w:rFonts w:hint="eastAsia" w:ascii="宋体" w:hAnsi="宋体" w:eastAsia="宋体" w:cs="宋体"/>
                <w:i w:val="0"/>
                <w:iCs w:val="0"/>
                <w:color w:val="000000"/>
                <w:sz w:val="22"/>
                <w:szCs w:val="22"/>
                <w:u w:val="none"/>
              </w:rPr>
            </w:pPr>
          </w:p>
        </w:tc>
      </w:tr>
      <w:tr w14:paraId="1CC4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BED2">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8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抗SP100抗体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1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A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6F2C">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A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D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E5BF">
            <w:pPr>
              <w:jc w:val="right"/>
              <w:rPr>
                <w:rFonts w:hint="eastAsia" w:ascii="宋体" w:hAnsi="宋体" w:eastAsia="宋体" w:cs="宋体"/>
                <w:i w:val="0"/>
                <w:iCs w:val="0"/>
                <w:color w:val="000000"/>
                <w:sz w:val="22"/>
                <w:szCs w:val="22"/>
                <w:u w:val="none"/>
              </w:rPr>
            </w:pPr>
          </w:p>
        </w:tc>
      </w:tr>
      <w:tr w14:paraId="41B0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8115">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0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抗gp210抗体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3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29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4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D118">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E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2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A75E">
            <w:pPr>
              <w:jc w:val="right"/>
              <w:rPr>
                <w:rFonts w:hint="eastAsia" w:ascii="宋体" w:hAnsi="宋体" w:eastAsia="宋体" w:cs="宋体"/>
                <w:i w:val="0"/>
                <w:iCs w:val="0"/>
                <w:color w:val="000000"/>
                <w:sz w:val="22"/>
                <w:szCs w:val="22"/>
                <w:u w:val="none"/>
              </w:rPr>
            </w:pPr>
          </w:p>
        </w:tc>
      </w:tr>
      <w:tr w14:paraId="20F2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F934">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E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抗Ro-52抗体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9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6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7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BBB3">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A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B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511B">
            <w:pPr>
              <w:jc w:val="right"/>
              <w:rPr>
                <w:rFonts w:hint="eastAsia" w:ascii="宋体" w:hAnsi="宋体" w:eastAsia="宋体" w:cs="宋体"/>
                <w:i w:val="0"/>
                <w:iCs w:val="0"/>
                <w:color w:val="000000"/>
                <w:sz w:val="22"/>
                <w:szCs w:val="22"/>
                <w:u w:val="none"/>
              </w:rPr>
            </w:pPr>
          </w:p>
        </w:tc>
      </w:tr>
      <w:tr w14:paraId="5473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8F1D">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9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抗着丝点抗体(CENPB)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8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3D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5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4DE7">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4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7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2BC8">
            <w:pPr>
              <w:jc w:val="right"/>
              <w:rPr>
                <w:rFonts w:hint="eastAsia" w:ascii="宋体" w:hAnsi="宋体" w:eastAsia="宋体" w:cs="宋体"/>
                <w:i w:val="0"/>
                <w:iCs w:val="0"/>
                <w:color w:val="000000"/>
                <w:sz w:val="22"/>
                <w:szCs w:val="22"/>
                <w:u w:val="none"/>
              </w:rPr>
            </w:pPr>
          </w:p>
        </w:tc>
      </w:tr>
      <w:tr w14:paraId="7914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2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抗环瓜氨酸肽（CCP）抗体定量,化学发光法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4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抗环瓜氨酸肽（CCP）抗体定量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C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6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250402041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抗环瓜氨酸肽抗体(抗CCP抗体)测定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67B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7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2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6A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r>
      <w:tr w14:paraId="5766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8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促肾上腺皮质激素(ACTH),化学发光法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F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促肾上腺皮质激素(ACTH)</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E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A1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250310006a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7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血清促肾上腺皮质激素测定（化学发光法）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6DBD">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D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3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93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14:paraId="46B2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0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皮质醇(COR)</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皮质醇(COR)</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5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F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250310018a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EA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血浆皮质醇测定（化学发光法）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9EFA">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F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7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D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3DDD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6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抗角蛋白抗体(AKA),间接免疫荧光法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4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抗角蛋白抗体(AKA)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D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间接免疫荧光法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0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250402038</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2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抗角蛋白抗体(AKA)测定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934F">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E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4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3E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14:paraId="7667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5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人类白细胞分化抗原B27(HLA-B27)筛查,流式细胞术</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8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人类白细胞分化抗原B27(HLA-B27)筛查</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5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流式细胞术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E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250203068a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D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人类白细胞抗原B27测定（流式细胞仪法）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E44F">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3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F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D3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 </w:t>
            </w:r>
          </w:p>
        </w:tc>
      </w:tr>
      <w:tr w14:paraId="1374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8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总IgE,电化学发光法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12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总IgE,电化学发光法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9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0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250405001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7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总IgE测定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08A9">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CD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D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8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4500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D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丙型肝炎病毒(HCV-RNA),定量,实时荧光定量PCR</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7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丙型肝炎病毒(HCV-RNA)定量 实时荧光定量PCR</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A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8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250403013b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8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丙型肝炎RNA测定(定量测定)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9B0F">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7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7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03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r>
      <w:tr w14:paraId="418D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6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抗肾小球基底膜（GBM）抗体,定量</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B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抗肾小球基底膜（GBM）抗体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C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87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250402019a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B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抗肾小球基底膜抗体测定（免疫学法）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F86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2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6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66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70EE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6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肝纤四项(HA,PIIINP,IV-C,LN)</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6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透明质酸(HA)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2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8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250305022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3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血清透明质酸酶测定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F2A6">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E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4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3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5287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8163">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2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Ⅲ型前胶原N端肽(PIIINP)</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7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0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250305019</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3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血清Ⅲ型胶原测定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C5BF">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0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2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6B3C">
            <w:pPr>
              <w:jc w:val="right"/>
              <w:rPr>
                <w:rFonts w:hint="eastAsia" w:ascii="宋体" w:hAnsi="宋体" w:eastAsia="宋体" w:cs="宋体"/>
                <w:i w:val="0"/>
                <w:iCs w:val="0"/>
                <w:color w:val="000000"/>
                <w:sz w:val="22"/>
                <w:szCs w:val="22"/>
                <w:u w:val="none"/>
              </w:rPr>
            </w:pPr>
          </w:p>
        </w:tc>
      </w:tr>
      <w:tr w14:paraId="324A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3E32">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7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Ⅳ型胶原(IV-C)</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A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93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250305018</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C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血清Ⅳ型胶原测定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B41D">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4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8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C270">
            <w:pPr>
              <w:jc w:val="right"/>
              <w:rPr>
                <w:rFonts w:hint="eastAsia" w:ascii="宋体" w:hAnsi="宋体" w:eastAsia="宋体" w:cs="宋体"/>
                <w:i w:val="0"/>
                <w:iCs w:val="0"/>
                <w:color w:val="000000"/>
                <w:sz w:val="22"/>
                <w:szCs w:val="22"/>
                <w:u w:val="none"/>
              </w:rPr>
            </w:pPr>
          </w:p>
        </w:tc>
      </w:tr>
      <w:tr w14:paraId="0BFF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0B98">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4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层粘连蛋白(LN)</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5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9A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250305020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8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血清层粘连蛋白测定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0CBB">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C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9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D993">
            <w:pPr>
              <w:jc w:val="right"/>
              <w:rPr>
                <w:rFonts w:hint="eastAsia" w:ascii="宋体" w:hAnsi="宋体" w:eastAsia="宋体" w:cs="宋体"/>
                <w:i w:val="0"/>
                <w:iCs w:val="0"/>
                <w:color w:val="000000"/>
                <w:sz w:val="22"/>
                <w:szCs w:val="22"/>
                <w:u w:val="none"/>
              </w:rPr>
            </w:pPr>
          </w:p>
        </w:tc>
      </w:tr>
      <w:tr w14:paraId="0D2A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8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抗肾小球基底膜抗体(GBM),ELISA法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7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抗肾小球基底膜抗体(GBM)</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3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07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250402019a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F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抗肾小球基底膜抗体测定（免疫学法）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7619">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D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D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1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574A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3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肥达氏试验和外斐氏试验</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3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伤寒菌0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F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凝集反应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2D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250403038</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9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肥达氏反应</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2325">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F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6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8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5335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AD25">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4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伤寒菌H</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3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凝集反应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B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250403038</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F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肥达氏反应</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3A10">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1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1190">
            <w:pPr>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074C">
            <w:pPr>
              <w:jc w:val="center"/>
              <w:rPr>
                <w:rFonts w:hint="eastAsia" w:ascii="宋体" w:hAnsi="宋体" w:eastAsia="宋体" w:cs="宋体"/>
                <w:i w:val="0"/>
                <w:iCs w:val="0"/>
                <w:color w:val="000000"/>
                <w:sz w:val="22"/>
                <w:szCs w:val="22"/>
                <w:u w:val="none"/>
              </w:rPr>
            </w:pPr>
          </w:p>
        </w:tc>
      </w:tr>
      <w:tr w14:paraId="0DAE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242F">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5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副伤寒甲</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E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凝集反应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2B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250403038</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C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肥达氏反应</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0FCC">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3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2127">
            <w:pPr>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2EC0">
            <w:pPr>
              <w:jc w:val="center"/>
              <w:rPr>
                <w:rFonts w:hint="eastAsia" w:ascii="宋体" w:hAnsi="宋体" w:eastAsia="宋体" w:cs="宋体"/>
                <w:i w:val="0"/>
                <w:iCs w:val="0"/>
                <w:color w:val="000000"/>
                <w:sz w:val="22"/>
                <w:szCs w:val="22"/>
                <w:u w:val="none"/>
              </w:rPr>
            </w:pPr>
          </w:p>
        </w:tc>
      </w:tr>
      <w:tr w14:paraId="030B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95D0">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2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副伤寒乙</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F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凝集反应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DD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250403038</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C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肥达氏反应</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3312">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2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6948">
            <w:pPr>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6925">
            <w:pPr>
              <w:jc w:val="center"/>
              <w:rPr>
                <w:rFonts w:hint="eastAsia" w:ascii="宋体" w:hAnsi="宋体" w:eastAsia="宋体" w:cs="宋体"/>
                <w:i w:val="0"/>
                <w:iCs w:val="0"/>
                <w:color w:val="000000"/>
                <w:sz w:val="22"/>
                <w:szCs w:val="22"/>
                <w:u w:val="none"/>
              </w:rPr>
            </w:pPr>
          </w:p>
        </w:tc>
      </w:tr>
      <w:tr w14:paraId="08B5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7382">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9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副伤寒丙</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C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凝集反应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7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250403038</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E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肥达氏反应</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5EC6">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D8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F40F">
            <w:pPr>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F545">
            <w:pPr>
              <w:jc w:val="center"/>
              <w:rPr>
                <w:rFonts w:hint="eastAsia" w:ascii="宋体" w:hAnsi="宋体" w:eastAsia="宋体" w:cs="宋体"/>
                <w:i w:val="0"/>
                <w:iCs w:val="0"/>
                <w:color w:val="000000"/>
                <w:sz w:val="22"/>
                <w:szCs w:val="22"/>
                <w:u w:val="none"/>
              </w:rPr>
            </w:pPr>
          </w:p>
        </w:tc>
      </w:tr>
      <w:tr w14:paraId="2E30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D7E4">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A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变形菌0X19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3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凝集反应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7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250403039</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E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外斐氏反应</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AC14">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D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BFC7">
            <w:pPr>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D72B">
            <w:pPr>
              <w:jc w:val="center"/>
              <w:rPr>
                <w:rFonts w:hint="eastAsia" w:ascii="宋体" w:hAnsi="宋体" w:eastAsia="宋体" w:cs="宋体"/>
                <w:i w:val="0"/>
                <w:iCs w:val="0"/>
                <w:color w:val="000000"/>
                <w:sz w:val="22"/>
                <w:szCs w:val="22"/>
                <w:u w:val="none"/>
              </w:rPr>
            </w:pPr>
          </w:p>
        </w:tc>
      </w:tr>
      <w:tr w14:paraId="76F3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9B14">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D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变形菌0X2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1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凝集反应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A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250403039</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7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外斐氏反应</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3292">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0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2C4A">
            <w:pPr>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917F">
            <w:pPr>
              <w:jc w:val="center"/>
              <w:rPr>
                <w:rFonts w:hint="eastAsia" w:ascii="宋体" w:hAnsi="宋体" w:eastAsia="宋体" w:cs="宋体"/>
                <w:i w:val="0"/>
                <w:iCs w:val="0"/>
                <w:color w:val="000000"/>
                <w:sz w:val="22"/>
                <w:szCs w:val="22"/>
                <w:u w:val="none"/>
              </w:rPr>
            </w:pPr>
          </w:p>
        </w:tc>
      </w:tr>
      <w:tr w14:paraId="7711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C753">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8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变形菌0Xk</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7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凝集反应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12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250403039</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7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外斐氏反应</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219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6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BC20">
            <w:pPr>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1893">
            <w:pPr>
              <w:jc w:val="center"/>
              <w:rPr>
                <w:rFonts w:hint="eastAsia" w:ascii="宋体" w:hAnsi="宋体" w:eastAsia="宋体" w:cs="宋体"/>
                <w:i w:val="0"/>
                <w:iCs w:val="0"/>
                <w:color w:val="000000"/>
                <w:sz w:val="22"/>
                <w:szCs w:val="22"/>
                <w:u w:val="none"/>
              </w:rPr>
            </w:pPr>
          </w:p>
        </w:tc>
      </w:tr>
      <w:tr w14:paraId="6F52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C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EB病毒(EB DNA),定量,实时PCR法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B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EB病毒(EB DNA)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A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FF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250403065b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8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病原体DNA定量测定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2097">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6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F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D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C09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A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（特殊）结核杆菌γ-干扰素释放试验,化学发光法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8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结核分枝杆菌特异性细胞免疫反应</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E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B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250403086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0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结核感染T细胞检测</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B706">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2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F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A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r>
      <w:tr w14:paraId="1721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9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庚型肝炎病毒抗体 IgG(HGV-IgG),ELISA法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C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庚型肝炎病毒抗体 IgG(HGV-IgG)</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2B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250403018b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B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庚型肝炎IgG抗体测定（免疫学法等）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2BEB">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B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7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C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1540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7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雌二醇(E2),化学发光法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8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雌二醇(E2)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1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1F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250310036a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5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雌二醇测定（化学发光法）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563A">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D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3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B7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40BA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A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戊型肝炎病毒抗体IgM(HEV-IgM),ELISA法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9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戊型肝炎病毒抗体IgM(HEV-IgM)</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5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2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250403017b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D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A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包括IgG、IgM。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0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5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4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66B9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9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(1-3)-β-D葡聚糖(G试验),显色法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6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(1-3)-β-D葡聚糖(G试验）</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0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显色法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7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250501040a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D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真菌D-葡聚糖检测</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0F4C">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F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A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4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r>
      <w:tr w14:paraId="2153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9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抗心磷脂抗体三项(ACA-IgA,IgG,IgM)抗心磷脂抗体三项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A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抗心磷脂抗体IgA(ACA-IgA) 胶体金法 </w:t>
            </w:r>
          </w:p>
          <w:p w14:paraId="39F2D1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抗心磷脂抗体IgM(ACA-IgM) 胶体金法</w:t>
            </w:r>
          </w:p>
          <w:p w14:paraId="2A7B4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抗心磷脂抗体IgG(ACA-IgG) 胶体金法 </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F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胶体金法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C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250402016*3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C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抗心磷脂抗体测定(ACA)</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F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包括IgA、IgM、IgG。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6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B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C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r>
      <w:tr w14:paraId="285D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9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生长激素(GH)</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AB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生长激素</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4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5F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7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血清生长激素测定(化学发光法)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7EC1">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94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E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0C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14:paraId="2F80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9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单纯疱疹病毒Ⅰ+Ⅱ型(IgM+IgG)</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D5A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单纯疱疹病毒(HSV-Ⅰ)IgG抗体 ELISA法</w:t>
            </w:r>
          </w:p>
          <w:p w14:paraId="660B0D8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单纯疱疹病毒(HSV-II)IgG抗体 ELISA法     单纯疱疹病毒(HSV-Ⅰ)IgM抗体 ELISA法 </w:t>
            </w:r>
          </w:p>
          <w:p w14:paraId="21187C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单纯疱疹病毒(HSV-II)IgM抗体 ELISA法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E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7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250403024*4</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C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6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包括IgG、IgM。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4C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3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2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r>
      <w:tr w14:paraId="6F5E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0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垂体催乳素(PRL),化学发光法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B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垂体催乳素(PRL)</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4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72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250310002a</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A7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血清泌乳素测定(化学发光法)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D384">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B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6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C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14:paraId="319F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1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曲霉菌抗原（GM试验）</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3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曲霉菌抗原（GM试验）</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0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52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250501046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5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半乳甘露聚糖（GM）检测</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38FB">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A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5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1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r>
      <w:tr w14:paraId="37D2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B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腺苷脱氨酶(ADA),胸(腹)水,速率法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E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腺苷脱氨酶(ADA)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9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速率法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2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250305023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09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腺苷脱氨酶测定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5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包括血清、脑脊液、胸水标本。</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4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5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08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r>
      <w:tr w14:paraId="3DDC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F4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曲霉菌细胞壁半乳甘露聚糖试验（GM 试验）,肺泡灌洗液,ELISA法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B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曲霉菌抗原（GM试验）</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A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0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250501046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E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半乳甘露聚糖（GM）检测</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9F42">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4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6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1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r>
      <w:tr w14:paraId="6895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B6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反三碘甲状腺原氨酸(rT3)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CD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反三碘甲状腺原氨酸(rT3) </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3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8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250310012a</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8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血清反T3测定（化学发光法）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2760">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B5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7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A2F3">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r>
      <w:tr w14:paraId="2F2A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7A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甲状腺微粒体抗体(TMAb)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04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甲状腺微粒体抗体(TMAb)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B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8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250402018a</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B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抗甲状腺微粒体抗体测定（化学发光法）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4572">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60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8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D08F">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r>
      <w:tr w14:paraId="7D4C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4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血清胸苷激酶1(TK1)</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B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血清胸苷激酶1(TK1)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2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B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250404031a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9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血清胸苷激酶（TK2）测定(化学发光法）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F16C">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A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7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A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 </w:t>
            </w:r>
          </w:p>
        </w:tc>
      </w:tr>
      <w:tr w14:paraId="13C6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A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EB病毒(EBV-DNA),定性,实时荧光PCR</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C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EB病毒(EBV-DNA),定性</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9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A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250403065a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7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病原体DNA定性测定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CDAE">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E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0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AF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14:paraId="4141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8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肾上腺激素三项（新）</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1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促肾上腺皮质激素(ACTH)</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2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7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250310006a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7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血清促肾上腺皮质激素测定（化学发光法）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341B">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C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C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r>
      <w:tr w14:paraId="4A2C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70F2">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7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皮质醇(COR)</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2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5B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250310018a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4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血浆皮质醇测定（化学发光法）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8587">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2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9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5635">
            <w:pPr>
              <w:jc w:val="right"/>
              <w:rPr>
                <w:rFonts w:hint="eastAsia" w:ascii="宋体" w:hAnsi="宋体" w:eastAsia="宋体" w:cs="宋体"/>
                <w:i w:val="0"/>
                <w:iCs w:val="0"/>
                <w:color w:val="000000"/>
                <w:sz w:val="22"/>
                <w:szCs w:val="22"/>
                <w:u w:val="none"/>
              </w:rPr>
            </w:pPr>
          </w:p>
        </w:tc>
      </w:tr>
      <w:tr w14:paraId="50B4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2C2F">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3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醛固酮(ALD)</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B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08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250310023a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E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983F">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2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3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50FA">
            <w:pPr>
              <w:jc w:val="right"/>
              <w:rPr>
                <w:rFonts w:hint="eastAsia" w:ascii="宋体" w:hAnsi="宋体" w:eastAsia="宋体" w:cs="宋体"/>
                <w:i w:val="0"/>
                <w:iCs w:val="0"/>
                <w:color w:val="000000"/>
                <w:sz w:val="22"/>
                <w:szCs w:val="22"/>
                <w:u w:val="none"/>
              </w:rPr>
            </w:pPr>
          </w:p>
        </w:tc>
      </w:tr>
      <w:tr w14:paraId="0838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9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生长三项（GH、IGF-I、IGFBP-3）</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3C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生长激素</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1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B3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250310003a</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B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血清生长激素测定(化学发光法)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DEAD">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B4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F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B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145.00 </w:t>
            </w:r>
          </w:p>
        </w:tc>
      </w:tr>
      <w:tr w14:paraId="7E44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47CD">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D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胰岛素样生长因子 1(IGF-1) 化学发光法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A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8D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250503015a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4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胰岛素样生长因子结合蛋白-1（IGF)测定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71BE">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E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3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CD35">
            <w:pPr>
              <w:jc w:val="right"/>
              <w:rPr>
                <w:rFonts w:hint="eastAsia" w:ascii="宋体" w:hAnsi="宋体" w:eastAsia="宋体" w:cs="宋体"/>
                <w:i w:val="0"/>
                <w:iCs w:val="0"/>
                <w:color w:val="000000"/>
                <w:sz w:val="22"/>
                <w:szCs w:val="22"/>
                <w:u w:val="none"/>
              </w:rPr>
            </w:pPr>
          </w:p>
        </w:tc>
      </w:tr>
      <w:tr w14:paraId="0513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07FE">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7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胰岛素样生长因子结合蛋白-3(IGFBP-3)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0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2D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250503015b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1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胰岛素样生长因子结合蛋白-Ⅲ（IGF-BP-3)测定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D8E7">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0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F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0126">
            <w:pPr>
              <w:jc w:val="right"/>
              <w:rPr>
                <w:rFonts w:hint="eastAsia" w:ascii="宋体" w:hAnsi="宋体" w:eastAsia="宋体" w:cs="宋体"/>
                <w:i w:val="0"/>
                <w:iCs w:val="0"/>
                <w:color w:val="000000"/>
                <w:sz w:val="22"/>
                <w:szCs w:val="22"/>
                <w:u w:val="none"/>
              </w:rPr>
            </w:pPr>
          </w:p>
        </w:tc>
      </w:tr>
      <w:tr w14:paraId="544E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6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HCV基因分型,实时PCR法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D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 HCV 1b、2a、3a、3b、6a中国人常见的5个亚型</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7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D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250403071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D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丙型肝炎病毒（HCV）基因分型</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EBC5">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4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A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7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135.00 </w:t>
            </w:r>
          </w:p>
        </w:tc>
      </w:tr>
      <w:tr w14:paraId="42A7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7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吸入性过敏原十项</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86C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屋尘螨 、狗上皮、蟑螂 、鸡蛋、牛奶 、蟹、虾、屋尘 、交链孢菌 </w:t>
            </w:r>
          </w:p>
          <w:p w14:paraId="03B4F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总IgE</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7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3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250405001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5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总IgE测定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0115">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3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5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1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 </w:t>
            </w:r>
          </w:p>
        </w:tc>
      </w:tr>
      <w:tr w14:paraId="5845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4172">
            <w:pPr>
              <w:jc w:val="left"/>
              <w:rPr>
                <w:rFonts w:hint="eastAsia" w:ascii="宋体" w:hAnsi="宋体" w:eastAsia="宋体" w:cs="宋体"/>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0A962">
            <w:pPr>
              <w:jc w:val="left"/>
              <w:rPr>
                <w:rFonts w:hint="eastAsia" w:ascii="宋体" w:hAnsi="宋体" w:eastAsia="宋体" w:cs="宋体"/>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B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6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250405008*9</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8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血清过敏原特异性抗体测定（云人社办【2017】59号）</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54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包括IgE、IgG测定。</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2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3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24D8">
            <w:pPr>
              <w:jc w:val="right"/>
              <w:rPr>
                <w:rFonts w:hint="eastAsia" w:ascii="宋体" w:hAnsi="宋体" w:eastAsia="宋体" w:cs="宋体"/>
                <w:i w:val="0"/>
                <w:iCs w:val="0"/>
                <w:color w:val="000000"/>
                <w:sz w:val="22"/>
                <w:szCs w:val="22"/>
                <w:u w:val="none"/>
              </w:rPr>
            </w:pPr>
          </w:p>
        </w:tc>
      </w:tr>
      <w:tr w14:paraId="3D14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0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食物性过敏原十项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4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花生、鸡蛋、牛奶、鲟鱼、小麦面粉、虾、大豆、蟹、牛肉、羊肉</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1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0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250405008*10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26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血清过敏原特异性抗体测定（云人社办【2017】59号）</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8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包括IgE、IgG测定。</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6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D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8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r>
      <w:tr w14:paraId="4F6D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7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EB病毒壳抗原IgA抗体(EB-VCA-IgA),ELISA法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B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EB病毒壳抗原IgA抗体(EB-VCA-IgA)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F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9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250403025b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E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F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包括各种EB病毒抗体测定</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C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4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5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14:paraId="5315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A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EB病毒早期抗原IgA抗体(EA-IgA),ELISA法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A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EB病毒早期抗原IgA抗体(EA-IgA)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7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C2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250403025b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8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A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包括各种EB病毒抗体测定</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E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D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2BC2">
            <w:pPr>
              <w:jc w:val="right"/>
              <w:rPr>
                <w:rFonts w:hint="eastAsia" w:ascii="宋体" w:hAnsi="宋体" w:eastAsia="宋体" w:cs="宋体"/>
                <w:i w:val="0"/>
                <w:iCs w:val="0"/>
                <w:color w:val="000000"/>
                <w:sz w:val="22"/>
                <w:szCs w:val="22"/>
                <w:u w:val="none"/>
              </w:rPr>
            </w:pPr>
          </w:p>
        </w:tc>
      </w:tr>
      <w:tr w14:paraId="397E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B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β2糖蛋白1抗体(β2-GP1-Ab),化学发光法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5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β2糖蛋白1抗体(β2-GP1-Ab)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F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B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250402057</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4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抗β2-糖蛋白1抗体测定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9542">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8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F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A2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14:paraId="07EB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46C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不孕五项(EmAb+ACA+AsAb+AoAb+HCG-Ab)</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2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抗精子抗体(AsAb)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7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48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250402024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B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5C47">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B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0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8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r>
      <w:tr w14:paraId="5783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99A9">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5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抗人绒毛促性腺激素抗体（HCG-Ab）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5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0F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250402054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抗人绒毛膜促性腺激素抗体(AHCGAb)测定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C6DE">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F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A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41EA">
            <w:pPr>
              <w:jc w:val="center"/>
              <w:rPr>
                <w:rFonts w:hint="eastAsia" w:ascii="宋体" w:hAnsi="宋体" w:eastAsia="宋体" w:cs="宋体"/>
                <w:i w:val="0"/>
                <w:iCs w:val="0"/>
                <w:color w:val="000000"/>
                <w:sz w:val="22"/>
                <w:szCs w:val="22"/>
                <w:u w:val="none"/>
              </w:rPr>
            </w:pPr>
          </w:p>
        </w:tc>
      </w:tr>
      <w:tr w14:paraId="10EC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2573">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F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抗心磷脂抗体(ACA)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4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9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250402016</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9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抗心磷脂抗体测定(ACA)</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8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包括IgA、IgM、IgG。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B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9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F024">
            <w:pPr>
              <w:jc w:val="center"/>
              <w:rPr>
                <w:rFonts w:hint="eastAsia" w:ascii="宋体" w:hAnsi="宋体" w:eastAsia="宋体" w:cs="宋体"/>
                <w:i w:val="0"/>
                <w:iCs w:val="0"/>
                <w:color w:val="000000"/>
                <w:sz w:val="22"/>
                <w:szCs w:val="22"/>
                <w:u w:val="none"/>
              </w:rPr>
            </w:pPr>
          </w:p>
        </w:tc>
      </w:tr>
      <w:tr w14:paraId="7520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B53BB">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9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抗子宫内膜抗体(EmAb)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A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A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250402023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D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抗子宫内膜抗体测定(EMAb)</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84DF">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B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2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6246">
            <w:pPr>
              <w:jc w:val="center"/>
              <w:rPr>
                <w:rFonts w:hint="eastAsia" w:ascii="宋体" w:hAnsi="宋体" w:eastAsia="宋体" w:cs="宋体"/>
                <w:i w:val="0"/>
                <w:iCs w:val="0"/>
                <w:color w:val="000000"/>
                <w:sz w:val="22"/>
                <w:szCs w:val="22"/>
                <w:u w:val="none"/>
              </w:rPr>
            </w:pPr>
          </w:p>
        </w:tc>
      </w:tr>
      <w:tr w14:paraId="745A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90BC">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8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抗卵巢抗体(AoAb)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B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4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250402022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7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抗卵巢抗体测定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86D9">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C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8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16AC">
            <w:pPr>
              <w:jc w:val="center"/>
              <w:rPr>
                <w:rFonts w:hint="eastAsia" w:ascii="宋体" w:hAnsi="宋体" w:eastAsia="宋体" w:cs="宋体"/>
                <w:i w:val="0"/>
                <w:iCs w:val="0"/>
                <w:color w:val="000000"/>
                <w:sz w:val="22"/>
                <w:szCs w:val="22"/>
                <w:u w:val="none"/>
              </w:rPr>
            </w:pPr>
          </w:p>
        </w:tc>
      </w:tr>
      <w:tr w14:paraId="4071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3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风湿十一项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D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抗JO-1、抗SSA、抗SSB、抗Scl-70、抗Sm、抗U1-RNP/抗Sm、抗核糖体P蛋白</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0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8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250402003a*7</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2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抗核提取物抗体测定（免疫印迹法）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B96E">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E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A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9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 </w:t>
            </w:r>
          </w:p>
        </w:tc>
      </w:tr>
      <w:tr w14:paraId="7E0D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D89C">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8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CCP</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0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A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250402041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0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抗环瓜氨酸肽抗体（抗CCP抗体）测定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9AF6">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8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5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0A63">
            <w:pPr>
              <w:jc w:val="right"/>
              <w:rPr>
                <w:rFonts w:hint="eastAsia" w:ascii="宋体" w:hAnsi="宋体" w:eastAsia="宋体" w:cs="宋体"/>
                <w:i w:val="0"/>
                <w:iCs w:val="0"/>
                <w:color w:val="000000"/>
                <w:sz w:val="22"/>
                <w:szCs w:val="22"/>
                <w:u w:val="none"/>
              </w:rPr>
            </w:pPr>
          </w:p>
        </w:tc>
      </w:tr>
      <w:tr w14:paraId="1966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D3EF">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6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ANA</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D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间接免疫荧光法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9C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250402002b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3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抗核抗体测定（其他方法）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C63A">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12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C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0528">
            <w:pPr>
              <w:jc w:val="right"/>
              <w:rPr>
                <w:rFonts w:hint="eastAsia" w:ascii="宋体" w:hAnsi="宋体" w:eastAsia="宋体" w:cs="宋体"/>
                <w:i w:val="0"/>
                <w:iCs w:val="0"/>
                <w:color w:val="000000"/>
                <w:sz w:val="22"/>
                <w:szCs w:val="22"/>
                <w:u w:val="none"/>
              </w:rPr>
            </w:pPr>
          </w:p>
        </w:tc>
      </w:tr>
      <w:tr w14:paraId="0B1E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0B3E">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3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AKA</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D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免疫印迹法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A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250402038</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4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抗角蛋白抗体(AKA)测定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4FC7">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D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2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8364">
            <w:pPr>
              <w:jc w:val="right"/>
              <w:rPr>
                <w:rFonts w:hint="eastAsia" w:ascii="宋体" w:hAnsi="宋体" w:eastAsia="宋体" w:cs="宋体"/>
                <w:i w:val="0"/>
                <w:iCs w:val="0"/>
                <w:color w:val="000000"/>
                <w:sz w:val="22"/>
                <w:szCs w:val="22"/>
                <w:u w:val="none"/>
              </w:rPr>
            </w:pPr>
          </w:p>
        </w:tc>
      </w:tr>
      <w:tr w14:paraId="2A1D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381B">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类风湿因子(RF)</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6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免疫比浊法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250402035a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6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类风湿因子测定(免疫学法)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2731">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D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0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7192">
            <w:pPr>
              <w:jc w:val="right"/>
              <w:rPr>
                <w:rFonts w:hint="eastAsia" w:ascii="宋体" w:hAnsi="宋体" w:eastAsia="宋体" w:cs="宋体"/>
                <w:i w:val="0"/>
                <w:iCs w:val="0"/>
                <w:color w:val="000000"/>
                <w:sz w:val="22"/>
                <w:szCs w:val="22"/>
                <w:u w:val="none"/>
              </w:rPr>
            </w:pPr>
          </w:p>
        </w:tc>
      </w:tr>
      <w:tr w14:paraId="3D09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5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骨代谢标志物三项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AF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骨钙素N端中分子片段(N-MID) 电化学发光法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5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6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250311005</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7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骨钙素N端中分子片段（N-MID）测定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F877">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5D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8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A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144.00 </w:t>
            </w:r>
          </w:p>
        </w:tc>
      </w:tr>
      <w:tr w14:paraId="79A9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328A">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4F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总I型胶原氨基端延长肽(PINP) 电化学发光法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B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8B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250311008</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7D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试行期项目</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6A3D">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83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5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942B">
            <w:pPr>
              <w:jc w:val="right"/>
              <w:rPr>
                <w:rFonts w:hint="eastAsia" w:ascii="宋体" w:hAnsi="宋体" w:eastAsia="宋体" w:cs="宋体"/>
                <w:i w:val="0"/>
                <w:iCs w:val="0"/>
                <w:color w:val="000000"/>
                <w:sz w:val="22"/>
                <w:szCs w:val="22"/>
                <w:u w:val="none"/>
              </w:rPr>
            </w:pPr>
          </w:p>
        </w:tc>
      </w:tr>
      <w:tr w14:paraId="564A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EDA8">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0B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β胶联降解产物(B-CTx) 电化学发光法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8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1D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250311006</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C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β-胶原降解产物(β-CTX)测定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CFDD">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4E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E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1EED">
            <w:pPr>
              <w:jc w:val="right"/>
              <w:rPr>
                <w:rFonts w:hint="eastAsia" w:ascii="宋体" w:hAnsi="宋体" w:eastAsia="宋体" w:cs="宋体"/>
                <w:i w:val="0"/>
                <w:iCs w:val="0"/>
                <w:color w:val="000000"/>
                <w:sz w:val="22"/>
                <w:szCs w:val="22"/>
                <w:u w:val="none"/>
              </w:rPr>
            </w:pPr>
          </w:p>
        </w:tc>
      </w:tr>
      <w:tr w14:paraId="6922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9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沙眼衣原体(CT-DNA)定量</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3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沙眼衣原体(CT-DNA)定量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9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C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250403065b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4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病原体DNA定量测定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B50B">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E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9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F2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A57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5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HBV基因分型,实时PCR法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1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HBV基因分型</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A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9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250403072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F0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乙型肝炎病毒（HBV）基因分型</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1C7F">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D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1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9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135.00 </w:t>
            </w:r>
          </w:p>
        </w:tc>
      </w:tr>
      <w:tr w14:paraId="56A0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7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丙型肝炎抗体二项(HCV-IgM,HCV-IgG)</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5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HCV-IgM HCV-IgG</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E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D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250403014a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1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丙型肝炎抗体测定(定性测定)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AEFA">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1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7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D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123E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A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间接抗人球蛋白试验(IAT),红细胞凝集反应</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D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间接抗人球蛋白试验(IAT)</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9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凝胶微柱法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A4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250202035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间接抗人球蛋白试验</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B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指免疫球蛋白定量测定。</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8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2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E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1AF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22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降钙素(CT),电化学发光法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1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降钙素(CT)</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3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250310008a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2952">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9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E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32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14:paraId="4362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E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结核抗体</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F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结核抗体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4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免疫胶金体法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5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250403042b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6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细菌抗体测定（免疫学法等）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332B">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AF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0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3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14:paraId="3177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7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巨细胞病毒(CMV-DNA),定性,实时荧光PCR</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4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巨细胞病毒(CMV-DNA),定性</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D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2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250403065a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8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病原体DNA定性测定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A12E">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D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C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F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14:paraId="1902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A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直接抗人球蛋白试验(DAT),微柱凝胶法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4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直接抗人球蛋白试验(DAT)</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F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微柱凝胶法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63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250202034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3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直接抗人球蛋白试验(Coombs')</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B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包括IgG、IgA、IgM、C3等不同球蛋白、补体成分。</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5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7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2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31EF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75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B族链球菌(GBS-DNA)定性实时PCR法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AC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B族链球菌(GBS-DNA)定性-阴道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C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3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250403066a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5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病原体DNA定性测定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D60E">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B4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1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52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r>
      <w:tr w14:paraId="5981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0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ANCA二项(免疫)</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09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抗中性粒细胞胞浆抗体pANCA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A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间接免疫荧光法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C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250402005a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2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抗中性粒细胞胞浆抗体测定（ANCA）</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9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包括cANCA、pANCA、PR</w:t>
            </w:r>
            <w:r>
              <w:rPr>
                <w:rStyle w:val="225"/>
                <w:lang w:val="en-US" w:eastAsia="zh-CN" w:bidi="ar"/>
              </w:rPr>
              <w:t>3</w:t>
            </w:r>
            <w:r>
              <w:rPr>
                <w:rFonts w:hint="eastAsia" w:ascii="宋体" w:hAnsi="宋体" w:eastAsia="宋体" w:cs="宋体"/>
                <w:i w:val="0"/>
                <w:iCs w:val="0"/>
                <w:color w:val="000000"/>
                <w:kern w:val="0"/>
                <w:sz w:val="20"/>
                <w:szCs w:val="20"/>
                <w:u w:val="none"/>
                <w:lang w:val="en-US" w:eastAsia="zh-CN" w:bidi="ar"/>
              </w:rPr>
              <w:t>-ANCA、MPO-ANCA。</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79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F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DF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r>
      <w:tr w14:paraId="4F93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3BEA">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77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抗中性粒细胞胞浆抗体cANCA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6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间接免疫荧光法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250402005a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7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抗中性粒细胞胞浆抗体测定（ANCA）</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包括cANCA、pANCA、PR</w:t>
            </w:r>
            <w:r>
              <w:rPr>
                <w:rStyle w:val="225"/>
                <w:lang w:val="en-US" w:eastAsia="zh-CN" w:bidi="ar"/>
              </w:rPr>
              <w:t>3</w:t>
            </w:r>
            <w:r>
              <w:rPr>
                <w:rFonts w:hint="eastAsia" w:ascii="宋体" w:hAnsi="宋体" w:eastAsia="宋体" w:cs="宋体"/>
                <w:i w:val="0"/>
                <w:iCs w:val="0"/>
                <w:color w:val="000000"/>
                <w:kern w:val="0"/>
                <w:sz w:val="20"/>
                <w:szCs w:val="20"/>
                <w:u w:val="none"/>
                <w:lang w:val="en-US" w:eastAsia="zh-CN" w:bidi="ar"/>
              </w:rPr>
              <w:t>-ANCA、MPO-ANCA。</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3F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5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5692">
            <w:pPr>
              <w:jc w:val="right"/>
              <w:rPr>
                <w:rFonts w:hint="eastAsia" w:ascii="宋体" w:hAnsi="宋体" w:eastAsia="宋体" w:cs="宋体"/>
                <w:i w:val="0"/>
                <w:iCs w:val="0"/>
                <w:color w:val="000000"/>
                <w:sz w:val="24"/>
                <w:szCs w:val="24"/>
                <w:u w:val="none"/>
              </w:rPr>
            </w:pPr>
          </w:p>
        </w:tc>
      </w:tr>
      <w:tr w14:paraId="500B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6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生殖道tNGS</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F0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同时检测38种HPV亚型、以及检测25种生殖道感染病原体</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1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高通量测序法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F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6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人乳头瘤病毒(HPV)核酸检测</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6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指对人乳头瘤病毒(HPV)核酸进行的定量检测；含全部检查项目。</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D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3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D3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r>
      <w:tr w14:paraId="5E0E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763B">
            <w:pPr>
              <w:jc w:val="left"/>
              <w:rPr>
                <w:rFonts w:hint="eastAsia" w:ascii="宋体" w:hAnsi="宋体" w:eastAsia="宋体" w:cs="宋体"/>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1095">
            <w:pPr>
              <w:jc w:val="left"/>
              <w:rPr>
                <w:rFonts w:hint="eastAsia" w:ascii="宋体" w:hAnsi="宋体" w:eastAsia="宋体" w:cs="宋体"/>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82B6">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4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250403065*2</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7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病原体DNA测定 </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079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8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C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CC43">
            <w:pPr>
              <w:jc w:val="right"/>
              <w:rPr>
                <w:rFonts w:hint="eastAsia" w:ascii="宋体" w:hAnsi="宋体" w:eastAsia="宋体" w:cs="宋体"/>
                <w:i w:val="0"/>
                <w:iCs w:val="0"/>
                <w:color w:val="000000"/>
                <w:sz w:val="24"/>
                <w:szCs w:val="24"/>
                <w:u w:val="none"/>
              </w:rPr>
            </w:pPr>
          </w:p>
        </w:tc>
      </w:tr>
      <w:tr w14:paraId="531E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8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直接抗人球蛋白试验、间接抗人球蛋白试验组合</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A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间接抗人球蛋白试验(IAT)</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A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凝胶微柱法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A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250202035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6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间接抗人球蛋白试验</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6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指免疫球蛋白定量测定。</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B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6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951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r>
      <w:tr w14:paraId="7E1B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9591">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1F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直接抗人球蛋白试验(DAT)</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B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微柱凝胶法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4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250202034</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66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直接抗人球蛋白试验(Coombs')</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2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包括IgG、IgA、IgM、C3等不同球蛋白、补体成分。</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2D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8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250E">
            <w:pPr>
              <w:jc w:val="right"/>
              <w:rPr>
                <w:rFonts w:hint="eastAsia" w:ascii="宋体" w:hAnsi="宋体" w:eastAsia="宋体" w:cs="宋体"/>
                <w:i w:val="0"/>
                <w:iCs w:val="0"/>
                <w:color w:val="000000"/>
                <w:sz w:val="24"/>
                <w:szCs w:val="24"/>
                <w:u w:val="none"/>
              </w:rPr>
            </w:pPr>
          </w:p>
        </w:tc>
      </w:tr>
      <w:tr w14:paraId="0689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5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尿香草扁桃酸(VMA)</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D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尿香草扁桃酸(VMA)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D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尿香草扁桃酸(VMA)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9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250310025b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C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尿香草苦杏仁酸测定（免疫学法等）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52B0">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B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2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A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14:paraId="71367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B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G6PD缺陷筛查</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8F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葡萄糖6－磷酸脱氢酶</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8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4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250202018</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7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葡萄糖6－磷酸脱氢酶活性检测</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B4A0">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49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C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A4C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r>
      <w:tr w14:paraId="6948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6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巨细胞病毒(CMV-DNA)定量</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A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巨细胞病毒（CMV-DNA）定量 实时荧光定量PCR</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F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250403065b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5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病原体DNA定量测定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1DB6">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6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9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4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14:paraId="5041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F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抗精子抗体测定</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3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抗精子抗体测定</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C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3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250402024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4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9F4F">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5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7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0A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24DE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4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抗卵巢抗体测定</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4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抗卵巢抗体测定</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6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A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250402022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E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抗卵巢抗体测定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9D2E">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55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B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D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517B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E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抗透明带抗体（AZP）测定</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C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抗透明带抗体（AZP）测定</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6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250402043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A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抗透明带抗体（AZP）测定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C1A5">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F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7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8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5F17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9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红斑狼疮4项定量（ANA+ds-DNA+AnuA+Sm）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3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ANA+ds-DNA+AnuA+Sm</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44F2">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7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250402002b*4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A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抗核抗体测定（其他方法）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0C2F">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8F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1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59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6CA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3"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7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血清蛋白电泳</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9F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 1-球蛋白</w:t>
            </w:r>
          </w:p>
          <w:p w14:paraId="5A39BA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 2-球蛋白</w:t>
            </w:r>
          </w:p>
          <w:p w14:paraId="1A5B29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β 1-球蛋白</w:t>
            </w:r>
          </w:p>
          <w:p w14:paraId="289D74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B2-球蛋白</w:t>
            </w:r>
          </w:p>
          <w:p w14:paraId="29051A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γ-球蛋白</w:t>
            </w:r>
          </w:p>
          <w:p w14:paraId="5FB91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白蛋白</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A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毛细血管电泳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C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250301004*6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8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血清蛋白电泳</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CDFC">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0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8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5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115.00 </w:t>
            </w:r>
          </w:p>
        </w:tc>
      </w:tr>
      <w:tr w14:paraId="56B9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022F">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F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血清M蛋白含量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A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毛细血管电泳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2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250401039</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B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M蛋白测定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8940">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3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8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9D8D">
            <w:pPr>
              <w:jc w:val="center"/>
              <w:rPr>
                <w:rFonts w:hint="eastAsia" w:ascii="宋体" w:hAnsi="宋体" w:eastAsia="宋体" w:cs="宋体"/>
                <w:i w:val="0"/>
                <w:iCs w:val="0"/>
                <w:color w:val="000000"/>
                <w:sz w:val="22"/>
                <w:szCs w:val="22"/>
                <w:u w:val="none"/>
              </w:rPr>
            </w:pPr>
          </w:p>
        </w:tc>
      </w:tr>
      <w:tr w14:paraId="62C4B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702F">
            <w:pPr>
              <w:jc w:val="left"/>
              <w:rPr>
                <w:rFonts w:hint="eastAsia" w:ascii="宋体" w:hAnsi="宋体" w:eastAsia="宋体" w:cs="宋体"/>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03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总蛋白(TP)</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E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毛细血管电泳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7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250301001b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5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血清总蛋白测定（化学法等）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3C1F">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A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B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EA69">
            <w:pPr>
              <w:jc w:val="center"/>
              <w:rPr>
                <w:rFonts w:hint="eastAsia" w:ascii="宋体" w:hAnsi="宋体" w:eastAsia="宋体" w:cs="宋体"/>
                <w:i w:val="0"/>
                <w:iCs w:val="0"/>
                <w:color w:val="000000"/>
                <w:sz w:val="22"/>
                <w:szCs w:val="22"/>
                <w:u w:val="none"/>
              </w:rPr>
            </w:pPr>
          </w:p>
        </w:tc>
      </w:tr>
      <w:tr w14:paraId="4CA8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F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肿瘤坏死因子（TNF）</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7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肿瘤坏死因子（TNF）</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5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8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250404013a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6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肿瘤坏死因子测定(化学发光法)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308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7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6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A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24B9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4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抗精子抗体(AsAb)</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5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抗精子抗体(AsAb)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D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B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250402024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9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7DFB">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F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2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21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3D74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E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抗HCG抗体(HCG-Ab)</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F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抗HCG抗体(HCG-Ab)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6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8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250402054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1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抗人绒毛膜促性腺激素抗体(AHCGAb)测定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A661">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C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9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2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445B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7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抗心磷脂抗体(ACA)</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0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抗心磷脂抗体(ACA)</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9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250402016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9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抗心磷脂抗体测定(ACA)</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DF58">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C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4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E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14:paraId="3567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3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抗子宫内膜抗体(EmAb）</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C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抗子宫内膜抗体(EmAb）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2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4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250402023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7A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抗子宫内膜抗体测定(EMAb)</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4DA3">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6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E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D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4331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F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抗卵巢抗体(AoAb)</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抗卵巢抗体(AoAb)</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D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0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250402022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B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抗卵巢抗体测定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85B3">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2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E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ED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6A96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2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抗卵细胞透明带抗体(ZP)</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1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抗卵细胞透明带抗体(ZP)</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B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ELISA法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0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250402043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C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抗透明带抗体(AZP)测定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3968">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5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4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8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6BCD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4"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4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T细胞耗竭以及线粒体功能障碍检测</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9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检测T细胞亚群线粒体功能障碍及PD-1表达情况，精准评估T细胞耗竭程度及其他免疫功能状态。主要用于辅助诊断各类急慢性感染的严重程度以及恶化风险，管控围手术期感染管控，肿评估瘤患者各类治疗疗效和不良反应（如免疫检测点抑制剂的疗效，化疗的不良反应，放疗的免疫增强效果）。另外，可评估肿瘤患者无病生存期的复发转移风险评估及各类免疫增强药物的效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A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流式细胞术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C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250401029*7</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E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淋巴细胞免疫分析</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51E5">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6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4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E3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2931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8"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4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T淋巴细胞亚群线粒体损伤检测</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B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淋巴细胞亚群是机体重要的免疫细胞，检测其水平变化有助于检测机体免疫状态，提示发病风险，（如CD4+T细胞减少常见于恶性实体肿瘤、免疫缺陷症以及艾滋病等疾病。CD8+T细胞增多常见于慢性活动性肝炎、传染性单核细胞增多症 、恶性肿瘤及其他病毒急性感染等），分析发病机制以及预测疾病进展风险。</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2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流式细胞术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F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250401029*5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4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淋巴细胞免疫分析</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9D58">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7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E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0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448F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8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心脑血管健康评估12项</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5B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基于LC-MS/MS技术的对12个标志物（同型半胱氨酸、甜菜碱、胆碱、L-肉碱、氧化三甲胺、肌酐、异亮氨酸、亮氨酸、缬氨酸、苯丙氨酸、酪氨酸、色氨酸）进行精准定量，精准预测7种心脑血管疾病的风险（血脂异常、脑卒中、动脉粥样硬化、冠心病、心肌梗死、心力衰竭、糖尿病），进行心脑血管疾病的早期筛查和风险评估。</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8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LC-MS/MS</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B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250306011a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6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血同型半胱氨酸测定（色谱法）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901A">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8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A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3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 </w:t>
            </w:r>
          </w:p>
        </w:tc>
      </w:tr>
      <w:tr w14:paraId="128F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8A4A">
            <w:pPr>
              <w:jc w:val="left"/>
              <w:rPr>
                <w:rFonts w:hint="eastAsia" w:ascii="宋体" w:hAnsi="宋体" w:eastAsia="宋体" w:cs="宋体"/>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97B5">
            <w:pPr>
              <w:jc w:val="left"/>
              <w:rPr>
                <w:rFonts w:hint="eastAsia" w:ascii="宋体" w:hAnsi="宋体" w:eastAsia="宋体" w:cs="宋体"/>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28AA">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250307002a</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4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肌酐测定（干化学法）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8CAD">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2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0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AB6D">
            <w:pPr>
              <w:jc w:val="right"/>
              <w:rPr>
                <w:rFonts w:hint="eastAsia" w:ascii="宋体" w:hAnsi="宋体" w:eastAsia="宋体" w:cs="宋体"/>
                <w:i w:val="0"/>
                <w:iCs w:val="0"/>
                <w:color w:val="000000"/>
                <w:sz w:val="22"/>
                <w:szCs w:val="22"/>
                <w:u w:val="none"/>
              </w:rPr>
            </w:pPr>
          </w:p>
        </w:tc>
      </w:tr>
      <w:tr w14:paraId="0821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C481">
            <w:pPr>
              <w:jc w:val="left"/>
              <w:rPr>
                <w:rFonts w:hint="eastAsia" w:ascii="宋体" w:hAnsi="宋体" w:eastAsia="宋体" w:cs="宋体"/>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A086">
            <w:pPr>
              <w:jc w:val="left"/>
              <w:rPr>
                <w:rFonts w:hint="eastAsia" w:ascii="宋体" w:hAnsi="宋体" w:eastAsia="宋体" w:cs="宋体"/>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8E4F">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7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250309007a*6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0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血清各类氨基酸测定（色谱法）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B714">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B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B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0E8B">
            <w:pPr>
              <w:jc w:val="right"/>
              <w:rPr>
                <w:rFonts w:hint="eastAsia" w:ascii="宋体" w:hAnsi="宋体" w:eastAsia="宋体" w:cs="宋体"/>
                <w:i w:val="0"/>
                <w:iCs w:val="0"/>
                <w:color w:val="000000"/>
                <w:sz w:val="22"/>
                <w:szCs w:val="22"/>
                <w:u w:val="none"/>
              </w:rPr>
            </w:pPr>
          </w:p>
        </w:tc>
      </w:tr>
      <w:tr w14:paraId="1168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8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地高辛</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8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地高辛</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C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均相酶免疫法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A9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250309005c</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1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血清一般药物浓度测定(免疫学法等)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9EDE">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F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每种药物</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D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69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210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4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丙戊酸(德巴金)(VAL),均相酶免法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1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丙戊酸(VAL) 均相酶免法 </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3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均相酶免法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A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250309005c</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B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血清一般药物浓度测定(免疫学法等)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8618">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每种药物</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5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B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371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F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左乙拉西坦.高效液相色谱-串联质谱法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9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左乙拉西坦.高效液相色谱-串联质谱法</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7B6F">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8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250309005b*5</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7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血清一般药物浓度测定(色谱法)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081D">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31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9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B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708A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7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奥卡西平,均相酶免疫法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90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奥卡西平</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1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均相酶免法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0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250309005c</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C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血清一般药物浓度测定(免疫学法等)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1728">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F2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每种药物</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6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E3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r>
      <w:tr w14:paraId="0863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363" w:type="dxa"/>
            <w:tcBorders>
              <w:top w:val="nil"/>
              <w:left w:val="single" w:color="000000" w:sz="4" w:space="0"/>
              <w:bottom w:val="single" w:color="000000" w:sz="4" w:space="0"/>
              <w:right w:val="single" w:color="000000" w:sz="4" w:space="0"/>
            </w:tcBorders>
            <w:shd w:val="clear" w:color="auto" w:fill="auto"/>
            <w:noWrap/>
            <w:vAlign w:val="center"/>
          </w:tcPr>
          <w:p w14:paraId="76DD0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卡马西平(CAR),均相酶免法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9F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卡马西平(CAR)</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4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均相酶免法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F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250309005c</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7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血清一般药物浓度测定(免疫学法等)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3B40">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4E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每种药物</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C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7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r>
      <w:tr w14:paraId="7927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nil"/>
              <w:right w:val="single" w:color="000000" w:sz="4" w:space="0"/>
            </w:tcBorders>
            <w:shd w:val="clear" w:color="auto" w:fill="auto"/>
            <w:noWrap/>
            <w:vAlign w:val="center"/>
          </w:tcPr>
          <w:p w14:paraId="708A9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苯妥英钠.高效液相色谱-串联质谱法</w:t>
            </w:r>
          </w:p>
        </w:tc>
        <w:tc>
          <w:tcPr>
            <w:tcW w:w="2045" w:type="dxa"/>
            <w:tcBorders>
              <w:top w:val="nil"/>
              <w:left w:val="nil"/>
              <w:bottom w:val="nil"/>
              <w:right w:val="nil"/>
            </w:tcBorders>
            <w:shd w:val="clear" w:color="auto" w:fill="auto"/>
            <w:noWrap/>
            <w:vAlign w:val="center"/>
          </w:tcPr>
          <w:p w14:paraId="1E27C9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苯妥英钠</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2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串联质谱法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E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250309005b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C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血清一般药物浓度测定(色谱法)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518B">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C7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每种药物</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B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7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r>
      <w:tr w14:paraId="2DEA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3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西罗莫司,全血,高效液相色谱-串联质谱法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73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西罗莫司</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E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串联质谱法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0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250309005b</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5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血清一般药物浓度测定(色谱法)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4B28">
            <w:pP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00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每种药物</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7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D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480.00 </w:t>
            </w:r>
          </w:p>
        </w:tc>
      </w:tr>
      <w:tr w14:paraId="0094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B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他克莫司（血药浓度）,全血,高效液相色谱-串联质谱法</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FC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他克莫司（血药浓度）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FD70">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E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血清特殊药物浓度测定</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1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指血清FK506、环孢霉素A浓度测定；包括各种方法。</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CD90">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2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每种药物</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7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2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 </w:t>
            </w:r>
          </w:p>
        </w:tc>
      </w:tr>
      <w:tr w14:paraId="7517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C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男性泛癌种易感基因筛查</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7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17项癌种，61个基因</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单碱基延伸法(SNE)</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93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0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50AE">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0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E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9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209D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C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女性泛癌种易感基因筛查</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8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20项癌种，78个基因</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A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单碱基延伸法(SNE)</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4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D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F45A">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0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8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D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11FC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D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地中海贫血基因检测(23位点)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4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α-地中海贫血1基因(SEA) 、 α-地中海贫血2基因(3.7/4.2) 、 α-地贫点突变基因检测(CS、QS、WS) 、 β-地中海贫血基因分型(17种突变)</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B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第二代测序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1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250700012a*6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0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DNA倍体分析</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5DEC">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4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D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2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2C27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5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呼吸道多种病原体靶向测序（198项）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F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198种常见的呼吸道病原体的检测</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1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二代测序法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01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250403065a*19</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病原体DNA定性测定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F1B6">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8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5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D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r>
      <w:tr w14:paraId="6897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2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上呼吸道95种病原体靶向测序</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7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DNA病毒31种、RNA病毒38种、革兰氏阳性菌10种、革兰氏阴性菌12种、支原体/衣原体4种</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4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二代测序法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61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250403065a*10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2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病原体DNA定性测定</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3D18">
            <w:pP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A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7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E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bl>
    <w:p w14:paraId="0C84B2D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cs="宋体"/>
          <w:color w:val="auto"/>
          <w:sz w:val="24"/>
          <w:highlight w:val="none"/>
          <w:lang w:val="en-US" w:eastAsia="zh-CN"/>
        </w:rPr>
        <w:sectPr>
          <w:pgSz w:w="16838" w:h="11905" w:orient="landscape"/>
          <w:pgMar w:top="1366" w:right="1383" w:bottom="1366" w:left="1383" w:header="907" w:footer="737" w:gutter="0"/>
          <w:pgBorders>
            <w:top w:val="none" w:sz="0" w:space="0"/>
            <w:left w:val="none" w:sz="0" w:space="0"/>
            <w:bottom w:val="single" w:color="auto" w:sz="4" w:space="1"/>
            <w:right w:val="none" w:sz="0" w:space="0"/>
          </w:pgBorders>
          <w:pgNumType w:fmt="decimal"/>
          <w:cols w:space="0" w:num="1"/>
          <w:rtlGutter w:val="0"/>
          <w:docGrid w:type="lines" w:linePitch="327" w:charSpace="0"/>
        </w:sectPr>
      </w:pPr>
    </w:p>
    <w:p w14:paraId="45CBCE6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cs="宋体"/>
          <w:color w:val="auto"/>
          <w:sz w:val="24"/>
          <w:highlight w:val="none"/>
          <w:lang w:val="en-US" w:eastAsia="zh-CN"/>
        </w:rPr>
      </w:pPr>
    </w:p>
    <w:tbl>
      <w:tblPr>
        <w:tblStyle w:val="54"/>
        <w:tblW w:w="131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0"/>
        <w:gridCol w:w="2356"/>
        <w:gridCol w:w="1643"/>
        <w:gridCol w:w="1167"/>
        <w:gridCol w:w="850"/>
        <w:gridCol w:w="850"/>
        <w:gridCol w:w="692"/>
        <w:gridCol w:w="692"/>
        <w:gridCol w:w="850"/>
      </w:tblGrid>
      <w:tr w14:paraId="2C2E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8" w:hRule="atLeast"/>
        </w:trPr>
        <w:tc>
          <w:tcPr>
            <w:tcW w:w="13160" w:type="dxa"/>
            <w:gridSpan w:val="9"/>
            <w:tcBorders>
              <w:top w:val="nil"/>
              <w:left w:val="nil"/>
              <w:bottom w:val="nil"/>
              <w:right w:val="nil"/>
            </w:tcBorders>
            <w:shd w:val="clear" w:color="auto" w:fill="auto"/>
            <w:noWrap/>
            <w:vAlign w:val="center"/>
          </w:tcPr>
          <w:p w14:paraId="0990593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未在云南省非营利性医疗服务价格目录以内的项目</w:t>
            </w:r>
          </w:p>
        </w:tc>
      </w:tr>
      <w:tr w14:paraId="3BEA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C7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1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报告单明细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F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8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3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F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项目内涵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3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F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C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标准收费</w:t>
            </w:r>
          </w:p>
        </w:tc>
      </w:tr>
      <w:tr w14:paraId="0876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A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（全血）遗传性耳聋基因检测(100位点)(NGS筛查)</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F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遗传学耳聋基因筛查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8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二代测序法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E7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2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FAB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8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1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B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66EC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4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地中海贫血基因检测（621位点）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9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地中海621个位点基因检测</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C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第三代测序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4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D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E45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3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8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1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257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B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结核分枝杆菌及利福平耐药检测(Xpert MTB/RIF Assay),实时荧光PCR</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E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结核分枝杆菌及利福平耐药检测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5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3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6E5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9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78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B5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97A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2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孕优安三联检测</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叶酸代谢能力基因检测、脊髓性肌萎缩症SMN1外显子缺失检测、葡萄糖-6-磷酸脱氢酶缺乏症(G6PD)基因筛查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3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飞行时间质谱法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A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3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F5B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F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8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7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388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E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RNF180/Septin9基因甲基化（胃癌）</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1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胃癌更早期的筛查，发现血液内游离的甲基化DNA片段,评估人群患胃癌的风险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D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实时荧光定量PCR法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0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2707000034*4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7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FD0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3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583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E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 </w:t>
            </w:r>
          </w:p>
        </w:tc>
      </w:tr>
      <w:tr w14:paraId="201E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8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septin9肠癌基因检测</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7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肠癌更早期的筛查，发现血液内游离的甲基化DNA片段，评估人群患肠癌的风险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C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实时荧光定量PCR法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D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0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48A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7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4C0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B0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 </w:t>
            </w:r>
          </w:p>
        </w:tc>
      </w:tr>
      <w:tr w14:paraId="3AF7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1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肺癌SHOX2/RASSF1A/PTGER4基因甲基化检测</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8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肺癌更早期的筛查，发现血液内游离的甲基化DNA片段，评估人群患肺癌的风险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2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实时荧光定量PCR法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8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9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E85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2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7D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C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r>
      <w:tr w14:paraId="5649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3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高血压安全用药基因检测</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3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类25种药物15个基因21个位点：氢氯噻嗪,氯噻酮,美托洛尔,阿替洛尔,比索洛尔,普萘洛尔,卡维地洛,拉贝洛尔,噻吗洛尔,丁呋洛尔,硝苯地平,维拉帕米,氨氯地平,地尔硫卓,卡托普利,依那普利,赖诺普利,培哚普利,雷米普利,氯沙坦,缬沙坦,厄贝沙坦,替米沙坦,坎地沙坦,肼苯哒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4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二代测序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6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4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917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8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52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98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6C97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9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H型高血压基因检测</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D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1.原发性高血压的患者（预测脑中风、冠心病风险）； 2.伴有同型半胱氨酸升高的高血压患者； 3.伴有高血脂、高血糖等危险因素的高血压患者； 4.已发生脑卒中的患者（针对性治疗，降低心脑血管复发率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B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单碱基延伸法(SNE)</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9A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1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C78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4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09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F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6E4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8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载脂蛋白E（APOE）他汀类药物代谢基因多态性检测</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6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oE主要由肝脏合成，近年来发现脑，肾，骨骼，肾上腺及巨噬细胞也能合成。ApoE生理功能有：①是LDL受体的配体，也是肝细胞CM残粒受体的配体，它与脂蛋白代谢有密切相关性；②ApoE具有多态性，多态性是决定个体血脂水平与动脉粥样硬化发生发展密切相关；③参与激活水解脂肪的酶类，参与免疫调节及神经组织的再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1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单碱基延伸法(SNE)</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ED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C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93F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A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D1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8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C03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6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血栓性疾病安全用药基因检测</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B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CYP2C19,CYP2C9,CYP3A5, CYP4F2, GP1BA，LTC4S,PEAR1,PTGS1,SLCO1B1，VKORC1、CES1、APOE的多态性，根据基因分型结果，全面地评估个体对抗血小板药(阿司匹林、氯呲格雷、替格瑞洛、西洛他唑)，抗凝血药(华法林、阿哌沙班、利伐沙班、达比加群)和他汀类调节血脂药，共9 种药物的疗效和不良反应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E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飞行质谱法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9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7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A0B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7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34D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E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4FC3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F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抗缪勒管激素（AMH）,化学发光法</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F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抗缪勒氏管激素（AMH） 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0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96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250310065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C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抗缪勒氏激素（AMH）测定（云人社办【2017】59号）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140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1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1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A1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14:paraId="2AF0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3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阿司匹林抵抗相关基因检测(质谱法)</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F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阿司匹林抵抗相关基因检测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6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质谱法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E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3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829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1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BF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1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14:paraId="4D54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E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Twist1基因甲基化（膀胱癌）早筛和辅助诊断</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7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检测膀胱癌Twist1基因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7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二代测序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2F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270700003*4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4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脱氧核糖核酸（DNA）测序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8F0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7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A7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5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 </w:t>
            </w:r>
          </w:p>
        </w:tc>
      </w:tr>
    </w:tbl>
    <w:p w14:paraId="5DC67A60">
      <w:pPr>
        <w:pStyle w:val="13"/>
        <w:spacing w:line="360" w:lineRule="auto"/>
        <w:ind w:left="0" w:leftChars="0" w:firstLine="0" w:firstLineChars="0"/>
        <w:rPr>
          <w:rFonts w:hint="eastAsia" w:ascii="宋体" w:hAnsi="宋体" w:eastAsia="宋体" w:cs="宋体"/>
          <w:color w:val="auto"/>
          <w:sz w:val="24"/>
          <w:highlight w:val="none"/>
        </w:rPr>
        <w:sectPr>
          <w:pgSz w:w="16838" w:h="11905" w:orient="landscape"/>
          <w:pgMar w:top="1366" w:right="1383" w:bottom="1366" w:left="1383" w:header="907" w:footer="737" w:gutter="0"/>
          <w:pgBorders>
            <w:top w:val="none" w:sz="0" w:space="0"/>
            <w:left w:val="none" w:sz="0" w:space="0"/>
            <w:bottom w:val="single" w:color="auto" w:sz="4" w:space="1"/>
            <w:right w:val="none" w:sz="0" w:space="0"/>
          </w:pgBorders>
          <w:pgNumType w:fmt="decimal"/>
          <w:cols w:space="0" w:num="1"/>
          <w:rtlGutter w:val="0"/>
          <w:docGrid w:type="lines" w:linePitch="327" w:charSpace="0"/>
        </w:sectPr>
      </w:pPr>
    </w:p>
    <w:p w14:paraId="3865DDE7">
      <w:pPr>
        <w:rPr>
          <w:rFonts w:hint="eastAsia"/>
        </w:rPr>
      </w:pPr>
    </w:p>
    <w:p w14:paraId="32BB78C7">
      <w:pPr>
        <w:tabs>
          <w:tab w:val="left" w:pos="2764"/>
          <w:tab w:val="center" w:pos="4646"/>
        </w:tabs>
        <w:jc w:val="center"/>
        <w:outlineLvl w:val="9"/>
        <w:rPr>
          <w:rFonts w:hint="eastAsia" w:ascii="宋体" w:hAnsi="宋体" w:cs="宋体"/>
          <w:color w:val="auto"/>
          <w:highlight w:val="none"/>
          <w:lang w:eastAsia="zh-CN"/>
        </w:rPr>
      </w:pPr>
      <w:bookmarkStart w:id="103" w:name="_Toc1716"/>
    </w:p>
    <w:p w14:paraId="082D4E8C">
      <w:pPr>
        <w:pStyle w:val="2"/>
        <w:tabs>
          <w:tab w:val="left" w:pos="2764"/>
          <w:tab w:val="center" w:pos="4646"/>
        </w:tabs>
        <w:jc w:val="center"/>
        <w:rPr>
          <w:rFonts w:hint="eastAsia" w:ascii="宋体" w:hAnsi="宋体" w:eastAsia="宋体" w:cs="宋体"/>
          <w:color w:val="auto"/>
          <w:highlight w:val="none"/>
        </w:rPr>
      </w:pPr>
      <w:r>
        <w:rPr>
          <w:rFonts w:hint="eastAsia" w:ascii="宋体" w:hAnsi="宋体" w:eastAsia="宋体" w:cs="宋体"/>
          <w:color w:val="auto"/>
          <w:highlight w:val="none"/>
        </w:rPr>
        <w:t>第六章 响应文件格式</w:t>
      </w:r>
      <w:bookmarkEnd w:id="102"/>
      <w:bookmarkEnd w:id="103"/>
    </w:p>
    <w:p w14:paraId="70CA5D57">
      <w:pPr>
        <w:spacing w:line="360" w:lineRule="auto"/>
        <w:jc w:val="center"/>
        <w:rPr>
          <w:rFonts w:hint="eastAsia" w:ascii="宋体" w:hAnsi="宋体" w:eastAsia="宋体" w:cs="宋体"/>
          <w:color w:val="auto"/>
          <w:highlight w:val="none"/>
        </w:rPr>
      </w:pPr>
    </w:p>
    <w:p w14:paraId="3752D3BD">
      <w:pPr>
        <w:jc w:val="center"/>
        <w:rPr>
          <w:rFonts w:hint="eastAsia" w:ascii="宋体" w:hAnsi="宋体" w:eastAsia="宋体" w:cs="宋体"/>
          <w:b/>
          <w:bCs/>
          <w:color w:val="auto"/>
          <w:kern w:val="0"/>
          <w:sz w:val="36"/>
          <w:szCs w:val="36"/>
          <w:highlight w:val="none"/>
          <w:lang w:val="en-US" w:eastAsia="zh-CN"/>
        </w:rPr>
      </w:pPr>
      <w:r>
        <w:rPr>
          <w:rFonts w:hint="eastAsia" w:ascii="宋体" w:hAnsi="宋体" w:cs="宋体"/>
          <w:b/>
          <w:bCs/>
          <w:spacing w:val="-20"/>
          <w:kern w:val="0"/>
          <w:sz w:val="72"/>
          <w:szCs w:val="72"/>
          <w:highlight w:val="none"/>
          <w:lang w:val="zh-CN"/>
        </w:rPr>
        <w:t>华宁县人民医院检验外送服务采购项目</w:t>
      </w:r>
    </w:p>
    <w:p w14:paraId="116119F4">
      <w:pPr>
        <w:jc w:val="center"/>
        <w:rPr>
          <w:rFonts w:hint="eastAsia" w:ascii="宋体" w:hAnsi="宋体" w:eastAsia="宋体" w:cs="宋体"/>
          <w:b/>
          <w:bCs/>
          <w:color w:val="auto"/>
          <w:kern w:val="0"/>
          <w:sz w:val="32"/>
          <w:szCs w:val="32"/>
          <w:highlight w:val="none"/>
        </w:rPr>
      </w:pPr>
    </w:p>
    <w:p w14:paraId="6ACF7350">
      <w:pPr>
        <w:jc w:val="center"/>
        <w:rPr>
          <w:rFonts w:hint="eastAsia" w:ascii="宋体" w:hAnsi="宋体" w:eastAsia="宋体" w:cs="宋体"/>
          <w:b/>
          <w:color w:val="auto"/>
          <w:szCs w:val="21"/>
          <w:highlight w:val="none"/>
        </w:rPr>
      </w:pPr>
    </w:p>
    <w:p w14:paraId="6B533817">
      <w:pPr>
        <w:jc w:val="center"/>
        <w:rPr>
          <w:rFonts w:hint="eastAsia" w:ascii="宋体" w:hAnsi="宋体" w:eastAsia="宋体" w:cs="宋体"/>
          <w:b/>
          <w:color w:val="auto"/>
          <w:szCs w:val="21"/>
          <w:highlight w:val="none"/>
        </w:rPr>
      </w:pPr>
    </w:p>
    <w:p w14:paraId="6ADF9BEE">
      <w:pPr>
        <w:jc w:val="center"/>
        <w:rPr>
          <w:rFonts w:hint="eastAsia" w:ascii="宋体" w:hAnsi="宋体" w:eastAsia="宋体" w:cs="宋体"/>
          <w:b/>
          <w:color w:val="auto"/>
          <w:szCs w:val="21"/>
          <w:highlight w:val="none"/>
        </w:rPr>
      </w:pPr>
    </w:p>
    <w:p w14:paraId="1F2DFD18">
      <w:pPr>
        <w:jc w:val="center"/>
        <w:rPr>
          <w:rFonts w:hint="eastAsia" w:ascii="宋体" w:hAnsi="宋体" w:eastAsia="宋体" w:cs="宋体"/>
          <w:b/>
          <w:color w:val="auto"/>
          <w:szCs w:val="21"/>
          <w:highlight w:val="none"/>
        </w:rPr>
      </w:pPr>
    </w:p>
    <w:p w14:paraId="4981241C">
      <w:pPr>
        <w:jc w:val="center"/>
        <w:rPr>
          <w:rFonts w:hint="eastAsia" w:ascii="宋体" w:hAnsi="宋体" w:eastAsia="宋体" w:cs="宋体"/>
          <w:b/>
          <w:color w:val="auto"/>
          <w:szCs w:val="21"/>
          <w:highlight w:val="none"/>
        </w:rPr>
      </w:pPr>
    </w:p>
    <w:p w14:paraId="2BC993FC">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响应文件</w:t>
      </w:r>
    </w:p>
    <w:p w14:paraId="500ACDF2">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eastAsia="宋体" w:cs="宋体"/>
          <w:bCs/>
          <w:color w:val="auto"/>
          <w:sz w:val="28"/>
          <w:szCs w:val="28"/>
          <w:highlight w:val="none"/>
        </w:rPr>
        <w:t xml:space="preserve"> </w:t>
      </w:r>
      <w:r>
        <w:rPr>
          <w:rFonts w:hint="eastAsia" w:ascii="宋体" w:hAnsi="宋体" w:cs="宋体"/>
          <w:bCs/>
          <w:color w:val="auto"/>
          <w:sz w:val="28"/>
          <w:szCs w:val="28"/>
          <w:highlight w:val="none"/>
          <w:lang w:eastAsia="zh-CN"/>
        </w:rPr>
        <w:t>GDZB-YXTP2024-001</w:t>
      </w:r>
    </w:p>
    <w:p w14:paraId="6683E541">
      <w:pPr>
        <w:jc w:val="center"/>
        <w:rPr>
          <w:rFonts w:hint="eastAsia" w:ascii="宋体" w:hAnsi="宋体" w:eastAsia="宋体" w:cs="宋体"/>
          <w:color w:val="auto"/>
          <w:sz w:val="28"/>
          <w:szCs w:val="28"/>
          <w:highlight w:val="none"/>
        </w:rPr>
      </w:pPr>
    </w:p>
    <w:p w14:paraId="0D2D5BC0">
      <w:pPr>
        <w:jc w:val="center"/>
        <w:rPr>
          <w:rFonts w:hint="eastAsia" w:ascii="宋体" w:hAnsi="宋体" w:eastAsia="宋体" w:cs="宋体"/>
          <w:color w:val="auto"/>
          <w:szCs w:val="21"/>
          <w:highlight w:val="none"/>
        </w:rPr>
      </w:pPr>
    </w:p>
    <w:p w14:paraId="048A268C">
      <w:pPr>
        <w:jc w:val="center"/>
        <w:rPr>
          <w:rFonts w:hint="eastAsia" w:ascii="宋体" w:hAnsi="宋体" w:eastAsia="宋体" w:cs="宋体"/>
          <w:color w:val="auto"/>
          <w:szCs w:val="21"/>
          <w:highlight w:val="none"/>
        </w:rPr>
      </w:pPr>
    </w:p>
    <w:p w14:paraId="1A066509">
      <w:pPr>
        <w:rPr>
          <w:rFonts w:hint="eastAsia" w:ascii="宋体" w:hAnsi="宋体" w:eastAsia="宋体" w:cs="宋体"/>
          <w:color w:val="auto"/>
          <w:szCs w:val="21"/>
          <w:highlight w:val="none"/>
        </w:rPr>
      </w:pPr>
    </w:p>
    <w:p w14:paraId="77540BDA">
      <w:pPr>
        <w:jc w:val="center"/>
        <w:rPr>
          <w:rFonts w:hint="eastAsia" w:ascii="宋体" w:hAnsi="宋体" w:eastAsia="宋体" w:cs="宋体"/>
          <w:color w:val="auto"/>
          <w:szCs w:val="21"/>
          <w:highlight w:val="none"/>
        </w:rPr>
      </w:pPr>
    </w:p>
    <w:p w14:paraId="7161BF21">
      <w:pPr>
        <w:tabs>
          <w:tab w:val="left" w:pos="5325"/>
        </w:tabs>
        <w:jc w:val="left"/>
        <w:rPr>
          <w:rFonts w:hint="eastAsia" w:ascii="宋体" w:hAnsi="宋体" w:eastAsia="宋体" w:cs="宋体"/>
          <w:color w:val="auto"/>
          <w:szCs w:val="21"/>
          <w:highlight w:val="none"/>
        </w:rPr>
      </w:pPr>
    </w:p>
    <w:p w14:paraId="6F7C18CF">
      <w:pPr>
        <w:spacing w:line="360" w:lineRule="auto"/>
        <w:jc w:val="center"/>
        <w:rPr>
          <w:rFonts w:hint="eastAsia" w:ascii="宋体" w:hAnsi="宋体" w:eastAsia="宋体" w:cs="宋体"/>
          <w:color w:val="auto"/>
          <w:szCs w:val="21"/>
          <w:highlight w:val="none"/>
        </w:rPr>
      </w:pPr>
    </w:p>
    <w:p w14:paraId="30BDCFCE">
      <w:pPr>
        <w:spacing w:line="360" w:lineRule="auto"/>
        <w:jc w:val="center"/>
        <w:rPr>
          <w:rFonts w:hint="eastAsia" w:ascii="宋体" w:hAnsi="宋体" w:eastAsia="宋体" w:cs="宋体"/>
          <w:color w:val="auto"/>
          <w:szCs w:val="21"/>
          <w:highlight w:val="none"/>
        </w:rPr>
      </w:pPr>
    </w:p>
    <w:p w14:paraId="6230B458">
      <w:pPr>
        <w:spacing w:line="360" w:lineRule="auto"/>
        <w:jc w:val="center"/>
        <w:rPr>
          <w:rFonts w:hint="eastAsia" w:ascii="宋体" w:hAnsi="宋体" w:eastAsia="宋体" w:cs="宋体"/>
          <w:color w:val="auto"/>
          <w:szCs w:val="21"/>
          <w:highlight w:val="none"/>
        </w:rPr>
      </w:pPr>
    </w:p>
    <w:p w14:paraId="009642DD">
      <w:pPr>
        <w:spacing w:line="480" w:lineRule="auto"/>
        <w:ind w:left="420" w:firstLine="42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p>
    <w:p w14:paraId="5AAC8C67">
      <w:pPr>
        <w:spacing w:line="480" w:lineRule="auto"/>
        <w:ind w:left="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（签字或盖章） </w:t>
      </w:r>
    </w:p>
    <w:p w14:paraId="6F353CF7">
      <w:pPr>
        <w:spacing w:line="480" w:lineRule="auto"/>
        <w:ind w:left="84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7395B27">
      <w:pPr>
        <w:rPr>
          <w:rFonts w:hint="eastAsia" w:ascii="宋体" w:hAnsi="宋体" w:eastAsia="宋体" w:cs="宋体"/>
          <w:color w:val="auto"/>
          <w:sz w:val="28"/>
          <w:szCs w:val="28"/>
          <w:highlight w:val="none"/>
        </w:rPr>
        <w:sectPr>
          <w:pgSz w:w="11905" w:h="16838"/>
          <w:pgMar w:top="1383" w:right="1366" w:bottom="1383" w:left="1366" w:header="907" w:footer="737" w:gutter="0"/>
          <w:pgBorders>
            <w:top w:val="none" w:sz="0" w:space="0"/>
            <w:left w:val="none" w:sz="0" w:space="0"/>
            <w:bottom w:val="single" w:color="auto" w:sz="4" w:space="1"/>
            <w:right w:val="none" w:sz="0" w:space="0"/>
          </w:pgBorders>
          <w:pgNumType w:fmt="decimal"/>
          <w:cols w:space="0" w:num="1"/>
          <w:rtlGutter w:val="0"/>
          <w:docGrid w:type="lines" w:linePitch="320" w:charSpace="0"/>
        </w:sectPr>
      </w:pPr>
    </w:p>
    <w:bookmarkEnd w:id="0"/>
    <w:bookmarkEnd w:id="1"/>
    <w:p w14:paraId="72B1D589">
      <w:pPr>
        <w:pStyle w:val="3"/>
        <w:jc w:val="center"/>
        <w:outlineLvl w:val="1"/>
        <w:rPr>
          <w:rFonts w:hint="eastAsia" w:ascii="宋体" w:hAnsi="宋体" w:eastAsia="宋体" w:cs="宋体"/>
          <w:color w:val="auto"/>
          <w:sz w:val="30"/>
          <w:szCs w:val="30"/>
          <w:highlight w:val="none"/>
        </w:rPr>
      </w:pPr>
      <w:bookmarkStart w:id="104" w:name="_Toc229583228"/>
      <w:r>
        <w:rPr>
          <w:rFonts w:hint="eastAsia" w:ascii="宋体" w:hAnsi="宋体" w:eastAsia="宋体" w:cs="宋体"/>
          <w:color w:val="auto"/>
          <w:sz w:val="30"/>
          <w:szCs w:val="30"/>
          <w:highlight w:val="none"/>
        </w:rPr>
        <w:t>（一）法定代表人身份证明书</w:t>
      </w:r>
      <w:bookmarkEnd w:id="104"/>
    </w:p>
    <w:p w14:paraId="3429F610">
      <w:pPr>
        <w:spacing w:line="360" w:lineRule="auto"/>
        <w:ind w:firstLine="612"/>
        <w:rPr>
          <w:rFonts w:hint="eastAsia" w:ascii="宋体" w:hAnsi="宋体" w:eastAsia="宋体" w:cs="宋体"/>
          <w:color w:val="auto"/>
          <w:sz w:val="24"/>
          <w:highlight w:val="none"/>
        </w:rPr>
      </w:pPr>
    </w:p>
    <w:p w14:paraId="5347EEA4">
      <w:pPr>
        <w:spacing w:line="360" w:lineRule="auto"/>
        <w:ind w:firstLine="612"/>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28320763">
      <w:pPr>
        <w:spacing w:line="36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4791F5A1">
      <w:pPr>
        <w:spacing w:line="36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59CAF836">
      <w:pPr>
        <w:spacing w:line="36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6FFC833">
      <w:pPr>
        <w:spacing w:line="36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1B32DB3D">
      <w:pPr>
        <w:spacing w:line="36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49138313">
      <w:pPr>
        <w:spacing w:line="36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的法定代表人。</w:t>
      </w:r>
    </w:p>
    <w:p w14:paraId="512A2897">
      <w:pPr>
        <w:spacing w:line="360" w:lineRule="auto"/>
        <w:ind w:firstLine="610"/>
        <w:rPr>
          <w:rFonts w:hint="eastAsia" w:ascii="宋体" w:hAnsi="宋体" w:eastAsia="宋体" w:cs="宋体"/>
          <w:color w:val="auto"/>
          <w:sz w:val="24"/>
          <w:highlight w:val="none"/>
        </w:rPr>
      </w:pPr>
    </w:p>
    <w:p w14:paraId="05BFA59D">
      <w:pPr>
        <w:spacing w:line="36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FF6850C">
      <w:pPr>
        <w:tabs>
          <w:tab w:val="left" w:pos="720"/>
          <w:tab w:val="left" w:pos="900"/>
        </w:tabs>
        <w:spacing w:line="360" w:lineRule="auto"/>
        <w:ind w:firstLine="480" w:firstLineChars="200"/>
        <w:rPr>
          <w:rFonts w:hint="eastAsia" w:ascii="宋体" w:hAnsi="宋体" w:eastAsia="宋体" w:cs="宋体"/>
          <w:color w:val="auto"/>
          <w:sz w:val="24"/>
          <w:highlight w:val="none"/>
        </w:rPr>
      </w:pPr>
    </w:p>
    <w:p w14:paraId="0B55F4D8">
      <w:pPr>
        <w:tabs>
          <w:tab w:val="left" w:pos="720"/>
          <w:tab w:val="left" w:pos="900"/>
        </w:tabs>
        <w:spacing w:line="360" w:lineRule="auto"/>
        <w:ind w:firstLine="480" w:firstLineChars="200"/>
        <w:rPr>
          <w:rFonts w:hint="eastAsia" w:ascii="宋体" w:hAnsi="宋体" w:eastAsia="宋体" w:cs="宋体"/>
          <w:color w:val="auto"/>
          <w:sz w:val="24"/>
          <w:highlight w:val="none"/>
        </w:rPr>
      </w:pPr>
    </w:p>
    <w:p w14:paraId="3A479FDC">
      <w:pPr>
        <w:tabs>
          <w:tab w:val="left" w:pos="720"/>
          <w:tab w:val="left" w:pos="900"/>
        </w:tabs>
        <w:spacing w:line="360" w:lineRule="auto"/>
        <w:ind w:firstLine="480" w:firstLineChars="200"/>
        <w:rPr>
          <w:rFonts w:hint="eastAsia" w:ascii="宋体" w:hAnsi="宋体" w:eastAsia="宋体" w:cs="宋体"/>
          <w:color w:val="auto"/>
          <w:sz w:val="24"/>
          <w:highlight w:val="none"/>
        </w:rPr>
      </w:pPr>
    </w:p>
    <w:p w14:paraId="2C802736">
      <w:pPr>
        <w:spacing w:line="360" w:lineRule="auto"/>
        <w:ind w:firstLine="2428" w:firstLineChars="1012"/>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（盖公章）</w:t>
      </w:r>
    </w:p>
    <w:p w14:paraId="24DC6DF1">
      <w:pPr>
        <w:spacing w:line="360" w:lineRule="auto"/>
        <w:ind w:firstLine="2428" w:firstLineChars="1012"/>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ADA230F">
      <w:pPr>
        <w:spacing w:line="360" w:lineRule="auto"/>
        <w:ind w:firstLine="2428" w:firstLineChars="1012"/>
        <w:rPr>
          <w:rFonts w:hint="eastAsia" w:ascii="宋体" w:hAnsi="宋体" w:eastAsia="宋体" w:cs="宋体"/>
          <w:color w:val="auto"/>
          <w:sz w:val="24"/>
          <w:highlight w:val="none"/>
        </w:rPr>
      </w:pPr>
    </w:p>
    <w:p w14:paraId="631D471A">
      <w:pPr>
        <w:spacing w:line="360" w:lineRule="auto"/>
        <w:ind w:firstLine="2428" w:firstLineChars="1012"/>
        <w:rPr>
          <w:rFonts w:hint="eastAsia" w:ascii="宋体" w:hAnsi="宋体" w:eastAsia="宋体" w:cs="宋体"/>
          <w:color w:val="auto"/>
          <w:sz w:val="24"/>
          <w:highlight w:val="none"/>
        </w:rPr>
      </w:pPr>
    </w:p>
    <w:p w14:paraId="69CA5F88">
      <w:pPr>
        <w:spacing w:line="360" w:lineRule="auto"/>
        <w:ind w:firstLine="410" w:firstLineChars="17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注：附法定代表人第二代身份证正、反面复印件。</w:t>
      </w:r>
    </w:p>
    <w:p w14:paraId="5F3FC6E9">
      <w:pPr>
        <w:spacing w:line="360" w:lineRule="auto"/>
        <w:rPr>
          <w:rFonts w:hint="eastAsia" w:ascii="宋体" w:hAnsi="宋体" w:eastAsia="宋体" w:cs="宋体"/>
          <w:color w:val="auto"/>
          <w:sz w:val="24"/>
          <w:highlight w:val="none"/>
        </w:rPr>
      </w:pPr>
    </w:p>
    <w:p w14:paraId="01DA307F">
      <w:pPr>
        <w:spacing w:line="360" w:lineRule="auto"/>
        <w:rPr>
          <w:rFonts w:hint="eastAsia" w:ascii="宋体" w:hAnsi="宋体" w:eastAsia="宋体" w:cs="宋体"/>
          <w:color w:val="auto"/>
          <w:sz w:val="24"/>
          <w:highlight w:val="none"/>
        </w:rPr>
      </w:pPr>
    </w:p>
    <w:p w14:paraId="49E2B52D">
      <w:pPr>
        <w:spacing w:line="360" w:lineRule="auto"/>
        <w:rPr>
          <w:rFonts w:hint="eastAsia" w:ascii="宋体" w:hAnsi="宋体" w:eastAsia="宋体" w:cs="宋体"/>
          <w:color w:val="auto"/>
          <w:sz w:val="24"/>
          <w:highlight w:val="none"/>
        </w:rPr>
      </w:pPr>
    </w:p>
    <w:p w14:paraId="23AC8BC4">
      <w:pPr>
        <w:spacing w:line="360" w:lineRule="auto"/>
        <w:rPr>
          <w:rFonts w:hint="eastAsia" w:ascii="宋体" w:hAnsi="宋体" w:eastAsia="宋体" w:cs="宋体"/>
          <w:color w:val="auto"/>
          <w:sz w:val="24"/>
          <w:highlight w:val="none"/>
        </w:rPr>
      </w:pPr>
    </w:p>
    <w:p w14:paraId="15CB60F4">
      <w:pPr>
        <w:spacing w:line="360" w:lineRule="auto"/>
        <w:rPr>
          <w:rFonts w:hint="eastAsia" w:ascii="宋体" w:hAnsi="宋体" w:eastAsia="宋体" w:cs="宋体"/>
          <w:color w:val="auto"/>
          <w:sz w:val="24"/>
          <w:highlight w:val="none"/>
        </w:rPr>
      </w:pPr>
    </w:p>
    <w:p w14:paraId="74FA188D">
      <w:pPr>
        <w:jc w:val="center"/>
        <w:outlineLvl w:val="1"/>
        <w:rPr>
          <w:rFonts w:hint="eastAsia" w:ascii="宋体" w:hAnsi="宋体" w:eastAsia="宋体" w:cs="宋体"/>
          <w:b/>
          <w:bCs/>
          <w:color w:val="auto"/>
          <w:sz w:val="30"/>
          <w:szCs w:val="30"/>
          <w:highlight w:val="none"/>
        </w:rPr>
      </w:pPr>
      <w:bookmarkStart w:id="105" w:name="_Toc229583229"/>
      <w:r>
        <w:rPr>
          <w:rFonts w:hint="eastAsia" w:ascii="宋体" w:hAnsi="宋体" w:eastAsia="宋体" w:cs="宋体"/>
          <w:color w:val="auto"/>
          <w:highlight w:val="none"/>
        </w:rPr>
        <w:br w:type="page"/>
      </w:r>
      <w:r>
        <w:rPr>
          <w:rFonts w:hint="eastAsia" w:ascii="宋体" w:hAnsi="宋体" w:eastAsia="宋体" w:cs="宋体"/>
          <w:b/>
          <w:bCs/>
          <w:color w:val="auto"/>
          <w:highlight w:val="none"/>
        </w:rPr>
        <w:t>（</w:t>
      </w:r>
      <w:r>
        <w:rPr>
          <w:rFonts w:hint="eastAsia" w:ascii="宋体" w:hAnsi="宋体" w:eastAsia="宋体" w:cs="宋体"/>
          <w:b/>
          <w:bCs/>
          <w:color w:val="auto"/>
          <w:sz w:val="30"/>
          <w:szCs w:val="30"/>
          <w:highlight w:val="none"/>
        </w:rPr>
        <w:t>二）法定代表人签署授权委托书</w:t>
      </w:r>
      <w:bookmarkEnd w:id="105"/>
    </w:p>
    <w:p w14:paraId="057521A6">
      <w:pPr>
        <w:snapToGrid w:val="0"/>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（竞 标 人 名 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（单 位 名 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为我公司签署本项目的响应文件的法定代表人授权委托代理人，我承认代理人全权代表我所签署的本项目的响应文件的内容。</w:t>
      </w:r>
    </w:p>
    <w:p w14:paraId="07CA61F4">
      <w:pPr>
        <w:snapToGrid w:val="0"/>
        <w:spacing w:line="360" w:lineRule="auto"/>
        <w:rPr>
          <w:rFonts w:hint="eastAsia" w:ascii="宋体" w:hAnsi="宋体" w:eastAsia="宋体" w:cs="宋体"/>
          <w:color w:val="auto"/>
          <w:sz w:val="24"/>
          <w:highlight w:val="none"/>
        </w:rPr>
      </w:pPr>
    </w:p>
    <w:p w14:paraId="600CA56B">
      <w:pPr>
        <w:snapToGrid w:val="0"/>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14:paraId="2BF656CF">
      <w:pPr>
        <w:snapToGrid w:val="0"/>
        <w:spacing w:line="360" w:lineRule="auto"/>
        <w:rPr>
          <w:rFonts w:hint="eastAsia" w:ascii="宋体" w:hAnsi="宋体" w:eastAsia="宋体" w:cs="宋体"/>
          <w:color w:val="auto"/>
          <w:sz w:val="24"/>
          <w:highlight w:val="none"/>
        </w:rPr>
      </w:pPr>
    </w:p>
    <w:p w14:paraId="6598016B">
      <w:pPr>
        <w:snapToGrid w:val="0"/>
        <w:spacing w:line="360" w:lineRule="auto"/>
        <w:rPr>
          <w:rFonts w:hint="eastAsia" w:ascii="宋体" w:hAnsi="宋体" w:eastAsia="宋体" w:cs="宋体"/>
          <w:color w:val="auto"/>
          <w:sz w:val="24"/>
          <w:highlight w:val="none"/>
        </w:rPr>
      </w:pPr>
    </w:p>
    <w:p w14:paraId="1860AECC">
      <w:pPr>
        <w:snapToGrid w:val="0"/>
        <w:spacing w:line="360" w:lineRule="auto"/>
        <w:rPr>
          <w:rFonts w:hint="eastAsia" w:ascii="宋体" w:hAnsi="宋体" w:eastAsia="宋体" w:cs="宋体"/>
          <w:color w:val="auto"/>
          <w:sz w:val="24"/>
          <w:highlight w:val="none"/>
        </w:rPr>
      </w:pPr>
    </w:p>
    <w:p w14:paraId="546EE266">
      <w:pPr>
        <w:snapToGrid w:val="0"/>
        <w:spacing w:line="360" w:lineRule="auto"/>
        <w:rPr>
          <w:rFonts w:hint="eastAsia" w:ascii="宋体" w:hAnsi="宋体" w:eastAsia="宋体" w:cs="宋体"/>
          <w:color w:val="auto"/>
          <w:sz w:val="24"/>
          <w:highlight w:val="none"/>
        </w:rPr>
      </w:pPr>
    </w:p>
    <w:p w14:paraId="47261F06">
      <w:pPr>
        <w:snapToGrid w:val="0"/>
        <w:spacing w:line="360" w:lineRule="auto"/>
        <w:rPr>
          <w:rFonts w:hint="eastAsia" w:ascii="宋体" w:hAnsi="宋体" w:eastAsia="宋体" w:cs="宋体"/>
          <w:color w:val="auto"/>
          <w:sz w:val="24"/>
          <w:highlight w:val="none"/>
        </w:rPr>
      </w:pPr>
    </w:p>
    <w:p w14:paraId="00F2EDF1">
      <w:pPr>
        <w:snapToGrid w:val="0"/>
        <w:spacing w:line="360" w:lineRule="auto"/>
        <w:rPr>
          <w:rFonts w:hint="eastAsia" w:ascii="宋体" w:hAnsi="宋体" w:eastAsia="宋体" w:cs="宋体"/>
          <w:color w:val="auto"/>
          <w:sz w:val="24"/>
          <w:highlight w:val="none"/>
        </w:rPr>
      </w:pPr>
    </w:p>
    <w:p w14:paraId="6F7D78C8">
      <w:pPr>
        <w:snapToGrid w:val="0"/>
        <w:spacing w:line="360" w:lineRule="auto"/>
        <w:ind w:firstLine="2160" w:firstLineChars="9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代理人：</w:t>
      </w:r>
      <w:r>
        <w:rPr>
          <w:rFonts w:hint="eastAsia" w:ascii="宋体" w:hAnsi="宋体" w:eastAsia="宋体" w:cs="宋体"/>
          <w:color w:val="auto"/>
          <w:sz w:val="24"/>
          <w:highlight w:val="none"/>
          <w:u w:val="single"/>
        </w:rPr>
        <w:t xml:space="preserve">  （签字</w:t>
      </w:r>
      <w:bookmarkStart w:id="106" w:name="OLE_LINK26"/>
      <w:r>
        <w:rPr>
          <w:rFonts w:hint="eastAsia" w:ascii="宋体" w:hAnsi="宋体" w:eastAsia="宋体" w:cs="宋体"/>
          <w:color w:val="auto"/>
          <w:sz w:val="24"/>
          <w:highlight w:val="none"/>
          <w:u w:val="single"/>
        </w:rPr>
        <w:t>或盖章</w:t>
      </w:r>
      <w:bookmarkEnd w:id="106"/>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p>
    <w:p w14:paraId="76D2FED4">
      <w:pPr>
        <w:snapToGrid w:val="0"/>
        <w:spacing w:line="360" w:lineRule="auto"/>
        <w:ind w:firstLine="2160" w:firstLineChars="9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43EC5803">
      <w:pPr>
        <w:snapToGrid w:val="0"/>
        <w:spacing w:line="360" w:lineRule="auto"/>
        <w:ind w:firstLine="2160" w:firstLine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（盖公章）                </w:t>
      </w:r>
    </w:p>
    <w:p w14:paraId="2D7D3D6C">
      <w:pPr>
        <w:snapToGrid w:val="0"/>
        <w:spacing w:line="360" w:lineRule="auto"/>
        <w:ind w:firstLine="2160" w:firstLine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（签字或盖章）                  </w:t>
      </w:r>
    </w:p>
    <w:p w14:paraId="7CBB0C41">
      <w:pPr>
        <w:snapToGrid w:val="0"/>
        <w:spacing w:line="360" w:lineRule="auto"/>
        <w:ind w:firstLine="2160" w:firstLine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8EF1D3F">
      <w:pPr>
        <w:snapToGrid w:val="0"/>
        <w:spacing w:line="360" w:lineRule="auto"/>
        <w:rPr>
          <w:rFonts w:hint="eastAsia" w:ascii="宋体" w:hAnsi="宋体" w:eastAsia="宋体" w:cs="宋体"/>
          <w:color w:val="auto"/>
          <w:sz w:val="24"/>
          <w:highlight w:val="none"/>
        </w:rPr>
      </w:pPr>
    </w:p>
    <w:p w14:paraId="63ED22B2">
      <w:pPr>
        <w:snapToGrid w:val="0"/>
        <w:spacing w:line="360" w:lineRule="auto"/>
        <w:rPr>
          <w:rFonts w:hint="eastAsia" w:ascii="宋体" w:hAnsi="宋体" w:eastAsia="宋体" w:cs="宋体"/>
          <w:color w:val="auto"/>
          <w:sz w:val="24"/>
          <w:highlight w:val="none"/>
        </w:rPr>
      </w:pPr>
    </w:p>
    <w:p w14:paraId="46C28A97">
      <w:pPr>
        <w:snapToGrid w:val="0"/>
        <w:spacing w:line="360" w:lineRule="auto"/>
        <w:ind w:firstLine="540" w:firstLineChars="224"/>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注：附授权委托人第二代身份证正、反面复印件，如申请人由法定代表人亲自签署响应文件并参与相关活动，则不需要办理授权。如有被授权的代理人签署上述文件，则必须按本格式规定填报并提交授权书，否则被授权的代理人将不被认可。</w:t>
      </w:r>
    </w:p>
    <w:p w14:paraId="41759343">
      <w:pPr>
        <w:spacing w:line="360" w:lineRule="auto"/>
        <w:rPr>
          <w:rFonts w:hint="eastAsia" w:ascii="宋体" w:hAnsi="宋体" w:eastAsia="宋体" w:cs="宋体"/>
          <w:color w:val="auto"/>
          <w:szCs w:val="21"/>
          <w:highlight w:val="none"/>
        </w:rPr>
      </w:pPr>
    </w:p>
    <w:p w14:paraId="0230A80C">
      <w:pPr>
        <w:spacing w:line="360" w:lineRule="auto"/>
        <w:rPr>
          <w:rFonts w:hint="eastAsia" w:ascii="宋体" w:hAnsi="宋体" w:eastAsia="宋体" w:cs="宋体"/>
          <w:color w:val="auto"/>
          <w:sz w:val="24"/>
          <w:highlight w:val="none"/>
        </w:rPr>
      </w:pPr>
    </w:p>
    <w:p w14:paraId="00CD50E0">
      <w:pPr>
        <w:spacing w:line="360" w:lineRule="auto"/>
        <w:rPr>
          <w:rFonts w:hint="eastAsia" w:ascii="宋体" w:hAnsi="宋体" w:eastAsia="宋体" w:cs="宋体"/>
          <w:color w:val="auto"/>
          <w:sz w:val="24"/>
          <w:highlight w:val="none"/>
        </w:rPr>
      </w:pPr>
    </w:p>
    <w:p w14:paraId="778E6D3E">
      <w:pPr>
        <w:rPr>
          <w:rFonts w:hint="eastAsia" w:ascii="宋体" w:hAnsi="宋体" w:eastAsia="宋体" w:cs="宋体"/>
          <w:color w:val="auto"/>
          <w:highlight w:val="none"/>
        </w:rPr>
      </w:pPr>
      <w:bookmarkStart w:id="107" w:name="_Toc229583230"/>
    </w:p>
    <w:p w14:paraId="1F9086CB">
      <w:pPr>
        <w:pStyle w:val="13"/>
        <w:rPr>
          <w:rFonts w:hint="eastAsia" w:ascii="宋体" w:hAnsi="宋体" w:eastAsia="宋体" w:cs="宋体"/>
          <w:color w:val="auto"/>
          <w:highlight w:val="none"/>
        </w:rPr>
      </w:pPr>
    </w:p>
    <w:p w14:paraId="31E87B10">
      <w:pPr>
        <w:pStyle w:val="13"/>
        <w:rPr>
          <w:rFonts w:hint="eastAsia" w:ascii="宋体" w:hAnsi="宋体" w:eastAsia="宋体" w:cs="宋体"/>
          <w:color w:val="auto"/>
          <w:highlight w:val="none"/>
        </w:rPr>
      </w:pPr>
    </w:p>
    <w:p w14:paraId="5D1B412B">
      <w:pPr>
        <w:pStyle w:val="3"/>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（三）</w:t>
      </w:r>
      <w:r>
        <w:rPr>
          <w:rFonts w:hint="eastAsia" w:ascii="宋体" w:hAnsi="宋体" w:cs="宋体"/>
          <w:color w:val="auto"/>
          <w:sz w:val="30"/>
          <w:szCs w:val="30"/>
          <w:highlight w:val="none"/>
          <w:lang w:val="en-US" w:eastAsia="zh-CN"/>
        </w:rPr>
        <w:t>谈判</w:t>
      </w:r>
      <w:r>
        <w:rPr>
          <w:rFonts w:hint="eastAsia" w:ascii="宋体" w:hAnsi="宋体" w:eastAsia="宋体" w:cs="宋体"/>
          <w:color w:val="auto"/>
          <w:sz w:val="30"/>
          <w:szCs w:val="30"/>
          <w:highlight w:val="none"/>
        </w:rPr>
        <w:t>函</w:t>
      </w:r>
      <w:bookmarkEnd w:id="107"/>
    </w:p>
    <w:p w14:paraId="4E4413E4">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（采购人名称）   </w:t>
      </w:r>
    </w:p>
    <w:p w14:paraId="2D3E5F30">
      <w:pPr>
        <w:spacing w:line="400" w:lineRule="exact"/>
        <w:rPr>
          <w:rFonts w:hint="eastAsia" w:ascii="宋体" w:hAnsi="宋体" w:eastAsia="宋体" w:cs="宋体"/>
          <w:color w:val="auto"/>
          <w:sz w:val="24"/>
          <w:highlight w:val="none"/>
          <w:u w:val="single"/>
        </w:rPr>
      </w:pPr>
    </w:p>
    <w:p w14:paraId="740EBC0E">
      <w:pPr>
        <w:numPr>
          <w:ilvl w:val="0"/>
          <w:numId w:val="2"/>
        </w:num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根据你方</w:t>
      </w:r>
      <w:r>
        <w:rPr>
          <w:rFonts w:hint="eastAsia" w:ascii="宋体" w:hAnsi="宋体" w:cs="宋体"/>
          <w:color w:val="auto"/>
          <w:sz w:val="24"/>
          <w:highlight w:val="none"/>
          <w:lang w:val="en-US" w:eastAsia="zh-CN"/>
        </w:rPr>
        <w:t>谈判采购</w:t>
      </w:r>
      <w:r>
        <w:rPr>
          <w:rFonts w:hint="eastAsia" w:ascii="宋体" w:hAnsi="宋体" w:eastAsia="宋体" w:cs="宋体"/>
          <w:color w:val="auto"/>
          <w:sz w:val="24"/>
          <w:highlight w:val="none"/>
        </w:rPr>
        <w:t>项目编号为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项目</w:t>
      </w:r>
      <w:r>
        <w:rPr>
          <w:rFonts w:hint="eastAsia" w:ascii="宋体" w:hAnsi="宋体" w:eastAsia="宋体" w:cs="宋体"/>
          <w:color w:val="auto"/>
          <w:sz w:val="24"/>
          <w:highlight w:val="none"/>
          <w:u w:val="single"/>
        </w:rPr>
        <w:t xml:space="preserve">编号）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文件，遵照</w:t>
      </w:r>
      <w:r>
        <w:rPr>
          <w:rFonts w:hint="eastAsia" w:ascii="宋体" w:hAnsi="宋体" w:cs="宋体"/>
          <w:color w:val="auto"/>
          <w:sz w:val="24"/>
          <w:highlight w:val="none"/>
          <w:lang w:val="en-US" w:eastAsia="zh-CN"/>
        </w:rPr>
        <w:t>玉溪限额以下服务市场等</w:t>
      </w:r>
      <w:r>
        <w:rPr>
          <w:rFonts w:hint="eastAsia" w:ascii="宋体" w:hAnsi="宋体" w:eastAsia="宋体" w:cs="宋体"/>
          <w:color w:val="auto"/>
          <w:sz w:val="24"/>
          <w:highlight w:val="none"/>
        </w:rPr>
        <w:t>有关规定，我单位经研究上述</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文件的供应商须知、合同条款、技术规范及其他有关文件后，我方根据最新《云南省医疗服务价格文件汇编》收费标准计费规定进行计价，最终以</w:t>
      </w:r>
      <w:r>
        <w:rPr>
          <w:rFonts w:hint="eastAsia" w:ascii="宋体" w:hAnsi="宋体" w:eastAsia="宋体" w:cs="宋体"/>
          <w:color w:val="auto"/>
          <w:sz w:val="24"/>
          <w:highlight w:val="none"/>
          <w:lang w:val="en-US" w:eastAsia="zh-CN"/>
        </w:rPr>
        <w:t>采购人提供外送服务清单</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结算金额</w:t>
      </w:r>
      <w:r>
        <w:rPr>
          <w:rFonts w:hint="eastAsia" w:ascii="宋体" w:hAnsi="宋体" w:eastAsia="宋体" w:cs="宋体"/>
          <w:color w:val="auto"/>
          <w:sz w:val="24"/>
          <w:highlight w:val="none"/>
        </w:rPr>
        <w:t>基础上下浮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谈</w:t>
      </w:r>
      <w:r>
        <w:rPr>
          <w:rFonts w:hint="eastAsia" w:ascii="宋体" w:hAnsi="宋体" w:cs="宋体"/>
          <w:color w:val="auto"/>
          <w:sz w:val="24"/>
          <w:szCs w:val="24"/>
          <w:highlight w:val="none"/>
          <w:lang w:val="en-US" w:eastAsia="zh-CN"/>
        </w:rPr>
        <w:t>判报价</w:t>
      </w:r>
      <w:r>
        <w:rPr>
          <w:rFonts w:hint="eastAsia" w:ascii="宋体" w:hAnsi="宋体" w:eastAsia="宋体" w:cs="宋体"/>
          <w:color w:val="auto"/>
          <w:sz w:val="24"/>
          <w:highlight w:val="none"/>
        </w:rPr>
        <w:t>，</w:t>
      </w:r>
      <w:r>
        <w:rPr>
          <w:rFonts w:hint="eastAsia" w:ascii="宋体" w:hAnsi="宋体" w:cs="宋体"/>
          <w:color w:val="auto"/>
          <w:sz w:val="24"/>
          <w:szCs w:val="24"/>
          <w:highlight w:val="none"/>
        </w:rPr>
        <w:t>按采购人提出的技术需求承担</w:t>
      </w:r>
      <w:r>
        <w:rPr>
          <w:rFonts w:hint="eastAsia" w:ascii="宋体" w:hAnsi="宋体" w:cs="宋体"/>
          <w:color w:val="auto"/>
          <w:sz w:val="24"/>
          <w:szCs w:val="24"/>
          <w:highlight w:val="none"/>
          <w:lang w:eastAsia="zh-CN"/>
        </w:rPr>
        <w:t>谈判采购</w:t>
      </w:r>
      <w:r>
        <w:rPr>
          <w:rFonts w:hint="eastAsia" w:ascii="宋体" w:hAnsi="宋体" w:cs="宋体"/>
          <w:color w:val="auto"/>
          <w:sz w:val="24"/>
          <w:szCs w:val="24"/>
          <w:highlight w:val="none"/>
        </w:rPr>
        <w:t>文件中所规定的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的全部责任和义务。</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文件规定的合同</w:t>
      </w:r>
      <w:r>
        <w:rPr>
          <w:rFonts w:hint="eastAsia" w:ascii="宋体" w:hAnsi="宋体" w:cs="宋体"/>
          <w:color w:val="auto"/>
          <w:sz w:val="24"/>
          <w:highlight w:val="none"/>
          <w:lang w:val="en-US" w:eastAsia="zh-CN"/>
        </w:rPr>
        <w:t>履约</w:t>
      </w:r>
      <w:r>
        <w:rPr>
          <w:rFonts w:hint="eastAsia" w:ascii="宋体" w:hAnsi="宋体" w:eastAsia="宋体" w:cs="宋体"/>
          <w:color w:val="auto"/>
          <w:sz w:val="24"/>
          <w:highlight w:val="none"/>
        </w:rPr>
        <w:t>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完成全部工作内容，并满足质量</w:t>
      </w:r>
      <w:r>
        <w:rPr>
          <w:rFonts w:hint="eastAsia" w:ascii="宋体" w:hAnsi="宋体" w:cs="宋体"/>
          <w:color w:val="auto"/>
          <w:sz w:val="24"/>
          <w:highlight w:val="none"/>
          <w:lang w:val="en-US" w:eastAsia="zh-CN"/>
        </w:rPr>
        <w:t>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，我方愿将按“</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文件”的规定履行责任和义务。</w:t>
      </w:r>
    </w:p>
    <w:p w14:paraId="7B8C35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2、我方同意提供贵方可能要求的与</w:t>
      </w:r>
      <w:r>
        <w:rPr>
          <w:rFonts w:hint="eastAsia" w:ascii="宋体" w:hAnsi="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有关的一切数据或资料，完全理解并接受贵方不承担我公司的任何</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费用。</w:t>
      </w:r>
    </w:p>
    <w:p w14:paraId="444455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3、本响应文件中填报内容均为真实情况，如贵方在评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rPr>
        <w:t>或项目实施过程中发现响应文件中有不实之处，我方将无条件接受贵方做出的处罚决定。</w:t>
      </w:r>
    </w:p>
    <w:p w14:paraId="5BD4B3FB">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4、我方同意所递交的响应文件在“供应商须知”规定的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有效期内有效，在此期间内我方的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有可能中</w:t>
      </w:r>
      <w:r>
        <w:rPr>
          <w:rFonts w:hint="eastAsia" w:ascii="宋体" w:hAnsi="宋体" w:cs="宋体"/>
          <w:color w:val="auto"/>
          <w:sz w:val="24"/>
          <w:szCs w:val="24"/>
          <w:highlight w:val="none"/>
          <w:lang w:val="en-US" w:eastAsia="zh-CN"/>
        </w:rPr>
        <w:t>选</w:t>
      </w:r>
      <w:r>
        <w:rPr>
          <w:rFonts w:hint="eastAsia" w:ascii="宋体" w:hAnsi="宋体" w:eastAsia="宋体" w:cs="宋体"/>
          <w:color w:val="auto"/>
          <w:sz w:val="24"/>
          <w:szCs w:val="24"/>
          <w:highlight w:val="none"/>
        </w:rPr>
        <w:t>，我方将受此约束。</w:t>
      </w:r>
    </w:p>
    <w:p w14:paraId="61A9520A">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开展业务，我方将按</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文件的规定签订合同书，并完全履行响应</w:t>
      </w:r>
      <w:r>
        <w:rPr>
          <w:rFonts w:hint="eastAsia" w:ascii="宋体" w:hAnsi="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文件规定的所有义务。</w:t>
      </w:r>
    </w:p>
    <w:p w14:paraId="09671A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w:t>
      </w:r>
      <w:r>
        <w:rPr>
          <w:rFonts w:hint="eastAsia" w:ascii="宋体" w:hAnsi="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程序、</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办法以及谈判小组</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人员产生办法和组成，承认</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人员据此</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办法产生的</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单位。</w:t>
      </w:r>
    </w:p>
    <w:p w14:paraId="467EC29B">
      <w:pPr>
        <w:spacing w:line="400" w:lineRule="exact"/>
        <w:rPr>
          <w:rFonts w:hint="eastAsia" w:ascii="宋体" w:hAnsi="宋体" w:eastAsia="宋体" w:cs="宋体"/>
          <w:color w:val="auto"/>
          <w:sz w:val="24"/>
          <w:highlight w:val="none"/>
        </w:rPr>
      </w:pPr>
    </w:p>
    <w:p w14:paraId="74824857">
      <w:pPr>
        <w:spacing w:line="400" w:lineRule="exact"/>
        <w:ind w:firstLine="1920" w:firstLineChars="8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（盖公章）</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1C5D189A">
      <w:pPr>
        <w:spacing w:line="360" w:lineRule="auto"/>
        <w:ind w:firstLine="1920" w:firstLineChars="8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6327454">
      <w:pPr>
        <w:spacing w:line="360" w:lineRule="auto"/>
        <w:ind w:firstLine="1920" w:firstLineChars="8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（签字或盖章）</w:t>
      </w:r>
      <w:r>
        <w:rPr>
          <w:rFonts w:hint="eastAsia" w:ascii="宋体" w:hAnsi="宋体" w:cs="宋体"/>
          <w:color w:val="auto"/>
          <w:sz w:val="24"/>
          <w:highlight w:val="none"/>
          <w:u w:val="single"/>
          <w:lang w:val="en-US" w:eastAsia="zh-CN"/>
        </w:rPr>
        <w:t xml:space="preserve"> </w:t>
      </w:r>
    </w:p>
    <w:p w14:paraId="20C76FE2">
      <w:pPr>
        <w:spacing w:line="360" w:lineRule="auto"/>
        <w:ind w:firstLine="1920" w:firstLineChars="8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379067FC">
      <w:pPr>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2533386A">
      <w:pPr>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开户银行账号：</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77B55479">
      <w:pPr>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229A0006">
      <w:pPr>
        <w:spacing w:line="360" w:lineRule="auto"/>
        <w:ind w:firstLine="1920" w:firstLineChars="8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开户银行电话：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1CA95E74">
      <w:pPr>
        <w:spacing w:line="360" w:lineRule="auto"/>
        <w:ind w:firstLine="1920" w:firstLineChars="800"/>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bookmarkStart w:id="108" w:name="_Toc224363914"/>
      <w:bookmarkStart w:id="109" w:name="_Toc229583232"/>
    </w:p>
    <w:p w14:paraId="0D5D1C7C">
      <w:pPr>
        <w:pStyle w:val="3"/>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（四）</w:t>
      </w:r>
      <w:r>
        <w:rPr>
          <w:rFonts w:hint="eastAsia" w:ascii="宋体" w:hAnsi="宋体" w:cs="宋体"/>
          <w:color w:val="auto"/>
          <w:sz w:val="30"/>
          <w:szCs w:val="30"/>
          <w:highlight w:val="none"/>
          <w:lang w:val="en-US" w:eastAsia="zh-CN"/>
        </w:rPr>
        <w:t>谈判</w:t>
      </w:r>
      <w:r>
        <w:rPr>
          <w:rFonts w:hint="eastAsia" w:ascii="宋体" w:hAnsi="宋体" w:eastAsia="宋体" w:cs="宋体"/>
          <w:color w:val="auto"/>
          <w:sz w:val="30"/>
          <w:szCs w:val="30"/>
          <w:highlight w:val="none"/>
        </w:rPr>
        <w:t>报价一览表</w:t>
      </w:r>
    </w:p>
    <w:p w14:paraId="53404A19">
      <w:pPr>
        <w:tabs>
          <w:tab w:val="left" w:pos="6660"/>
        </w:tabs>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华宁县人民医院检验外送服务采购项目</w:t>
      </w:r>
    </w:p>
    <w:p w14:paraId="023CD306">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编号：</w:t>
      </w:r>
      <w:r>
        <w:rPr>
          <w:rFonts w:hint="eastAsia" w:ascii="宋体" w:hAnsi="宋体" w:cs="宋体"/>
          <w:color w:val="auto"/>
          <w:sz w:val="24"/>
          <w:szCs w:val="24"/>
          <w:highlight w:val="none"/>
          <w:lang w:eastAsia="zh-CN"/>
        </w:rPr>
        <w:t>GDZB-YXTP2024-001</w:t>
      </w:r>
    </w:p>
    <w:p w14:paraId="2837475E">
      <w:pPr>
        <w:tabs>
          <w:tab w:val="left" w:pos="6660"/>
        </w:tabs>
        <w:spacing w:line="200" w:lineRule="exact"/>
        <w:jc w:val="center"/>
        <w:rPr>
          <w:rFonts w:hint="eastAsia" w:ascii="宋体" w:hAnsi="宋体" w:eastAsia="宋体" w:cs="宋体"/>
          <w:color w:val="auto"/>
          <w:sz w:val="18"/>
          <w:szCs w:val="18"/>
          <w:highlight w:val="none"/>
        </w:rPr>
      </w:pPr>
    </w:p>
    <w:tbl>
      <w:tblPr>
        <w:tblStyle w:val="54"/>
        <w:tblpPr w:leftFromText="180" w:rightFromText="180" w:vertAnchor="text" w:tblpXSpec="center" w:tblpY="1"/>
        <w:tblOverlap w:val="never"/>
        <w:tblW w:w="96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9"/>
        <w:gridCol w:w="7427"/>
      </w:tblGrid>
      <w:tr w14:paraId="2B499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09" w:type="dxa"/>
            <w:noWrap w:val="0"/>
            <w:vAlign w:val="center"/>
          </w:tcPr>
          <w:p w14:paraId="36C7C77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427" w:type="dxa"/>
            <w:noWrap w:val="0"/>
            <w:vAlign w:val="center"/>
          </w:tcPr>
          <w:p w14:paraId="0CAAEADB">
            <w:pPr>
              <w:rPr>
                <w:rFonts w:hint="eastAsia" w:ascii="宋体" w:hAnsi="宋体" w:eastAsia="宋体" w:cs="宋体"/>
                <w:color w:val="auto"/>
                <w:sz w:val="28"/>
                <w:szCs w:val="28"/>
                <w:highlight w:val="none"/>
              </w:rPr>
            </w:pPr>
          </w:p>
        </w:tc>
      </w:tr>
      <w:tr w14:paraId="47653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2209" w:type="dxa"/>
            <w:noWrap w:val="0"/>
            <w:vAlign w:val="center"/>
          </w:tcPr>
          <w:p w14:paraId="3BC7E99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谈判报价</w:t>
            </w:r>
          </w:p>
        </w:tc>
        <w:tc>
          <w:tcPr>
            <w:tcW w:w="7427" w:type="dxa"/>
            <w:noWrap w:val="0"/>
            <w:vAlign w:val="center"/>
          </w:tcPr>
          <w:p w14:paraId="51F25B74">
            <w:pPr>
              <w:rPr>
                <w:rFonts w:hint="eastAsia"/>
                <w:highlight w:val="none"/>
              </w:rPr>
            </w:pPr>
            <w:r>
              <w:rPr>
                <w:rFonts w:hint="eastAsia" w:hAnsi="宋体" w:cs="宋体"/>
                <w:sz w:val="24"/>
                <w:szCs w:val="24"/>
                <w:highlight w:val="none"/>
              </w:rPr>
              <w:t>下浮</w:t>
            </w:r>
            <w:r>
              <w:rPr>
                <w:rFonts w:hint="eastAsia" w:hAnsi="宋体" w:cs="宋体"/>
                <w:sz w:val="24"/>
                <w:szCs w:val="24"/>
                <w:highlight w:val="none"/>
                <w:u w:val="single"/>
              </w:rPr>
              <w:t xml:space="preserve">        </w:t>
            </w:r>
            <w:r>
              <w:rPr>
                <w:rFonts w:hint="eastAsia" w:hAnsi="宋体" w:cs="宋体"/>
                <w:sz w:val="24"/>
                <w:szCs w:val="24"/>
                <w:highlight w:val="none"/>
              </w:rPr>
              <w:t>%</w:t>
            </w:r>
            <w:r>
              <w:rPr>
                <w:rFonts w:hint="eastAsia" w:ascii="宋体" w:hAnsi="宋体" w:cs="宋体"/>
                <w:color w:val="000000"/>
                <w:sz w:val="24"/>
                <w:szCs w:val="24"/>
                <w:highlight w:val="none"/>
              </w:rPr>
              <w:t xml:space="preserve"> </w:t>
            </w:r>
            <w:r>
              <w:rPr>
                <w:rFonts w:ascii="宋体" w:hAnsi="宋体" w:cs="宋体"/>
                <w:color w:val="000000"/>
                <w:sz w:val="24"/>
                <w:szCs w:val="24"/>
                <w:highlight w:val="none"/>
              </w:rPr>
              <w:t xml:space="preserve"> </w:t>
            </w:r>
            <w:r>
              <w:rPr>
                <w:rFonts w:ascii="宋体" w:hAnsi="宋体" w:cs="宋体"/>
                <w:color w:val="000000"/>
                <w:sz w:val="24"/>
                <w:highlight w:val="none"/>
              </w:rPr>
              <w:t xml:space="preserve"> </w:t>
            </w:r>
          </w:p>
        </w:tc>
      </w:tr>
      <w:tr w14:paraId="62796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2209" w:type="dxa"/>
            <w:noWrap w:val="0"/>
            <w:vAlign w:val="center"/>
          </w:tcPr>
          <w:p w14:paraId="311A8221">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合同履约期限</w:t>
            </w:r>
          </w:p>
        </w:tc>
        <w:tc>
          <w:tcPr>
            <w:tcW w:w="7427" w:type="dxa"/>
            <w:noWrap w:val="0"/>
            <w:vAlign w:val="center"/>
          </w:tcPr>
          <w:p w14:paraId="35EA2236">
            <w:pPr>
              <w:rPr>
                <w:rFonts w:hint="eastAsia" w:ascii="宋体" w:hAnsi="宋体" w:eastAsia="宋体" w:cs="宋体"/>
                <w:color w:val="auto"/>
                <w:sz w:val="24"/>
                <w:highlight w:val="none"/>
              </w:rPr>
            </w:pPr>
          </w:p>
        </w:tc>
      </w:tr>
      <w:tr w14:paraId="6ABC6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2209" w:type="dxa"/>
            <w:noWrap w:val="0"/>
            <w:vAlign w:val="center"/>
          </w:tcPr>
          <w:p w14:paraId="7D6201B9">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质量</w:t>
            </w:r>
            <w:r>
              <w:rPr>
                <w:rFonts w:hint="eastAsia" w:ascii="宋体" w:hAnsi="宋体" w:cs="宋体"/>
                <w:color w:val="auto"/>
                <w:sz w:val="24"/>
                <w:highlight w:val="none"/>
                <w:lang w:val="en-US" w:eastAsia="zh-CN"/>
              </w:rPr>
              <w:t>要求</w:t>
            </w:r>
          </w:p>
        </w:tc>
        <w:tc>
          <w:tcPr>
            <w:tcW w:w="7427" w:type="dxa"/>
            <w:noWrap w:val="0"/>
            <w:vAlign w:val="center"/>
          </w:tcPr>
          <w:p w14:paraId="670C040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779F6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2209" w:type="dxa"/>
            <w:noWrap w:val="0"/>
            <w:vAlign w:val="center"/>
          </w:tcPr>
          <w:p w14:paraId="428009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427" w:type="dxa"/>
            <w:noWrap w:val="0"/>
            <w:vAlign w:val="center"/>
          </w:tcPr>
          <w:p w14:paraId="067C740F">
            <w:pPr>
              <w:jc w:val="center"/>
              <w:rPr>
                <w:rFonts w:hint="eastAsia" w:ascii="宋体" w:hAnsi="宋体" w:eastAsia="宋体" w:cs="宋体"/>
                <w:color w:val="auto"/>
                <w:sz w:val="24"/>
                <w:highlight w:val="none"/>
              </w:rPr>
            </w:pPr>
          </w:p>
        </w:tc>
      </w:tr>
    </w:tbl>
    <w:p w14:paraId="000DB90A">
      <w:pPr>
        <w:tabs>
          <w:tab w:val="left" w:pos="6660"/>
        </w:tabs>
        <w:spacing w:line="500" w:lineRule="exact"/>
        <w:rPr>
          <w:rFonts w:hint="eastAsia" w:ascii="宋体" w:hAnsi="宋体" w:eastAsia="宋体" w:cs="宋体"/>
          <w:color w:val="auto"/>
          <w:sz w:val="28"/>
          <w:szCs w:val="28"/>
          <w:highlight w:val="none"/>
        </w:rPr>
      </w:pPr>
    </w:p>
    <w:p w14:paraId="1C2970C1">
      <w:pPr>
        <w:tabs>
          <w:tab w:val="left" w:pos="6660"/>
        </w:tabs>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注：本表须放在响应文件封面后第一页，并不得对格式作任何更改。</w:t>
      </w:r>
    </w:p>
    <w:p w14:paraId="24F39714">
      <w:pPr>
        <w:rPr>
          <w:rFonts w:hint="eastAsia" w:ascii="宋体" w:hAnsi="宋体" w:eastAsia="宋体" w:cs="宋体"/>
          <w:b/>
          <w:bCs/>
          <w:color w:val="auto"/>
          <w:sz w:val="36"/>
          <w:highlight w:val="none"/>
        </w:rPr>
      </w:pPr>
    </w:p>
    <w:p w14:paraId="6C6F17BA">
      <w:pPr>
        <w:spacing w:line="600" w:lineRule="exact"/>
        <w:jc w:val="center"/>
        <w:rPr>
          <w:rFonts w:hint="eastAsia" w:ascii="宋体" w:hAnsi="宋体" w:eastAsia="宋体" w:cs="宋体"/>
          <w:bCs/>
          <w:color w:val="auto"/>
          <w:sz w:val="24"/>
          <w:highlight w:val="none"/>
          <w:u w:val="single"/>
        </w:rPr>
      </w:pP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4"/>
          <w:highlight w:val="none"/>
        </w:rPr>
        <w:t>供应商：</w:t>
      </w:r>
      <w:r>
        <w:rPr>
          <w:rFonts w:hint="eastAsia" w:ascii="宋体" w:hAnsi="宋体" w:eastAsia="宋体" w:cs="宋体"/>
          <w:bCs/>
          <w:color w:val="auto"/>
          <w:sz w:val="24"/>
          <w:highlight w:val="none"/>
          <w:u w:val="single"/>
        </w:rPr>
        <w:t xml:space="preserve">                        （盖章）</w:t>
      </w:r>
    </w:p>
    <w:p w14:paraId="455ED15B">
      <w:pPr>
        <w:spacing w:line="6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法人代表或其授权委托人：</w:t>
      </w:r>
      <w:r>
        <w:rPr>
          <w:rFonts w:hint="eastAsia" w:ascii="宋体" w:hAnsi="宋体" w:eastAsia="宋体" w:cs="宋体"/>
          <w:bCs/>
          <w:color w:val="auto"/>
          <w:sz w:val="24"/>
          <w:highlight w:val="none"/>
          <w:u w:val="single"/>
        </w:rPr>
        <w:t xml:space="preserve">        （签字或盖章）</w:t>
      </w:r>
      <w:r>
        <w:rPr>
          <w:rFonts w:hint="eastAsia" w:ascii="宋体" w:hAnsi="宋体" w:eastAsia="宋体" w:cs="宋体"/>
          <w:bCs/>
          <w:color w:val="auto"/>
          <w:sz w:val="24"/>
          <w:highlight w:val="none"/>
        </w:rPr>
        <w:t xml:space="preserve">                            </w:t>
      </w:r>
    </w:p>
    <w:p w14:paraId="1EE5CDF1">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1782A85">
      <w:pPr>
        <w:pStyle w:val="5"/>
        <w:jc w:val="center"/>
        <w:rPr>
          <w:rFonts w:hint="eastAsia" w:ascii="宋体" w:hAnsi="宋体" w:eastAsia="宋体" w:cs="宋体"/>
          <w:color w:val="auto"/>
          <w:sz w:val="30"/>
          <w:szCs w:val="30"/>
          <w:highlight w:val="none"/>
        </w:rPr>
        <w:sectPr>
          <w:footerReference r:id="rId9" w:type="default"/>
          <w:endnotePr>
            <w:numFmt w:val="decimal"/>
          </w:endnotePr>
          <w:pgSz w:w="11905" w:h="16838"/>
          <w:pgMar w:top="1383" w:right="1366" w:bottom="1383" w:left="1366" w:header="907" w:footer="737" w:gutter="0"/>
          <w:pgBorders>
            <w:top w:val="none" w:sz="0" w:space="0"/>
            <w:left w:val="none" w:sz="0" w:space="0"/>
            <w:bottom w:val="single" w:color="auto" w:sz="4" w:space="1"/>
            <w:right w:val="none" w:sz="0" w:space="0"/>
          </w:pgBorders>
          <w:pgNumType w:fmt="decimal"/>
          <w:cols w:space="0" w:num="1"/>
          <w:rtlGutter w:val="0"/>
          <w:docGrid w:type="lines" w:linePitch="320" w:charSpace="0"/>
        </w:sectPr>
      </w:pPr>
    </w:p>
    <w:p w14:paraId="1D7B6EA1">
      <w:pPr>
        <w:numPr>
          <w:ilvl w:val="0"/>
          <w:numId w:val="0"/>
        </w:numPr>
        <w:jc w:val="both"/>
        <w:rPr>
          <w:rFonts w:hint="eastAsia" w:ascii="宋体" w:hAnsi="宋体" w:eastAsia="宋体" w:cs="宋体"/>
          <w:color w:val="auto"/>
          <w:sz w:val="30"/>
          <w:szCs w:val="30"/>
          <w:highlight w:val="none"/>
        </w:rPr>
      </w:pPr>
    </w:p>
    <w:p w14:paraId="1AED56F3">
      <w:pPr>
        <w:pStyle w:val="3"/>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（五）供应商基本情况表</w:t>
      </w:r>
    </w:p>
    <w:tbl>
      <w:tblPr>
        <w:tblStyle w:val="54"/>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42"/>
        <w:gridCol w:w="1317"/>
        <w:gridCol w:w="1210"/>
        <w:gridCol w:w="169"/>
        <w:gridCol w:w="1300"/>
        <w:gridCol w:w="291"/>
        <w:gridCol w:w="2423"/>
      </w:tblGrid>
      <w:tr w14:paraId="4D998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788" w:type="dxa"/>
            <w:noWrap w:val="0"/>
            <w:vAlign w:val="center"/>
          </w:tcPr>
          <w:p w14:paraId="7394D7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752" w:type="dxa"/>
            <w:gridSpan w:val="7"/>
            <w:noWrap w:val="0"/>
            <w:vAlign w:val="center"/>
          </w:tcPr>
          <w:p w14:paraId="6E5B9573">
            <w:pPr>
              <w:spacing w:line="360" w:lineRule="auto"/>
              <w:jc w:val="center"/>
              <w:rPr>
                <w:rFonts w:hint="eastAsia" w:ascii="宋体" w:hAnsi="宋体" w:eastAsia="宋体" w:cs="宋体"/>
                <w:color w:val="auto"/>
                <w:sz w:val="24"/>
                <w:highlight w:val="none"/>
              </w:rPr>
            </w:pPr>
          </w:p>
        </w:tc>
      </w:tr>
      <w:tr w14:paraId="53A14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788" w:type="dxa"/>
            <w:noWrap w:val="0"/>
            <w:vAlign w:val="center"/>
          </w:tcPr>
          <w:p w14:paraId="0A8F7C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738" w:type="dxa"/>
            <w:gridSpan w:val="4"/>
            <w:noWrap w:val="0"/>
            <w:vAlign w:val="center"/>
          </w:tcPr>
          <w:p w14:paraId="2201C085">
            <w:pPr>
              <w:spacing w:line="360" w:lineRule="auto"/>
              <w:rPr>
                <w:rFonts w:hint="eastAsia" w:ascii="宋体" w:hAnsi="宋体" w:eastAsia="宋体" w:cs="宋体"/>
                <w:color w:val="auto"/>
                <w:sz w:val="24"/>
                <w:highlight w:val="none"/>
              </w:rPr>
            </w:pPr>
          </w:p>
        </w:tc>
        <w:tc>
          <w:tcPr>
            <w:tcW w:w="1300" w:type="dxa"/>
            <w:noWrap w:val="0"/>
            <w:vAlign w:val="center"/>
          </w:tcPr>
          <w:p w14:paraId="5699123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714" w:type="dxa"/>
            <w:gridSpan w:val="2"/>
            <w:noWrap w:val="0"/>
            <w:vAlign w:val="center"/>
          </w:tcPr>
          <w:p w14:paraId="1852577E">
            <w:pPr>
              <w:spacing w:line="360" w:lineRule="auto"/>
              <w:jc w:val="center"/>
              <w:rPr>
                <w:rFonts w:hint="eastAsia" w:ascii="宋体" w:hAnsi="宋体" w:eastAsia="宋体" w:cs="宋体"/>
                <w:color w:val="auto"/>
                <w:sz w:val="24"/>
                <w:highlight w:val="none"/>
              </w:rPr>
            </w:pPr>
          </w:p>
        </w:tc>
      </w:tr>
      <w:tr w14:paraId="30698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788" w:type="dxa"/>
            <w:vMerge w:val="restart"/>
            <w:noWrap w:val="0"/>
            <w:vAlign w:val="center"/>
          </w:tcPr>
          <w:p w14:paraId="2A8C9DE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1042" w:type="dxa"/>
            <w:noWrap w:val="0"/>
            <w:vAlign w:val="center"/>
          </w:tcPr>
          <w:p w14:paraId="7086F9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696" w:type="dxa"/>
            <w:gridSpan w:val="3"/>
            <w:noWrap w:val="0"/>
            <w:vAlign w:val="center"/>
          </w:tcPr>
          <w:p w14:paraId="03DAAEF9">
            <w:pPr>
              <w:spacing w:line="360" w:lineRule="auto"/>
              <w:rPr>
                <w:rFonts w:hint="eastAsia" w:ascii="宋体" w:hAnsi="宋体" w:eastAsia="宋体" w:cs="宋体"/>
                <w:color w:val="auto"/>
                <w:sz w:val="24"/>
                <w:highlight w:val="none"/>
              </w:rPr>
            </w:pPr>
          </w:p>
        </w:tc>
        <w:tc>
          <w:tcPr>
            <w:tcW w:w="1300" w:type="dxa"/>
            <w:noWrap w:val="0"/>
            <w:vAlign w:val="center"/>
          </w:tcPr>
          <w:p w14:paraId="7701F9E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2714" w:type="dxa"/>
            <w:gridSpan w:val="2"/>
            <w:noWrap w:val="0"/>
            <w:vAlign w:val="center"/>
          </w:tcPr>
          <w:p w14:paraId="2D4635B1">
            <w:pPr>
              <w:spacing w:line="360" w:lineRule="auto"/>
              <w:jc w:val="center"/>
              <w:rPr>
                <w:rFonts w:hint="eastAsia" w:ascii="宋体" w:hAnsi="宋体" w:eastAsia="宋体" w:cs="宋体"/>
                <w:color w:val="auto"/>
                <w:sz w:val="24"/>
                <w:highlight w:val="none"/>
              </w:rPr>
            </w:pPr>
          </w:p>
        </w:tc>
      </w:tr>
      <w:tr w14:paraId="32795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788" w:type="dxa"/>
            <w:vMerge w:val="continue"/>
            <w:noWrap w:val="0"/>
            <w:vAlign w:val="center"/>
          </w:tcPr>
          <w:p w14:paraId="1C9DE0BC">
            <w:pPr>
              <w:spacing w:line="360" w:lineRule="auto"/>
              <w:jc w:val="center"/>
              <w:rPr>
                <w:rFonts w:hint="eastAsia" w:ascii="宋体" w:hAnsi="宋体" w:eastAsia="宋体" w:cs="宋体"/>
                <w:color w:val="auto"/>
                <w:sz w:val="24"/>
                <w:highlight w:val="none"/>
              </w:rPr>
            </w:pPr>
          </w:p>
        </w:tc>
        <w:tc>
          <w:tcPr>
            <w:tcW w:w="1042" w:type="dxa"/>
            <w:noWrap w:val="0"/>
            <w:vAlign w:val="center"/>
          </w:tcPr>
          <w:p w14:paraId="570133C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tc>
        <w:tc>
          <w:tcPr>
            <w:tcW w:w="2696" w:type="dxa"/>
            <w:gridSpan w:val="3"/>
            <w:noWrap w:val="0"/>
            <w:vAlign w:val="center"/>
          </w:tcPr>
          <w:p w14:paraId="51943894">
            <w:pPr>
              <w:spacing w:line="360" w:lineRule="auto"/>
              <w:rPr>
                <w:rFonts w:hint="eastAsia" w:ascii="宋体" w:hAnsi="宋体" w:eastAsia="宋体" w:cs="宋体"/>
                <w:color w:val="auto"/>
                <w:sz w:val="24"/>
                <w:highlight w:val="none"/>
              </w:rPr>
            </w:pPr>
          </w:p>
        </w:tc>
        <w:tc>
          <w:tcPr>
            <w:tcW w:w="1300" w:type="dxa"/>
            <w:noWrap w:val="0"/>
            <w:vAlign w:val="center"/>
          </w:tcPr>
          <w:p w14:paraId="3A4CF59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w:t>
            </w:r>
          </w:p>
        </w:tc>
        <w:tc>
          <w:tcPr>
            <w:tcW w:w="2714" w:type="dxa"/>
            <w:gridSpan w:val="2"/>
            <w:noWrap w:val="0"/>
            <w:vAlign w:val="center"/>
          </w:tcPr>
          <w:p w14:paraId="2A1FF5A3">
            <w:pPr>
              <w:spacing w:line="360" w:lineRule="auto"/>
              <w:jc w:val="center"/>
              <w:rPr>
                <w:rFonts w:hint="eastAsia" w:ascii="宋体" w:hAnsi="宋体" w:eastAsia="宋体" w:cs="宋体"/>
                <w:color w:val="auto"/>
                <w:sz w:val="24"/>
                <w:highlight w:val="none"/>
              </w:rPr>
            </w:pPr>
          </w:p>
        </w:tc>
      </w:tr>
      <w:tr w14:paraId="24E10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788" w:type="dxa"/>
            <w:noWrap w:val="0"/>
            <w:vAlign w:val="center"/>
          </w:tcPr>
          <w:p w14:paraId="184C502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组织结构</w:t>
            </w:r>
          </w:p>
        </w:tc>
        <w:tc>
          <w:tcPr>
            <w:tcW w:w="7752" w:type="dxa"/>
            <w:gridSpan w:val="7"/>
            <w:noWrap w:val="0"/>
            <w:vAlign w:val="center"/>
          </w:tcPr>
          <w:p w14:paraId="4909427C">
            <w:pPr>
              <w:spacing w:line="360" w:lineRule="auto"/>
              <w:rPr>
                <w:rFonts w:hint="eastAsia" w:ascii="宋体" w:hAnsi="宋体" w:eastAsia="宋体" w:cs="宋体"/>
                <w:color w:val="auto"/>
                <w:sz w:val="24"/>
                <w:highlight w:val="none"/>
              </w:rPr>
            </w:pPr>
          </w:p>
        </w:tc>
      </w:tr>
      <w:tr w14:paraId="75571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788" w:type="dxa"/>
            <w:noWrap w:val="0"/>
            <w:vAlign w:val="center"/>
          </w:tcPr>
          <w:p w14:paraId="64E12EE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042" w:type="dxa"/>
            <w:noWrap w:val="0"/>
            <w:vAlign w:val="center"/>
          </w:tcPr>
          <w:p w14:paraId="5288D62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527" w:type="dxa"/>
            <w:gridSpan w:val="2"/>
            <w:noWrap w:val="0"/>
            <w:vAlign w:val="center"/>
          </w:tcPr>
          <w:p w14:paraId="11FE0272">
            <w:pPr>
              <w:spacing w:line="360" w:lineRule="auto"/>
              <w:jc w:val="center"/>
              <w:rPr>
                <w:rFonts w:hint="eastAsia" w:ascii="宋体" w:hAnsi="宋体" w:eastAsia="宋体" w:cs="宋体"/>
                <w:color w:val="auto"/>
                <w:sz w:val="24"/>
                <w:highlight w:val="none"/>
              </w:rPr>
            </w:pPr>
          </w:p>
        </w:tc>
        <w:tc>
          <w:tcPr>
            <w:tcW w:w="1760" w:type="dxa"/>
            <w:gridSpan w:val="3"/>
            <w:noWrap w:val="0"/>
            <w:vAlign w:val="center"/>
          </w:tcPr>
          <w:p w14:paraId="4823BEB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423" w:type="dxa"/>
            <w:noWrap w:val="0"/>
            <w:vAlign w:val="center"/>
          </w:tcPr>
          <w:p w14:paraId="65C7664C">
            <w:pPr>
              <w:spacing w:line="360" w:lineRule="auto"/>
              <w:jc w:val="center"/>
              <w:rPr>
                <w:rFonts w:hint="eastAsia" w:ascii="宋体" w:hAnsi="宋体" w:eastAsia="宋体" w:cs="宋体"/>
                <w:color w:val="auto"/>
                <w:sz w:val="24"/>
                <w:highlight w:val="none"/>
              </w:rPr>
            </w:pPr>
          </w:p>
        </w:tc>
      </w:tr>
      <w:tr w14:paraId="298CB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788" w:type="dxa"/>
            <w:noWrap w:val="0"/>
            <w:vAlign w:val="center"/>
          </w:tcPr>
          <w:p w14:paraId="0E629F0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359" w:type="dxa"/>
            <w:gridSpan w:val="2"/>
            <w:noWrap w:val="0"/>
            <w:vAlign w:val="center"/>
          </w:tcPr>
          <w:p w14:paraId="2C93F78D">
            <w:pPr>
              <w:spacing w:line="360" w:lineRule="auto"/>
              <w:jc w:val="center"/>
              <w:rPr>
                <w:rFonts w:hint="eastAsia" w:ascii="宋体" w:hAnsi="宋体" w:eastAsia="宋体" w:cs="宋体"/>
                <w:color w:val="auto"/>
                <w:sz w:val="24"/>
                <w:highlight w:val="none"/>
              </w:rPr>
            </w:pPr>
          </w:p>
        </w:tc>
        <w:tc>
          <w:tcPr>
            <w:tcW w:w="5393" w:type="dxa"/>
            <w:gridSpan w:val="5"/>
            <w:noWrap w:val="0"/>
            <w:vAlign w:val="center"/>
          </w:tcPr>
          <w:p w14:paraId="06D235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员工总人数：</w:t>
            </w:r>
          </w:p>
        </w:tc>
      </w:tr>
      <w:tr w14:paraId="4DAE5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788" w:type="dxa"/>
            <w:noWrap w:val="0"/>
            <w:vAlign w:val="center"/>
          </w:tcPr>
          <w:p w14:paraId="2D1E409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营业执照号</w:t>
            </w:r>
          </w:p>
        </w:tc>
        <w:tc>
          <w:tcPr>
            <w:tcW w:w="7752" w:type="dxa"/>
            <w:gridSpan w:val="7"/>
            <w:noWrap w:val="0"/>
            <w:vAlign w:val="center"/>
          </w:tcPr>
          <w:p w14:paraId="5E665C03">
            <w:pPr>
              <w:spacing w:line="360" w:lineRule="auto"/>
              <w:jc w:val="center"/>
              <w:rPr>
                <w:rFonts w:hint="eastAsia" w:ascii="宋体" w:hAnsi="宋体" w:eastAsia="宋体" w:cs="宋体"/>
                <w:color w:val="auto"/>
                <w:sz w:val="24"/>
                <w:highlight w:val="none"/>
              </w:rPr>
            </w:pPr>
          </w:p>
        </w:tc>
      </w:tr>
      <w:tr w14:paraId="67A77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788" w:type="dxa"/>
            <w:noWrap w:val="0"/>
            <w:vAlign w:val="center"/>
          </w:tcPr>
          <w:p w14:paraId="3794C2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注册资本金</w:t>
            </w:r>
          </w:p>
        </w:tc>
        <w:tc>
          <w:tcPr>
            <w:tcW w:w="7752" w:type="dxa"/>
            <w:gridSpan w:val="7"/>
            <w:noWrap w:val="0"/>
            <w:vAlign w:val="center"/>
          </w:tcPr>
          <w:p w14:paraId="4F860B24">
            <w:pPr>
              <w:spacing w:line="360" w:lineRule="auto"/>
              <w:jc w:val="center"/>
              <w:rPr>
                <w:rFonts w:hint="eastAsia" w:ascii="宋体" w:hAnsi="宋体" w:eastAsia="宋体" w:cs="宋体"/>
                <w:color w:val="auto"/>
                <w:sz w:val="24"/>
                <w:highlight w:val="none"/>
              </w:rPr>
            </w:pPr>
          </w:p>
        </w:tc>
      </w:tr>
      <w:tr w14:paraId="3254C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1788" w:type="dxa"/>
            <w:noWrap w:val="0"/>
            <w:vAlign w:val="center"/>
          </w:tcPr>
          <w:p w14:paraId="60A937C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7752" w:type="dxa"/>
            <w:gridSpan w:val="7"/>
            <w:noWrap w:val="0"/>
            <w:vAlign w:val="center"/>
          </w:tcPr>
          <w:p w14:paraId="29342769">
            <w:pPr>
              <w:spacing w:line="360" w:lineRule="auto"/>
              <w:jc w:val="center"/>
              <w:rPr>
                <w:rFonts w:hint="eastAsia" w:ascii="宋体" w:hAnsi="宋体" w:eastAsia="宋体" w:cs="宋体"/>
                <w:color w:val="auto"/>
                <w:sz w:val="24"/>
                <w:highlight w:val="none"/>
              </w:rPr>
            </w:pPr>
          </w:p>
        </w:tc>
      </w:tr>
      <w:tr w14:paraId="11A00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788" w:type="dxa"/>
            <w:noWrap w:val="0"/>
            <w:vAlign w:val="center"/>
          </w:tcPr>
          <w:p w14:paraId="55E592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7752" w:type="dxa"/>
            <w:gridSpan w:val="7"/>
            <w:noWrap w:val="0"/>
            <w:vAlign w:val="center"/>
          </w:tcPr>
          <w:p w14:paraId="20E8B90C">
            <w:pPr>
              <w:spacing w:line="360" w:lineRule="auto"/>
              <w:jc w:val="center"/>
              <w:rPr>
                <w:rFonts w:hint="eastAsia" w:ascii="宋体" w:hAnsi="宋体" w:eastAsia="宋体" w:cs="宋体"/>
                <w:color w:val="auto"/>
                <w:sz w:val="24"/>
                <w:highlight w:val="none"/>
              </w:rPr>
            </w:pPr>
          </w:p>
        </w:tc>
      </w:tr>
      <w:tr w14:paraId="539B4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788" w:type="dxa"/>
            <w:noWrap w:val="0"/>
            <w:vAlign w:val="center"/>
          </w:tcPr>
          <w:p w14:paraId="5A2BBCE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752" w:type="dxa"/>
            <w:gridSpan w:val="7"/>
            <w:noWrap w:val="0"/>
            <w:vAlign w:val="center"/>
          </w:tcPr>
          <w:p w14:paraId="5B58B840">
            <w:pPr>
              <w:spacing w:line="360" w:lineRule="auto"/>
              <w:jc w:val="center"/>
              <w:rPr>
                <w:rFonts w:hint="eastAsia" w:ascii="宋体" w:hAnsi="宋体" w:eastAsia="宋体" w:cs="宋体"/>
                <w:color w:val="auto"/>
                <w:sz w:val="24"/>
                <w:highlight w:val="none"/>
              </w:rPr>
            </w:pPr>
          </w:p>
        </w:tc>
      </w:tr>
      <w:tr w14:paraId="2570D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788" w:type="dxa"/>
            <w:noWrap w:val="0"/>
            <w:vAlign w:val="center"/>
          </w:tcPr>
          <w:p w14:paraId="11E356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    注</w:t>
            </w:r>
          </w:p>
        </w:tc>
        <w:tc>
          <w:tcPr>
            <w:tcW w:w="7752" w:type="dxa"/>
            <w:gridSpan w:val="7"/>
            <w:noWrap w:val="0"/>
            <w:vAlign w:val="center"/>
          </w:tcPr>
          <w:p w14:paraId="7B813CF0">
            <w:pPr>
              <w:spacing w:line="360" w:lineRule="auto"/>
              <w:jc w:val="center"/>
              <w:rPr>
                <w:rFonts w:hint="eastAsia" w:ascii="宋体" w:hAnsi="宋体" w:eastAsia="宋体" w:cs="宋体"/>
                <w:color w:val="auto"/>
                <w:sz w:val="24"/>
                <w:highlight w:val="none"/>
              </w:rPr>
            </w:pPr>
          </w:p>
        </w:tc>
      </w:tr>
    </w:tbl>
    <w:p w14:paraId="15AA9681">
      <w:pPr>
        <w:spacing w:line="240" w:lineRule="exact"/>
        <w:ind w:firstLine="643" w:firstLineChars="200"/>
        <w:rPr>
          <w:rFonts w:hint="eastAsia" w:ascii="宋体" w:hAnsi="宋体" w:eastAsia="宋体" w:cs="宋体"/>
          <w:b/>
          <w:bCs/>
          <w:color w:val="auto"/>
          <w:sz w:val="32"/>
          <w:szCs w:val="32"/>
          <w:highlight w:val="none"/>
        </w:rPr>
      </w:pPr>
    </w:p>
    <w:p w14:paraId="798D9E88">
      <w:pPr>
        <w:tabs>
          <w:tab w:val="left" w:pos="0"/>
        </w:tabs>
        <w:spacing w:line="500" w:lineRule="exact"/>
        <w:ind w:right="-212" w:firstLine="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注：附有效的统一社会信用代码的营业执照</w:t>
      </w:r>
      <w:r>
        <w:rPr>
          <w:rFonts w:hint="eastAsia" w:ascii="宋体" w:hAnsi="宋体" w:cs="宋体"/>
          <w:b/>
          <w:bCs/>
          <w:color w:val="auto"/>
          <w:sz w:val="24"/>
          <w:highlight w:val="none"/>
          <w:lang w:eastAsia="zh-CN"/>
        </w:rPr>
        <w:t>、医疗机构执业许可证</w:t>
      </w:r>
      <w:r>
        <w:rPr>
          <w:rFonts w:hint="eastAsia" w:ascii="宋体" w:hAnsi="宋体" w:eastAsia="宋体" w:cs="宋体"/>
          <w:b/>
          <w:bCs/>
          <w:color w:val="auto"/>
          <w:sz w:val="24"/>
          <w:highlight w:val="none"/>
        </w:rPr>
        <w:t>复印件。</w:t>
      </w:r>
    </w:p>
    <w:p w14:paraId="3F437BAC">
      <w:pPr>
        <w:tabs>
          <w:tab w:val="left" w:pos="0"/>
        </w:tabs>
        <w:spacing w:line="500" w:lineRule="exact"/>
        <w:ind w:right="-212" w:firstLine="10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（盖公章）</w:t>
      </w:r>
    </w:p>
    <w:p w14:paraId="2216A75C">
      <w:pPr>
        <w:tabs>
          <w:tab w:val="left" w:pos="0"/>
        </w:tabs>
        <w:spacing w:line="500" w:lineRule="exact"/>
        <w:ind w:right="-212" w:firstLine="10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法定代表人或其委托代理人： </w:t>
      </w:r>
      <w:r>
        <w:rPr>
          <w:rFonts w:hint="eastAsia" w:ascii="宋体" w:hAnsi="宋体" w:eastAsia="宋体" w:cs="宋体"/>
          <w:color w:val="auto"/>
          <w:sz w:val="24"/>
          <w:highlight w:val="none"/>
          <w:u w:val="single"/>
        </w:rPr>
        <w:t xml:space="preserve">       （签字或盖章）</w:t>
      </w:r>
    </w:p>
    <w:p w14:paraId="53BFB143">
      <w:pPr>
        <w:tabs>
          <w:tab w:val="left" w:pos="0"/>
        </w:tabs>
        <w:spacing w:line="500" w:lineRule="exact"/>
        <w:ind w:right="-212" w:firstLine="1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bookmarkEnd w:id="108"/>
    <w:bookmarkEnd w:id="109"/>
    <w:p w14:paraId="14E50164">
      <w:pPr>
        <w:snapToGrid w:val="0"/>
        <w:spacing w:line="360" w:lineRule="auto"/>
        <w:jc w:val="left"/>
        <w:rPr>
          <w:rFonts w:hint="eastAsia" w:ascii="宋体" w:hAnsi="宋体" w:eastAsia="宋体" w:cs="宋体"/>
          <w:color w:val="auto"/>
          <w:sz w:val="24"/>
          <w:szCs w:val="28"/>
          <w:highlight w:val="none"/>
        </w:rPr>
      </w:pPr>
    </w:p>
    <w:p w14:paraId="62620FC1">
      <w:pPr>
        <w:pStyle w:val="13"/>
        <w:rPr>
          <w:rFonts w:hint="eastAsia" w:ascii="宋体" w:hAnsi="宋体" w:eastAsia="宋体" w:cs="宋体"/>
          <w:color w:val="auto"/>
          <w:sz w:val="24"/>
          <w:szCs w:val="28"/>
          <w:highlight w:val="none"/>
        </w:rPr>
      </w:pPr>
    </w:p>
    <w:p w14:paraId="19980F62">
      <w:pPr>
        <w:pStyle w:val="13"/>
        <w:rPr>
          <w:rFonts w:hint="eastAsia" w:ascii="宋体" w:hAnsi="宋体" w:eastAsia="宋体" w:cs="宋体"/>
          <w:color w:val="auto"/>
          <w:sz w:val="24"/>
          <w:szCs w:val="28"/>
          <w:highlight w:val="none"/>
        </w:rPr>
      </w:pPr>
    </w:p>
    <w:p w14:paraId="130C3910">
      <w:pPr>
        <w:pStyle w:val="13"/>
        <w:rPr>
          <w:rFonts w:hint="eastAsia" w:ascii="宋体" w:hAnsi="宋体" w:eastAsia="宋体" w:cs="宋体"/>
          <w:color w:val="auto"/>
          <w:sz w:val="24"/>
          <w:szCs w:val="28"/>
          <w:highlight w:val="none"/>
        </w:rPr>
      </w:pPr>
    </w:p>
    <w:p w14:paraId="17A336DE">
      <w:pPr>
        <w:pStyle w:val="13"/>
        <w:rPr>
          <w:rFonts w:hint="eastAsia" w:ascii="宋体" w:hAnsi="宋体" w:eastAsia="宋体" w:cs="宋体"/>
          <w:color w:val="auto"/>
          <w:sz w:val="24"/>
          <w:szCs w:val="28"/>
          <w:highlight w:val="none"/>
        </w:rPr>
      </w:pPr>
    </w:p>
    <w:p w14:paraId="7B73F7B3">
      <w:pPr>
        <w:pStyle w:val="13"/>
        <w:rPr>
          <w:rFonts w:hint="eastAsia" w:ascii="宋体" w:hAnsi="宋体" w:eastAsia="宋体" w:cs="宋体"/>
          <w:color w:val="auto"/>
          <w:sz w:val="24"/>
          <w:szCs w:val="28"/>
          <w:highlight w:val="none"/>
        </w:rPr>
      </w:pPr>
    </w:p>
    <w:p w14:paraId="5DCCD8A3">
      <w:pPr>
        <w:rPr>
          <w:rFonts w:hint="eastAsia" w:ascii="宋体" w:hAnsi="宋体" w:eastAsia="宋体" w:cs="宋体"/>
          <w:color w:val="auto"/>
          <w:highlight w:val="none"/>
        </w:rPr>
      </w:pPr>
    </w:p>
    <w:p w14:paraId="628351B8">
      <w:pPr>
        <w:widowControl/>
        <w:adjustRightInd w:val="0"/>
        <w:snapToGrid w:val="0"/>
        <w:spacing w:line="360" w:lineRule="auto"/>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w:t>
      </w:r>
      <w:r>
        <w:rPr>
          <w:rFonts w:hint="eastAsia" w:ascii="宋体" w:hAnsi="宋体" w:cs="宋体"/>
          <w:b/>
          <w:bCs/>
          <w:color w:val="auto"/>
          <w:sz w:val="28"/>
          <w:szCs w:val="28"/>
          <w:highlight w:val="none"/>
          <w:lang w:val="en-US" w:eastAsia="zh-CN"/>
        </w:rPr>
        <w:t>开标截止时间前近三年内</w:t>
      </w:r>
      <w:r>
        <w:rPr>
          <w:rFonts w:hint="eastAsia" w:ascii="宋体" w:hAnsi="宋体" w:eastAsia="宋体" w:cs="宋体"/>
          <w:b/>
          <w:bCs/>
          <w:color w:val="auto"/>
          <w:sz w:val="28"/>
          <w:szCs w:val="28"/>
          <w:highlight w:val="none"/>
        </w:rPr>
        <w:t>承担过的类似业绩（如有）</w:t>
      </w:r>
    </w:p>
    <w:tbl>
      <w:tblPr>
        <w:tblStyle w:val="54"/>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130"/>
        <w:gridCol w:w="1612"/>
        <w:gridCol w:w="1740"/>
        <w:gridCol w:w="1478"/>
        <w:gridCol w:w="1265"/>
      </w:tblGrid>
      <w:tr w14:paraId="6EFC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noWrap w:val="0"/>
            <w:vAlign w:val="center"/>
          </w:tcPr>
          <w:p w14:paraId="10DC1B43">
            <w:pPr>
              <w:adjustRightInd w:val="0"/>
              <w:snapToGrid w:val="0"/>
              <w:spacing w:line="360" w:lineRule="auto"/>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序号</w:t>
            </w:r>
          </w:p>
        </w:tc>
        <w:tc>
          <w:tcPr>
            <w:tcW w:w="2130" w:type="dxa"/>
            <w:noWrap w:val="0"/>
            <w:vAlign w:val="center"/>
          </w:tcPr>
          <w:p w14:paraId="43974E69">
            <w:pPr>
              <w:adjustRightInd w:val="0"/>
              <w:snapToGrid w:val="0"/>
              <w:spacing w:line="360" w:lineRule="auto"/>
              <w:ind w:firstLine="241" w:firstLineChars="100"/>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项目名称</w:t>
            </w:r>
          </w:p>
        </w:tc>
        <w:tc>
          <w:tcPr>
            <w:tcW w:w="1612" w:type="dxa"/>
            <w:noWrap w:val="0"/>
            <w:vAlign w:val="center"/>
          </w:tcPr>
          <w:p w14:paraId="679A4368">
            <w:pPr>
              <w:adjustRightInd w:val="0"/>
              <w:snapToGrid w:val="0"/>
              <w:spacing w:line="360" w:lineRule="auto"/>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采购单位</w:t>
            </w:r>
          </w:p>
        </w:tc>
        <w:tc>
          <w:tcPr>
            <w:tcW w:w="1740" w:type="dxa"/>
            <w:noWrap w:val="0"/>
            <w:vAlign w:val="center"/>
          </w:tcPr>
          <w:p w14:paraId="57FBFE0B">
            <w:pPr>
              <w:adjustRightInd w:val="0"/>
              <w:snapToGrid w:val="0"/>
              <w:spacing w:line="360" w:lineRule="auto"/>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合同内容</w:t>
            </w:r>
          </w:p>
        </w:tc>
        <w:tc>
          <w:tcPr>
            <w:tcW w:w="1478" w:type="dxa"/>
            <w:noWrap w:val="0"/>
            <w:vAlign w:val="center"/>
          </w:tcPr>
          <w:p w14:paraId="4FE1BE9D">
            <w:pPr>
              <w:adjustRightInd w:val="0"/>
              <w:snapToGrid w:val="0"/>
              <w:spacing w:line="360" w:lineRule="auto"/>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合同总价</w:t>
            </w:r>
          </w:p>
        </w:tc>
        <w:tc>
          <w:tcPr>
            <w:tcW w:w="1265" w:type="dxa"/>
            <w:noWrap w:val="0"/>
            <w:vAlign w:val="center"/>
          </w:tcPr>
          <w:p w14:paraId="24FCFFBA">
            <w:pPr>
              <w:adjustRightInd w:val="0"/>
              <w:snapToGrid w:val="0"/>
              <w:spacing w:line="360" w:lineRule="auto"/>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签约日期</w:t>
            </w:r>
          </w:p>
        </w:tc>
      </w:tr>
      <w:tr w14:paraId="58AB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591" w:type="dxa"/>
            <w:noWrap w:val="0"/>
            <w:vAlign w:val="center"/>
          </w:tcPr>
          <w:p w14:paraId="488DD5EE">
            <w:pPr>
              <w:adjustRightInd w:val="0"/>
              <w:snapToGrid w:val="0"/>
              <w:spacing w:line="360" w:lineRule="auto"/>
              <w:jc w:val="center"/>
              <w:rPr>
                <w:rFonts w:hint="eastAsia" w:ascii="宋体" w:hAnsi="宋体" w:eastAsia="宋体" w:cs="宋体"/>
                <w:snapToGrid w:val="0"/>
                <w:color w:val="auto"/>
                <w:sz w:val="24"/>
                <w:szCs w:val="24"/>
                <w:highlight w:val="none"/>
              </w:rPr>
            </w:pPr>
          </w:p>
          <w:p w14:paraId="133E9290">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2130" w:type="dxa"/>
            <w:noWrap w:val="0"/>
            <w:vAlign w:val="center"/>
          </w:tcPr>
          <w:p w14:paraId="19542DC6">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12" w:type="dxa"/>
            <w:noWrap w:val="0"/>
            <w:vAlign w:val="center"/>
          </w:tcPr>
          <w:p w14:paraId="46A84BC6">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740" w:type="dxa"/>
            <w:noWrap w:val="0"/>
            <w:vAlign w:val="center"/>
          </w:tcPr>
          <w:p w14:paraId="5F5A50F5">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478" w:type="dxa"/>
            <w:noWrap w:val="0"/>
            <w:vAlign w:val="center"/>
          </w:tcPr>
          <w:p w14:paraId="4ECA460F">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265" w:type="dxa"/>
            <w:noWrap w:val="0"/>
            <w:vAlign w:val="center"/>
          </w:tcPr>
          <w:p w14:paraId="1605F142">
            <w:pPr>
              <w:adjustRightInd w:val="0"/>
              <w:snapToGrid w:val="0"/>
              <w:spacing w:line="360" w:lineRule="auto"/>
              <w:jc w:val="center"/>
              <w:rPr>
                <w:rFonts w:hint="eastAsia" w:ascii="宋体" w:hAnsi="宋体" w:eastAsia="宋体" w:cs="宋体"/>
                <w:snapToGrid w:val="0"/>
                <w:color w:val="auto"/>
                <w:sz w:val="24"/>
                <w:szCs w:val="24"/>
                <w:highlight w:val="none"/>
              </w:rPr>
            </w:pPr>
          </w:p>
        </w:tc>
      </w:tr>
      <w:tr w14:paraId="6DC0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591" w:type="dxa"/>
            <w:noWrap w:val="0"/>
            <w:vAlign w:val="center"/>
          </w:tcPr>
          <w:p w14:paraId="57F7BAEC">
            <w:pPr>
              <w:adjustRightInd w:val="0"/>
              <w:snapToGrid w:val="0"/>
              <w:spacing w:line="360" w:lineRule="auto"/>
              <w:jc w:val="center"/>
              <w:rPr>
                <w:rFonts w:hint="eastAsia" w:ascii="宋体" w:hAnsi="宋体" w:eastAsia="宋体" w:cs="宋体"/>
                <w:snapToGrid w:val="0"/>
                <w:color w:val="auto"/>
                <w:sz w:val="24"/>
                <w:szCs w:val="24"/>
                <w:highlight w:val="none"/>
              </w:rPr>
            </w:pPr>
          </w:p>
          <w:p w14:paraId="46CA5CE5">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2130" w:type="dxa"/>
            <w:noWrap w:val="0"/>
            <w:vAlign w:val="center"/>
          </w:tcPr>
          <w:p w14:paraId="62385715">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12" w:type="dxa"/>
            <w:noWrap w:val="0"/>
            <w:vAlign w:val="center"/>
          </w:tcPr>
          <w:p w14:paraId="745BEDF1">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740" w:type="dxa"/>
            <w:noWrap w:val="0"/>
            <w:vAlign w:val="center"/>
          </w:tcPr>
          <w:p w14:paraId="2638165C">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478" w:type="dxa"/>
            <w:noWrap w:val="0"/>
            <w:vAlign w:val="center"/>
          </w:tcPr>
          <w:p w14:paraId="6DDAC3D3">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265" w:type="dxa"/>
            <w:noWrap w:val="0"/>
            <w:vAlign w:val="center"/>
          </w:tcPr>
          <w:p w14:paraId="2A8704D8">
            <w:pPr>
              <w:adjustRightInd w:val="0"/>
              <w:snapToGrid w:val="0"/>
              <w:spacing w:line="360" w:lineRule="auto"/>
              <w:jc w:val="center"/>
              <w:rPr>
                <w:rFonts w:hint="eastAsia" w:ascii="宋体" w:hAnsi="宋体" w:eastAsia="宋体" w:cs="宋体"/>
                <w:snapToGrid w:val="0"/>
                <w:color w:val="auto"/>
                <w:sz w:val="24"/>
                <w:szCs w:val="24"/>
                <w:highlight w:val="none"/>
              </w:rPr>
            </w:pPr>
          </w:p>
        </w:tc>
      </w:tr>
      <w:tr w14:paraId="06B9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591" w:type="dxa"/>
            <w:noWrap w:val="0"/>
            <w:vAlign w:val="center"/>
          </w:tcPr>
          <w:p w14:paraId="7E3C24A5">
            <w:pPr>
              <w:adjustRightInd w:val="0"/>
              <w:snapToGrid w:val="0"/>
              <w:spacing w:line="360" w:lineRule="auto"/>
              <w:jc w:val="center"/>
              <w:rPr>
                <w:rFonts w:hint="eastAsia" w:ascii="宋体" w:hAnsi="宋体" w:eastAsia="宋体" w:cs="宋体"/>
                <w:snapToGrid w:val="0"/>
                <w:color w:val="auto"/>
                <w:sz w:val="24"/>
                <w:szCs w:val="24"/>
                <w:highlight w:val="none"/>
              </w:rPr>
            </w:pPr>
          </w:p>
          <w:p w14:paraId="259B6B09">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2130" w:type="dxa"/>
            <w:noWrap w:val="0"/>
            <w:vAlign w:val="center"/>
          </w:tcPr>
          <w:p w14:paraId="04894B11">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12" w:type="dxa"/>
            <w:noWrap w:val="0"/>
            <w:vAlign w:val="center"/>
          </w:tcPr>
          <w:p w14:paraId="4AF05D66">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740" w:type="dxa"/>
            <w:noWrap w:val="0"/>
            <w:vAlign w:val="center"/>
          </w:tcPr>
          <w:p w14:paraId="3F975E14">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478" w:type="dxa"/>
            <w:noWrap w:val="0"/>
            <w:vAlign w:val="center"/>
          </w:tcPr>
          <w:p w14:paraId="3AF33726">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265" w:type="dxa"/>
            <w:noWrap w:val="0"/>
            <w:vAlign w:val="center"/>
          </w:tcPr>
          <w:p w14:paraId="096104C9">
            <w:pPr>
              <w:adjustRightInd w:val="0"/>
              <w:snapToGrid w:val="0"/>
              <w:spacing w:line="360" w:lineRule="auto"/>
              <w:jc w:val="center"/>
              <w:rPr>
                <w:rFonts w:hint="eastAsia" w:ascii="宋体" w:hAnsi="宋体" w:eastAsia="宋体" w:cs="宋体"/>
                <w:snapToGrid w:val="0"/>
                <w:color w:val="auto"/>
                <w:sz w:val="24"/>
                <w:szCs w:val="24"/>
                <w:highlight w:val="none"/>
              </w:rPr>
            </w:pPr>
          </w:p>
        </w:tc>
      </w:tr>
      <w:tr w14:paraId="2834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591" w:type="dxa"/>
            <w:noWrap w:val="0"/>
            <w:vAlign w:val="center"/>
          </w:tcPr>
          <w:p w14:paraId="17F70FFC">
            <w:pPr>
              <w:adjustRightInd w:val="0"/>
              <w:snapToGrid w:val="0"/>
              <w:spacing w:line="360" w:lineRule="auto"/>
              <w:jc w:val="center"/>
              <w:rPr>
                <w:rFonts w:hint="eastAsia" w:ascii="宋体" w:hAnsi="宋体" w:eastAsia="宋体" w:cs="宋体"/>
                <w:snapToGrid w:val="0"/>
                <w:color w:val="auto"/>
                <w:sz w:val="24"/>
                <w:szCs w:val="24"/>
                <w:highlight w:val="none"/>
              </w:rPr>
            </w:pPr>
          </w:p>
          <w:p w14:paraId="44FC2C85">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2130" w:type="dxa"/>
            <w:noWrap w:val="0"/>
            <w:vAlign w:val="center"/>
          </w:tcPr>
          <w:p w14:paraId="4597ADCC">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12" w:type="dxa"/>
            <w:noWrap w:val="0"/>
            <w:vAlign w:val="center"/>
          </w:tcPr>
          <w:p w14:paraId="1623BF50">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740" w:type="dxa"/>
            <w:noWrap w:val="0"/>
            <w:vAlign w:val="center"/>
          </w:tcPr>
          <w:p w14:paraId="20FABB2B">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478" w:type="dxa"/>
            <w:noWrap w:val="0"/>
            <w:vAlign w:val="center"/>
          </w:tcPr>
          <w:p w14:paraId="2BD9131B">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265" w:type="dxa"/>
            <w:noWrap w:val="0"/>
            <w:vAlign w:val="center"/>
          </w:tcPr>
          <w:p w14:paraId="09B329BF">
            <w:pPr>
              <w:adjustRightInd w:val="0"/>
              <w:snapToGrid w:val="0"/>
              <w:spacing w:line="360" w:lineRule="auto"/>
              <w:jc w:val="center"/>
              <w:rPr>
                <w:rFonts w:hint="eastAsia" w:ascii="宋体" w:hAnsi="宋体" w:eastAsia="宋体" w:cs="宋体"/>
                <w:snapToGrid w:val="0"/>
                <w:color w:val="auto"/>
                <w:sz w:val="24"/>
                <w:szCs w:val="24"/>
                <w:highlight w:val="none"/>
              </w:rPr>
            </w:pPr>
          </w:p>
          <w:p w14:paraId="652C2807">
            <w:pPr>
              <w:adjustRightInd w:val="0"/>
              <w:snapToGrid w:val="0"/>
              <w:spacing w:line="360" w:lineRule="auto"/>
              <w:jc w:val="center"/>
              <w:rPr>
                <w:rFonts w:hint="eastAsia" w:ascii="宋体" w:hAnsi="宋体" w:eastAsia="宋体" w:cs="宋体"/>
                <w:snapToGrid w:val="0"/>
                <w:color w:val="auto"/>
                <w:sz w:val="24"/>
                <w:szCs w:val="24"/>
                <w:highlight w:val="none"/>
              </w:rPr>
            </w:pPr>
          </w:p>
        </w:tc>
      </w:tr>
      <w:tr w14:paraId="605D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591" w:type="dxa"/>
            <w:noWrap w:val="0"/>
            <w:vAlign w:val="center"/>
          </w:tcPr>
          <w:p w14:paraId="3BAF5E8D">
            <w:pPr>
              <w:adjustRightInd w:val="0"/>
              <w:snapToGrid w:val="0"/>
              <w:spacing w:line="360" w:lineRule="auto"/>
              <w:jc w:val="center"/>
              <w:rPr>
                <w:rFonts w:hint="eastAsia" w:ascii="宋体" w:hAnsi="宋体" w:eastAsia="宋体" w:cs="宋体"/>
                <w:snapToGrid w:val="0"/>
                <w:color w:val="auto"/>
                <w:sz w:val="24"/>
                <w:szCs w:val="24"/>
                <w:highlight w:val="none"/>
              </w:rPr>
            </w:pPr>
          </w:p>
          <w:p w14:paraId="65CDDE1B">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2130" w:type="dxa"/>
            <w:noWrap w:val="0"/>
            <w:vAlign w:val="center"/>
          </w:tcPr>
          <w:p w14:paraId="4F91905B">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12" w:type="dxa"/>
            <w:noWrap w:val="0"/>
            <w:vAlign w:val="center"/>
          </w:tcPr>
          <w:p w14:paraId="5973EE24">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740" w:type="dxa"/>
            <w:noWrap w:val="0"/>
            <w:vAlign w:val="center"/>
          </w:tcPr>
          <w:p w14:paraId="49281973">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478" w:type="dxa"/>
            <w:noWrap w:val="0"/>
            <w:vAlign w:val="center"/>
          </w:tcPr>
          <w:p w14:paraId="45235945">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265" w:type="dxa"/>
            <w:noWrap w:val="0"/>
            <w:vAlign w:val="center"/>
          </w:tcPr>
          <w:p w14:paraId="5F8E1C08">
            <w:pPr>
              <w:adjustRightInd w:val="0"/>
              <w:snapToGrid w:val="0"/>
              <w:spacing w:line="360" w:lineRule="auto"/>
              <w:jc w:val="center"/>
              <w:rPr>
                <w:rFonts w:hint="eastAsia" w:ascii="宋体" w:hAnsi="宋体" w:eastAsia="宋体" w:cs="宋体"/>
                <w:snapToGrid w:val="0"/>
                <w:color w:val="auto"/>
                <w:sz w:val="24"/>
                <w:szCs w:val="24"/>
                <w:highlight w:val="none"/>
              </w:rPr>
            </w:pPr>
          </w:p>
        </w:tc>
      </w:tr>
    </w:tbl>
    <w:p w14:paraId="4E1799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（本表可扩展）</w:t>
      </w:r>
    </w:p>
    <w:p w14:paraId="6A47DC42">
      <w:pPr>
        <w:widowControl/>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注：已完成的业绩情况，并如实说明，须附中标通知书或合同协议书（原件扫描件）</w:t>
      </w:r>
      <w:r>
        <w:rPr>
          <w:rFonts w:hint="eastAsia" w:ascii="宋体" w:hAnsi="宋体" w:eastAsia="宋体" w:cs="宋体"/>
          <w:b/>
          <w:bCs/>
          <w:color w:val="auto"/>
          <w:kern w:val="0"/>
          <w:sz w:val="24"/>
          <w:szCs w:val="24"/>
          <w:highlight w:val="none"/>
        </w:rPr>
        <w:t>；</w:t>
      </w:r>
    </w:p>
    <w:p w14:paraId="634B1927">
      <w:pPr>
        <w:spacing w:line="360" w:lineRule="auto"/>
        <w:ind w:firstLine="465"/>
        <w:jc w:val="left"/>
        <w:rPr>
          <w:rFonts w:hint="eastAsia" w:ascii="宋体" w:hAnsi="宋体" w:eastAsia="宋体" w:cs="宋体"/>
          <w:color w:val="auto"/>
          <w:sz w:val="24"/>
          <w:szCs w:val="24"/>
          <w:highlight w:val="none"/>
        </w:rPr>
      </w:pPr>
    </w:p>
    <w:p w14:paraId="46735A0D">
      <w:pPr>
        <w:wordWrap w:val="0"/>
        <w:spacing w:line="360" w:lineRule="auto"/>
        <w:ind w:firstLine="465"/>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（盖单位章）</w:t>
      </w:r>
    </w:p>
    <w:p w14:paraId="4B7D5B62">
      <w:pPr>
        <w:wordWrap w:val="0"/>
        <w:spacing w:line="360" w:lineRule="auto"/>
        <w:ind w:firstLine="465"/>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461C9144">
      <w:pPr>
        <w:wordWrap w:val="0"/>
        <w:spacing w:line="360" w:lineRule="auto"/>
        <w:ind w:firstLine="46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期：年月日</w:t>
      </w:r>
    </w:p>
    <w:p w14:paraId="4A70E89A">
      <w:pPr>
        <w:rPr>
          <w:rFonts w:hint="eastAsia" w:eastAsia="宋体"/>
          <w:highlight w:val="none"/>
          <w:lang w:eastAsia="zh-CN"/>
        </w:rPr>
      </w:pPr>
    </w:p>
    <w:p w14:paraId="017CED0E">
      <w:pPr>
        <w:pStyle w:val="17"/>
        <w:rPr>
          <w:rFonts w:hint="eastAsia"/>
          <w:highlight w:val="none"/>
          <w:lang w:eastAsia="zh-CN"/>
        </w:rPr>
      </w:pPr>
    </w:p>
    <w:p w14:paraId="7951796C">
      <w:pPr>
        <w:pStyle w:val="17"/>
        <w:rPr>
          <w:rFonts w:hint="eastAsia"/>
          <w:highlight w:val="none"/>
          <w:lang w:eastAsia="zh-CN"/>
        </w:rPr>
      </w:pPr>
    </w:p>
    <w:p w14:paraId="1A816E37">
      <w:pPr>
        <w:pStyle w:val="17"/>
        <w:rPr>
          <w:rFonts w:hint="eastAsia"/>
          <w:highlight w:val="none"/>
          <w:lang w:eastAsia="zh-CN"/>
        </w:rPr>
      </w:pPr>
    </w:p>
    <w:p w14:paraId="0C8E194A">
      <w:pPr>
        <w:pStyle w:val="17"/>
        <w:rPr>
          <w:rFonts w:hint="eastAsia"/>
          <w:highlight w:val="none"/>
          <w:lang w:eastAsia="zh-CN"/>
        </w:rPr>
      </w:pPr>
    </w:p>
    <w:p w14:paraId="69D37761">
      <w:pPr>
        <w:rPr>
          <w:rFonts w:hint="eastAsia" w:ascii="宋体" w:hAnsi="宋体" w:eastAsia="宋体" w:cs="宋体"/>
          <w:color w:val="auto"/>
          <w:highlight w:val="none"/>
        </w:rPr>
      </w:pPr>
    </w:p>
    <w:p w14:paraId="408AF191">
      <w:pPr>
        <w:rPr>
          <w:rFonts w:hint="eastAsia" w:ascii="宋体" w:hAnsi="宋体" w:eastAsia="宋体" w:cs="宋体"/>
          <w:b/>
          <w:bCs/>
          <w:color w:val="auto"/>
          <w:sz w:val="32"/>
          <w:szCs w:val="32"/>
          <w:highlight w:val="none"/>
        </w:rPr>
      </w:pPr>
    </w:p>
    <w:p w14:paraId="08450825">
      <w:pPr>
        <w:rPr>
          <w:rFonts w:hint="eastAsia" w:ascii="宋体" w:hAnsi="宋体" w:eastAsia="宋体" w:cs="宋体"/>
          <w:color w:val="auto"/>
          <w:highlight w:val="none"/>
        </w:rPr>
      </w:pPr>
    </w:p>
    <w:p w14:paraId="045D8A01">
      <w:pPr>
        <w:rPr>
          <w:rFonts w:hint="eastAsia" w:ascii="宋体" w:hAnsi="宋体" w:eastAsia="宋体" w:cs="宋体"/>
          <w:b/>
          <w:bCs/>
          <w:color w:val="auto"/>
          <w:sz w:val="32"/>
          <w:szCs w:val="32"/>
          <w:highlight w:val="none"/>
        </w:rPr>
      </w:pPr>
    </w:p>
    <w:p w14:paraId="6BDE9D64">
      <w:pPr>
        <w:rPr>
          <w:rFonts w:hint="eastAsia" w:ascii="宋体" w:hAnsi="宋体" w:eastAsia="宋体" w:cs="宋体"/>
          <w:color w:val="auto"/>
          <w:highlight w:val="none"/>
        </w:rPr>
      </w:pPr>
    </w:p>
    <w:p w14:paraId="5D0596B5">
      <w:pPr>
        <w:rPr>
          <w:rFonts w:hint="eastAsia" w:ascii="宋体" w:hAnsi="宋体" w:eastAsia="宋体" w:cs="宋体"/>
          <w:color w:val="auto"/>
          <w:highlight w:val="none"/>
        </w:rPr>
      </w:pPr>
    </w:p>
    <w:p w14:paraId="43A84044">
      <w:pPr>
        <w:spacing w:after="312" w:afterLines="100"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（七）供应商资格声明函</w:t>
      </w:r>
    </w:p>
    <w:p w14:paraId="1844CA0C">
      <w:pPr>
        <w:spacing w:before="156" w:beforeLines="50" w:after="156" w:afterLines="50" w:line="440" w:lineRule="exact"/>
        <w:rPr>
          <w:rFonts w:ascii="宋体" w:hAnsi="宋体"/>
          <w:color w:val="auto"/>
          <w:sz w:val="24"/>
          <w:szCs w:val="24"/>
          <w:highlight w:val="none"/>
          <w:u w:val="singl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（采购人、代理机构）   </w:t>
      </w:r>
    </w:p>
    <w:p w14:paraId="54B789B8">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关于贵公司</w:t>
      </w:r>
      <w:r>
        <w:rPr>
          <w:rFonts w:hint="eastAsia" w:ascii="宋体" w:hAnsi="宋体"/>
          <w:color w:val="auto"/>
          <w:sz w:val="24"/>
          <w:szCs w:val="24"/>
          <w:highlight w:val="none"/>
          <w:u w:val="single"/>
        </w:rPr>
        <w:t>　 　</w:t>
      </w:r>
      <w:r>
        <w:rPr>
          <w:rFonts w:hint="eastAsia" w:ascii="宋体" w:hAnsi="宋体"/>
          <w:color w:val="auto"/>
          <w:sz w:val="24"/>
          <w:szCs w:val="24"/>
          <w:highlight w:val="none"/>
        </w:rPr>
        <w:t>年</w:t>
      </w:r>
      <w:r>
        <w:rPr>
          <w:rFonts w:hint="eastAsia" w:ascii="宋体" w:hAnsi="宋体"/>
          <w:color w:val="auto"/>
          <w:sz w:val="24"/>
          <w:szCs w:val="24"/>
          <w:highlight w:val="none"/>
          <w:u w:val="single"/>
        </w:rPr>
        <w:t>　　</w:t>
      </w:r>
      <w:r>
        <w:rPr>
          <w:rFonts w:hint="eastAsia" w:ascii="宋体" w:hAnsi="宋体"/>
          <w:color w:val="auto"/>
          <w:sz w:val="24"/>
          <w:szCs w:val="24"/>
          <w:highlight w:val="none"/>
        </w:rPr>
        <w:t>月</w:t>
      </w:r>
      <w:r>
        <w:rPr>
          <w:rFonts w:hint="eastAsia" w:ascii="宋体" w:hAnsi="宋体"/>
          <w:color w:val="auto"/>
          <w:sz w:val="24"/>
          <w:szCs w:val="24"/>
          <w:highlight w:val="none"/>
          <w:u w:val="single"/>
        </w:rPr>
        <w:t>　　</w:t>
      </w:r>
      <w:r>
        <w:rPr>
          <w:rFonts w:hint="eastAsia" w:ascii="宋体" w:hAnsi="宋体"/>
          <w:color w:val="auto"/>
          <w:sz w:val="24"/>
          <w:szCs w:val="24"/>
          <w:highlight w:val="none"/>
        </w:rPr>
        <w:t xml:space="preserve">日发布 </w:t>
      </w:r>
      <w:r>
        <w:rPr>
          <w:rFonts w:hint="eastAsia" w:ascii="宋体" w:hAnsi="宋体"/>
          <w:color w:val="auto"/>
          <w:sz w:val="24"/>
          <w:szCs w:val="24"/>
          <w:highlight w:val="none"/>
          <w:u w:val="single"/>
        </w:rPr>
        <w:t xml:space="preserve">（项目名称）        </w:t>
      </w: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采购公告，本公司（企业）愿意参加</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，并声明：</w:t>
      </w:r>
    </w:p>
    <w:p w14:paraId="275EFC5D">
      <w:pPr>
        <w:tabs>
          <w:tab w:val="left" w:pos="851"/>
        </w:tabs>
        <w:adjustRightInd w:val="0"/>
        <w:snapToGrid w:val="0"/>
        <w:spacing w:line="440" w:lineRule="exact"/>
        <w:ind w:left="424"/>
        <w:rPr>
          <w:rFonts w:ascii="宋体" w:hAnsi="宋体"/>
          <w:bCs/>
          <w:color w:val="auto"/>
          <w:sz w:val="24"/>
          <w:szCs w:val="24"/>
          <w:highlight w:val="none"/>
        </w:rPr>
      </w:pPr>
      <w:r>
        <w:rPr>
          <w:rFonts w:hint="eastAsia" w:ascii="宋体" w:hAnsi="宋体"/>
          <w:color w:val="auto"/>
          <w:sz w:val="24"/>
          <w:szCs w:val="24"/>
          <w:highlight w:val="none"/>
        </w:rPr>
        <w:t>一、本公司（企业）</w:t>
      </w:r>
      <w:r>
        <w:rPr>
          <w:rFonts w:hint="eastAsia" w:ascii="宋体" w:hAnsi="宋体"/>
          <w:bCs/>
          <w:color w:val="auto"/>
          <w:sz w:val="24"/>
          <w:szCs w:val="24"/>
          <w:highlight w:val="none"/>
        </w:rPr>
        <w:t>具备《中华人民共和国政府采购法》第二十二条规定及《中华人民共和国政府采购法实施条例》第十七条的相关要求：</w:t>
      </w:r>
    </w:p>
    <w:p w14:paraId="6339BDFD">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（一）具有独立承担民事责任的能力；</w:t>
      </w:r>
    </w:p>
    <w:p w14:paraId="3DD2B98F">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（二）具有良好的商业信誉和健全的财务会计制度；</w:t>
      </w:r>
      <w:r>
        <w:rPr>
          <w:rFonts w:ascii="宋体" w:hAnsi="宋体" w:cs="宋体"/>
          <w:color w:val="auto"/>
          <w:kern w:val="0"/>
          <w:sz w:val="24"/>
          <w:szCs w:val="24"/>
          <w:highlight w:val="none"/>
        </w:rPr>
        <w:t xml:space="preserve"> </w:t>
      </w:r>
    </w:p>
    <w:p w14:paraId="23CF9761">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（三）具有履行合同所必需的设备和专业技术能力；</w:t>
      </w:r>
    </w:p>
    <w:p w14:paraId="5A1D9D70">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（四）有依法缴纳税收和社会保障资金的良好记录；</w:t>
      </w:r>
    </w:p>
    <w:p w14:paraId="6D951E8A">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（五）参加政府采购活动前三年内，在经营活动中没有重大违法记录；</w:t>
      </w:r>
    </w:p>
    <w:p w14:paraId="64DE8FBB">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（六）法律、行政法规规定的其他条件。</w:t>
      </w:r>
    </w:p>
    <w:p w14:paraId="03CC4915">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本公司（企业）的单位负责人与所参投的本采购项目包组的其他供应商的单位负责人不为同一人且与其他供应商之间不存在直接控股、管理关系。</w:t>
      </w:r>
    </w:p>
    <w:p w14:paraId="2D4A807C">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参照《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427812A1">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本公司（企业）承诺在本次采购采购活动中，如有违法、违规、弄虚作假行为，所造成的损失、不良后果及法律责任，一律由我公司（企业）承担。</w:t>
      </w:r>
    </w:p>
    <w:p w14:paraId="7AD999CC">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617BCFEA">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（1）本声明函必须提供且内容不得擅自删改，否则视为无效投标。</w:t>
      </w:r>
    </w:p>
    <w:p w14:paraId="145F13B4">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（2）本声明函如有虚假或与事实不符的，作无效投标处理。</w:t>
      </w:r>
    </w:p>
    <w:p w14:paraId="3852652D">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（盖章）</w:t>
      </w:r>
    </w:p>
    <w:p w14:paraId="497088A3">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供应商法定代表人或授权委托人：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（签字或签章）</w:t>
      </w:r>
    </w:p>
    <w:p w14:paraId="3ECCFFEE">
      <w:pPr>
        <w:widowControl/>
        <w:adjustRightInd w:val="0"/>
        <w:snapToGrid w:val="0"/>
        <w:spacing w:line="44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3D9B51E2">
      <w:pPr>
        <w:pStyle w:val="17"/>
        <w:jc w:val="center"/>
        <w:rPr>
          <w:rFonts w:hint="eastAsia" w:ascii="宋体" w:hAnsi="宋体" w:eastAsia="宋体" w:cs="宋体"/>
          <w:b/>
          <w:bCs/>
          <w:color w:val="auto"/>
          <w:sz w:val="28"/>
          <w:szCs w:val="28"/>
          <w:highlight w:val="none"/>
        </w:rPr>
      </w:pPr>
    </w:p>
    <w:p w14:paraId="2CB95F53">
      <w:pPr>
        <w:pStyle w:val="17"/>
        <w:jc w:val="center"/>
        <w:rPr>
          <w:rFonts w:hint="eastAsia" w:ascii="宋体" w:hAnsi="宋体" w:eastAsia="宋体" w:cs="宋体"/>
          <w:b/>
          <w:bCs/>
          <w:color w:val="auto"/>
          <w:sz w:val="28"/>
          <w:szCs w:val="28"/>
          <w:highlight w:val="none"/>
        </w:rPr>
      </w:pPr>
    </w:p>
    <w:p w14:paraId="4064A15D">
      <w:pPr>
        <w:widowControl/>
        <w:adjustRightInd w:val="0"/>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（八）信誉要求</w:t>
      </w:r>
    </w:p>
    <w:p w14:paraId="4CF85693">
      <w:pPr>
        <w:spacing w:after="312" w:afterLines="100" w:line="360" w:lineRule="auto"/>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供应商未被列入“信用中国”网站（www.creditchina.gov.cn）“严重失信主体名单”及中国政府采购网（www.ccgp.gov.cn）“政府采购严重违法失信行为信息记录”（失信信息查询结果由谈判（采购）代理机构负责在项目开标后评审会议开始前查询、截图）</w:t>
      </w:r>
      <w:r>
        <w:rPr>
          <w:rFonts w:hint="eastAsia" w:ascii="宋体" w:hAnsi="宋体" w:eastAsia="宋体" w:cs="宋体"/>
          <w:color w:val="auto"/>
          <w:kern w:val="0"/>
          <w:sz w:val="24"/>
          <w:szCs w:val="24"/>
          <w:highlight w:val="none"/>
          <w:lang w:val="en-US" w:eastAsia="zh-CN"/>
        </w:rPr>
        <w:t>。</w:t>
      </w:r>
    </w:p>
    <w:p w14:paraId="05361CE7">
      <w:pPr>
        <w:pStyle w:val="17"/>
        <w:rPr>
          <w:rFonts w:hint="eastAsia" w:ascii="宋体" w:hAnsi="宋体" w:eastAsia="宋体" w:cs="宋体"/>
          <w:color w:val="auto"/>
          <w:highlight w:val="none"/>
        </w:rPr>
      </w:pPr>
    </w:p>
    <w:p w14:paraId="16F66ABE">
      <w:pPr>
        <w:spacing w:line="360" w:lineRule="auto"/>
        <w:rPr>
          <w:rFonts w:hint="eastAsia" w:ascii="宋体" w:hAnsi="宋体" w:eastAsia="宋体" w:cs="宋体"/>
          <w:b/>
          <w:bCs/>
          <w:color w:val="auto"/>
          <w:sz w:val="28"/>
          <w:szCs w:val="28"/>
          <w:highlight w:val="none"/>
        </w:rPr>
      </w:pPr>
    </w:p>
    <w:p w14:paraId="6905103B">
      <w:pPr>
        <w:rPr>
          <w:rFonts w:hint="eastAsia" w:ascii="宋体" w:hAnsi="宋体" w:eastAsia="宋体" w:cs="宋体"/>
          <w:color w:val="auto"/>
          <w:highlight w:val="none"/>
        </w:rPr>
      </w:pPr>
    </w:p>
    <w:p w14:paraId="0F130709">
      <w:pPr>
        <w:pStyle w:val="17"/>
        <w:rPr>
          <w:rFonts w:hint="eastAsia" w:ascii="宋体" w:hAnsi="宋体" w:eastAsia="宋体" w:cs="宋体"/>
          <w:color w:val="auto"/>
          <w:highlight w:val="none"/>
        </w:rPr>
      </w:pPr>
    </w:p>
    <w:p w14:paraId="4CE70920">
      <w:pPr>
        <w:rPr>
          <w:rFonts w:hint="eastAsia" w:ascii="宋体" w:hAnsi="宋体" w:eastAsia="宋体" w:cs="宋体"/>
          <w:color w:val="auto"/>
          <w:highlight w:val="none"/>
        </w:rPr>
      </w:pPr>
    </w:p>
    <w:p w14:paraId="2DB56495">
      <w:pPr>
        <w:pStyle w:val="17"/>
        <w:rPr>
          <w:rFonts w:hint="eastAsia" w:ascii="宋体" w:hAnsi="宋体" w:eastAsia="宋体" w:cs="宋体"/>
          <w:color w:val="auto"/>
          <w:highlight w:val="none"/>
        </w:rPr>
      </w:pPr>
    </w:p>
    <w:p w14:paraId="1E35045E">
      <w:pPr>
        <w:pStyle w:val="3"/>
        <w:numPr>
          <w:ilvl w:val="2"/>
          <w:numId w:val="0"/>
        </w:numPr>
        <w:jc w:val="center"/>
        <w:outlineLvl w:val="1"/>
        <w:rPr>
          <w:rFonts w:hint="eastAsia" w:ascii="宋体" w:hAnsi="宋体" w:eastAsia="宋体" w:cs="宋体"/>
          <w:color w:val="auto"/>
          <w:sz w:val="30"/>
          <w:szCs w:val="30"/>
          <w:highlight w:val="none"/>
        </w:rPr>
      </w:pPr>
      <w:r>
        <w:rPr>
          <w:rFonts w:hint="eastAsia" w:ascii="宋体" w:hAnsi="宋体" w:eastAsia="宋体" w:cs="宋体"/>
          <w:b/>
          <w:bCs/>
          <w:color w:val="auto"/>
          <w:kern w:val="0"/>
          <w:sz w:val="28"/>
          <w:szCs w:val="28"/>
          <w:highlight w:val="none"/>
        </w:rPr>
        <w:br w:type="page"/>
      </w:r>
      <w:r>
        <w:rPr>
          <w:rFonts w:hint="eastAsia" w:ascii="宋体" w:hAnsi="宋体" w:eastAsia="宋体" w:cs="宋体"/>
          <w:color w:val="auto"/>
          <w:sz w:val="30"/>
          <w:szCs w:val="30"/>
          <w:highlight w:val="none"/>
        </w:rPr>
        <w:t>（</w:t>
      </w:r>
      <w:r>
        <w:rPr>
          <w:rFonts w:hint="eastAsia" w:ascii="宋体" w:hAnsi="宋体" w:cs="宋体"/>
          <w:color w:val="auto"/>
          <w:sz w:val="30"/>
          <w:szCs w:val="30"/>
          <w:highlight w:val="none"/>
          <w:lang w:val="en-US" w:eastAsia="zh-CN"/>
        </w:rPr>
        <w:t>九</w:t>
      </w:r>
      <w:r>
        <w:rPr>
          <w:rFonts w:hint="eastAsia" w:ascii="宋体" w:hAnsi="宋体" w:eastAsia="宋体" w:cs="宋体"/>
          <w:color w:val="auto"/>
          <w:sz w:val="30"/>
          <w:szCs w:val="30"/>
          <w:highlight w:val="none"/>
        </w:rPr>
        <w:t>）技术部分</w:t>
      </w:r>
    </w:p>
    <w:p w14:paraId="4D0F9586">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14:paraId="2F0C78D2">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1、项目实施方案</w:t>
      </w:r>
    </w:p>
    <w:p w14:paraId="0AFEB0C5">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样</w:t>
      </w:r>
      <w:r>
        <w:rPr>
          <w:rFonts w:ascii="宋体" w:hAnsi="宋体" w:cs="宋体"/>
          <w:color w:val="000000"/>
          <w:sz w:val="24"/>
          <w:szCs w:val="24"/>
          <w:highlight w:val="none"/>
        </w:rPr>
        <w:t>本</w:t>
      </w:r>
      <w:r>
        <w:rPr>
          <w:rFonts w:hint="eastAsia" w:ascii="宋体" w:hAnsi="宋体" w:eastAsia="宋体" w:cs="宋体"/>
          <w:color w:val="000000"/>
          <w:sz w:val="24"/>
          <w:szCs w:val="24"/>
          <w:highlight w:val="none"/>
        </w:rPr>
        <w:t>物流运输方案</w:t>
      </w:r>
    </w:p>
    <w:p w14:paraId="4D533AD9">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质量控制方案及保证措施</w:t>
      </w:r>
    </w:p>
    <w:p w14:paraId="262CF6D6">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服务期限及服务要求保证措施</w:t>
      </w:r>
    </w:p>
    <w:p w14:paraId="27B22929">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5、应急方案</w:t>
      </w:r>
    </w:p>
    <w:p w14:paraId="21B1FD18">
      <w:pPr>
        <w:pStyle w:val="13"/>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项目人员情况</w:t>
      </w:r>
    </w:p>
    <w:p w14:paraId="76083415">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7、售后服务方案</w:t>
      </w:r>
    </w:p>
    <w:p w14:paraId="472A8849">
      <w:pPr>
        <w:pStyle w:val="13"/>
        <w:jc w:val="center"/>
        <w:rPr>
          <w:rFonts w:hint="eastAsia" w:ascii="宋体" w:hAnsi="宋体" w:eastAsia="宋体" w:cs="宋体"/>
          <w:highlight w:val="none"/>
        </w:rPr>
      </w:pPr>
    </w:p>
    <w:p w14:paraId="6B1ED59E">
      <w:pPr>
        <w:jc w:val="left"/>
        <w:outlineLvl w:val="9"/>
        <w:rPr>
          <w:rFonts w:ascii="宋体" w:hAnsi="宋体" w:cs="宋体"/>
          <w:color w:val="000000"/>
          <w:sz w:val="24"/>
          <w:szCs w:val="24"/>
          <w:highlight w:val="none"/>
        </w:rPr>
      </w:pPr>
    </w:p>
    <w:p w14:paraId="65254B19">
      <w:pPr>
        <w:pStyle w:val="3"/>
        <w:numPr>
          <w:ilvl w:val="2"/>
          <w:numId w:val="0"/>
        </w:numPr>
        <w:jc w:val="center"/>
        <w:outlineLvl w:val="1"/>
        <w:rPr>
          <w:rFonts w:hint="eastAsia" w:ascii="宋体" w:hAnsi="宋体" w:eastAsia="宋体" w:cs="宋体"/>
          <w:color w:val="auto"/>
          <w:sz w:val="30"/>
          <w:szCs w:val="30"/>
          <w:highlight w:val="none"/>
        </w:rPr>
      </w:pPr>
      <w:r>
        <w:rPr>
          <w:rFonts w:hint="eastAsia" w:ascii="宋体" w:hAnsi="宋体" w:eastAsia="宋体" w:cs="宋体"/>
          <w:b w:val="0"/>
          <w:bCs w:val="0"/>
          <w:color w:val="auto"/>
          <w:sz w:val="28"/>
          <w:szCs w:val="28"/>
          <w:highlight w:val="none"/>
          <w:lang w:val="en-US" w:eastAsia="zh-CN"/>
        </w:rPr>
        <w:br w:type="page"/>
      </w:r>
      <w:r>
        <w:rPr>
          <w:rFonts w:hint="eastAsia" w:ascii="宋体" w:hAnsi="宋体" w:eastAsia="宋体" w:cs="宋体"/>
          <w:b/>
          <w:bCs/>
          <w:color w:val="auto"/>
          <w:kern w:val="2"/>
          <w:sz w:val="30"/>
          <w:szCs w:val="30"/>
          <w:highlight w:val="none"/>
          <w:lang w:val="en-US" w:eastAsia="zh-CN" w:bidi="ar-SA"/>
        </w:rPr>
        <w:t>（十）本项目人员配备情况说明</w:t>
      </w:r>
    </w:p>
    <w:p w14:paraId="43B052FF">
      <w:pPr>
        <w:jc w:val="left"/>
        <w:outlineLvl w:val="9"/>
        <w:rPr>
          <w:rFonts w:hint="eastAsia" w:ascii="宋体" w:hAnsi="宋体" w:eastAsia="宋体" w:cs="宋体"/>
          <w:sz w:val="28"/>
          <w:szCs w:val="28"/>
          <w:highlight w:val="none"/>
        </w:rPr>
      </w:pPr>
    </w:p>
    <w:tbl>
      <w:tblPr>
        <w:tblStyle w:val="54"/>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046"/>
        <w:gridCol w:w="2633"/>
        <w:gridCol w:w="1680"/>
      </w:tblGrid>
      <w:tr w14:paraId="773D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2269" w:type="dxa"/>
            <w:vMerge w:val="restart"/>
            <w:vAlign w:val="center"/>
          </w:tcPr>
          <w:p w14:paraId="23291C3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人员类别</w:t>
            </w:r>
          </w:p>
        </w:tc>
        <w:tc>
          <w:tcPr>
            <w:tcW w:w="6359" w:type="dxa"/>
            <w:gridSpan w:val="3"/>
            <w:vAlign w:val="center"/>
          </w:tcPr>
          <w:p w14:paraId="311076B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从事本专业工作时间</w:t>
            </w:r>
          </w:p>
        </w:tc>
      </w:tr>
      <w:tr w14:paraId="5F6C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jc w:val="center"/>
        </w:trPr>
        <w:tc>
          <w:tcPr>
            <w:tcW w:w="2269" w:type="dxa"/>
            <w:vMerge w:val="continue"/>
            <w:vAlign w:val="center"/>
          </w:tcPr>
          <w:p w14:paraId="743C256D">
            <w:pPr>
              <w:spacing w:line="360" w:lineRule="auto"/>
              <w:jc w:val="center"/>
              <w:rPr>
                <w:rFonts w:hint="eastAsia" w:ascii="宋体" w:hAnsi="宋体" w:eastAsia="宋体" w:cs="宋体"/>
                <w:sz w:val="24"/>
                <w:szCs w:val="24"/>
                <w:highlight w:val="none"/>
              </w:rPr>
            </w:pPr>
          </w:p>
        </w:tc>
        <w:tc>
          <w:tcPr>
            <w:tcW w:w="2046" w:type="dxa"/>
            <w:vAlign w:val="center"/>
          </w:tcPr>
          <w:p w14:paraId="497DFFE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2633" w:type="dxa"/>
            <w:vAlign w:val="center"/>
          </w:tcPr>
          <w:p w14:paraId="1D5355C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1680" w:type="dxa"/>
            <w:vAlign w:val="center"/>
          </w:tcPr>
          <w:p w14:paraId="63DA89C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r>
      <w:tr w14:paraId="2270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2269" w:type="dxa"/>
            <w:vAlign w:val="center"/>
          </w:tcPr>
          <w:p w14:paraId="19909A3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2046" w:type="dxa"/>
            <w:vAlign w:val="center"/>
          </w:tcPr>
          <w:p w14:paraId="1B5E5157">
            <w:pPr>
              <w:spacing w:line="360" w:lineRule="auto"/>
              <w:jc w:val="center"/>
              <w:rPr>
                <w:rFonts w:hint="eastAsia" w:ascii="宋体" w:hAnsi="宋体" w:eastAsia="宋体" w:cs="宋体"/>
                <w:sz w:val="24"/>
                <w:szCs w:val="24"/>
                <w:highlight w:val="none"/>
              </w:rPr>
            </w:pPr>
          </w:p>
        </w:tc>
        <w:tc>
          <w:tcPr>
            <w:tcW w:w="2633" w:type="dxa"/>
            <w:vAlign w:val="center"/>
          </w:tcPr>
          <w:p w14:paraId="4F4C1B62">
            <w:pPr>
              <w:spacing w:line="360" w:lineRule="auto"/>
              <w:jc w:val="center"/>
              <w:rPr>
                <w:rFonts w:hint="eastAsia" w:ascii="宋体" w:hAnsi="宋体" w:eastAsia="宋体" w:cs="宋体"/>
                <w:sz w:val="24"/>
                <w:szCs w:val="24"/>
                <w:highlight w:val="none"/>
              </w:rPr>
            </w:pPr>
          </w:p>
        </w:tc>
        <w:tc>
          <w:tcPr>
            <w:tcW w:w="1680" w:type="dxa"/>
            <w:vAlign w:val="center"/>
          </w:tcPr>
          <w:p w14:paraId="51786611">
            <w:pPr>
              <w:spacing w:line="360" w:lineRule="auto"/>
              <w:jc w:val="center"/>
              <w:rPr>
                <w:rFonts w:hint="eastAsia" w:ascii="宋体" w:hAnsi="宋体" w:eastAsia="宋体" w:cs="宋体"/>
                <w:sz w:val="24"/>
                <w:szCs w:val="24"/>
                <w:highlight w:val="none"/>
              </w:rPr>
            </w:pPr>
          </w:p>
        </w:tc>
      </w:tr>
      <w:tr w14:paraId="7188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2269" w:type="dxa"/>
            <w:vAlign w:val="center"/>
          </w:tcPr>
          <w:p w14:paraId="33EE3A7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2046" w:type="dxa"/>
            <w:vAlign w:val="center"/>
          </w:tcPr>
          <w:p w14:paraId="11AE87ED">
            <w:pPr>
              <w:spacing w:line="360" w:lineRule="auto"/>
              <w:jc w:val="center"/>
              <w:rPr>
                <w:rFonts w:hint="eastAsia" w:ascii="宋体" w:hAnsi="宋体" w:eastAsia="宋体" w:cs="宋体"/>
                <w:sz w:val="24"/>
                <w:szCs w:val="24"/>
                <w:highlight w:val="none"/>
              </w:rPr>
            </w:pPr>
          </w:p>
        </w:tc>
        <w:tc>
          <w:tcPr>
            <w:tcW w:w="2633" w:type="dxa"/>
            <w:vAlign w:val="center"/>
          </w:tcPr>
          <w:p w14:paraId="59CD877F">
            <w:pPr>
              <w:spacing w:line="360" w:lineRule="auto"/>
              <w:jc w:val="center"/>
              <w:rPr>
                <w:rFonts w:hint="eastAsia" w:ascii="宋体" w:hAnsi="宋体" w:eastAsia="宋体" w:cs="宋体"/>
                <w:sz w:val="24"/>
                <w:szCs w:val="24"/>
                <w:highlight w:val="none"/>
              </w:rPr>
            </w:pPr>
          </w:p>
        </w:tc>
        <w:tc>
          <w:tcPr>
            <w:tcW w:w="1680" w:type="dxa"/>
            <w:vAlign w:val="center"/>
          </w:tcPr>
          <w:p w14:paraId="64D9D548">
            <w:pPr>
              <w:spacing w:line="360" w:lineRule="auto"/>
              <w:jc w:val="center"/>
              <w:rPr>
                <w:rFonts w:hint="eastAsia" w:ascii="宋体" w:hAnsi="宋体" w:eastAsia="宋体" w:cs="宋体"/>
                <w:sz w:val="24"/>
                <w:szCs w:val="24"/>
                <w:highlight w:val="none"/>
              </w:rPr>
            </w:pPr>
          </w:p>
        </w:tc>
      </w:tr>
      <w:tr w14:paraId="36F4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269" w:type="dxa"/>
            <w:vAlign w:val="center"/>
          </w:tcPr>
          <w:p w14:paraId="514A1F7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工作人员一</w:t>
            </w:r>
          </w:p>
        </w:tc>
        <w:tc>
          <w:tcPr>
            <w:tcW w:w="2046" w:type="dxa"/>
            <w:vAlign w:val="center"/>
          </w:tcPr>
          <w:p w14:paraId="5C11FD21">
            <w:pPr>
              <w:spacing w:line="360" w:lineRule="auto"/>
              <w:jc w:val="center"/>
              <w:rPr>
                <w:rFonts w:hint="eastAsia" w:ascii="宋体" w:hAnsi="宋体" w:eastAsia="宋体" w:cs="宋体"/>
                <w:sz w:val="24"/>
                <w:szCs w:val="24"/>
                <w:highlight w:val="none"/>
              </w:rPr>
            </w:pPr>
          </w:p>
        </w:tc>
        <w:tc>
          <w:tcPr>
            <w:tcW w:w="2633" w:type="dxa"/>
            <w:vAlign w:val="center"/>
          </w:tcPr>
          <w:p w14:paraId="014EF36A">
            <w:pPr>
              <w:spacing w:line="360" w:lineRule="auto"/>
              <w:jc w:val="center"/>
              <w:rPr>
                <w:rFonts w:hint="eastAsia" w:ascii="宋体" w:hAnsi="宋体" w:eastAsia="宋体" w:cs="宋体"/>
                <w:sz w:val="24"/>
                <w:szCs w:val="24"/>
                <w:highlight w:val="none"/>
              </w:rPr>
            </w:pPr>
          </w:p>
        </w:tc>
        <w:tc>
          <w:tcPr>
            <w:tcW w:w="1680" w:type="dxa"/>
            <w:vAlign w:val="center"/>
          </w:tcPr>
          <w:p w14:paraId="3190455B">
            <w:pPr>
              <w:spacing w:line="360" w:lineRule="auto"/>
              <w:jc w:val="center"/>
              <w:rPr>
                <w:rFonts w:hint="eastAsia" w:ascii="宋体" w:hAnsi="宋体" w:eastAsia="宋体" w:cs="宋体"/>
                <w:sz w:val="24"/>
                <w:szCs w:val="24"/>
                <w:highlight w:val="none"/>
              </w:rPr>
            </w:pPr>
          </w:p>
        </w:tc>
      </w:tr>
      <w:tr w14:paraId="3990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2269" w:type="dxa"/>
            <w:vAlign w:val="center"/>
          </w:tcPr>
          <w:p w14:paraId="25C74C8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工作人员二</w:t>
            </w:r>
          </w:p>
        </w:tc>
        <w:tc>
          <w:tcPr>
            <w:tcW w:w="2046" w:type="dxa"/>
            <w:vAlign w:val="center"/>
          </w:tcPr>
          <w:p w14:paraId="1C640CC6">
            <w:pPr>
              <w:spacing w:line="360" w:lineRule="auto"/>
              <w:jc w:val="center"/>
              <w:rPr>
                <w:rFonts w:hint="eastAsia" w:ascii="宋体" w:hAnsi="宋体" w:eastAsia="宋体" w:cs="宋体"/>
                <w:sz w:val="24"/>
                <w:szCs w:val="24"/>
                <w:highlight w:val="none"/>
              </w:rPr>
            </w:pPr>
          </w:p>
        </w:tc>
        <w:tc>
          <w:tcPr>
            <w:tcW w:w="2633" w:type="dxa"/>
            <w:vAlign w:val="center"/>
          </w:tcPr>
          <w:p w14:paraId="4494FC71">
            <w:pPr>
              <w:spacing w:line="360" w:lineRule="auto"/>
              <w:jc w:val="center"/>
              <w:rPr>
                <w:rFonts w:hint="eastAsia" w:ascii="宋体" w:hAnsi="宋体" w:eastAsia="宋体" w:cs="宋体"/>
                <w:sz w:val="24"/>
                <w:szCs w:val="24"/>
                <w:highlight w:val="none"/>
              </w:rPr>
            </w:pPr>
          </w:p>
        </w:tc>
        <w:tc>
          <w:tcPr>
            <w:tcW w:w="1680" w:type="dxa"/>
            <w:vAlign w:val="center"/>
          </w:tcPr>
          <w:p w14:paraId="13079154">
            <w:pPr>
              <w:spacing w:line="360" w:lineRule="auto"/>
              <w:jc w:val="center"/>
              <w:rPr>
                <w:rFonts w:hint="eastAsia" w:ascii="宋体" w:hAnsi="宋体" w:eastAsia="宋体" w:cs="宋体"/>
                <w:sz w:val="24"/>
                <w:szCs w:val="24"/>
                <w:highlight w:val="none"/>
              </w:rPr>
            </w:pPr>
          </w:p>
        </w:tc>
      </w:tr>
      <w:tr w14:paraId="721D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269" w:type="dxa"/>
            <w:vAlign w:val="center"/>
          </w:tcPr>
          <w:p w14:paraId="07A0234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046" w:type="dxa"/>
            <w:vAlign w:val="center"/>
          </w:tcPr>
          <w:p w14:paraId="284CE460">
            <w:pPr>
              <w:spacing w:line="360" w:lineRule="auto"/>
              <w:jc w:val="center"/>
              <w:rPr>
                <w:rFonts w:hint="eastAsia" w:ascii="宋体" w:hAnsi="宋体" w:eastAsia="宋体" w:cs="宋体"/>
                <w:sz w:val="24"/>
                <w:szCs w:val="24"/>
                <w:highlight w:val="none"/>
              </w:rPr>
            </w:pPr>
          </w:p>
        </w:tc>
        <w:tc>
          <w:tcPr>
            <w:tcW w:w="2633" w:type="dxa"/>
            <w:vAlign w:val="center"/>
          </w:tcPr>
          <w:p w14:paraId="744DAAAE">
            <w:pPr>
              <w:spacing w:line="360" w:lineRule="auto"/>
              <w:jc w:val="center"/>
              <w:rPr>
                <w:rFonts w:hint="eastAsia" w:ascii="宋体" w:hAnsi="宋体" w:eastAsia="宋体" w:cs="宋体"/>
                <w:sz w:val="24"/>
                <w:szCs w:val="24"/>
                <w:highlight w:val="none"/>
              </w:rPr>
            </w:pPr>
          </w:p>
        </w:tc>
        <w:tc>
          <w:tcPr>
            <w:tcW w:w="1680" w:type="dxa"/>
            <w:vAlign w:val="center"/>
          </w:tcPr>
          <w:p w14:paraId="2DD7AF94">
            <w:pPr>
              <w:spacing w:line="360" w:lineRule="auto"/>
              <w:jc w:val="center"/>
              <w:rPr>
                <w:rFonts w:hint="eastAsia" w:ascii="宋体" w:hAnsi="宋体" w:eastAsia="宋体" w:cs="宋体"/>
                <w:sz w:val="24"/>
                <w:szCs w:val="24"/>
                <w:highlight w:val="none"/>
              </w:rPr>
            </w:pPr>
          </w:p>
        </w:tc>
      </w:tr>
    </w:tbl>
    <w:p w14:paraId="397998D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（本表可扩展）</w:t>
      </w:r>
    </w:p>
    <w:p w14:paraId="585ABDDC">
      <w:pPr>
        <w:pStyle w:val="17"/>
        <w:rPr>
          <w:rFonts w:hint="eastAsia" w:ascii="宋体" w:hAnsi="宋体" w:eastAsia="宋体" w:cs="宋体"/>
          <w:highlight w:val="none"/>
        </w:rPr>
      </w:pPr>
      <w:r>
        <w:rPr>
          <w:rFonts w:hint="eastAsia" w:ascii="宋体" w:hAnsi="宋体" w:eastAsia="宋体" w:cs="宋体"/>
          <w:sz w:val="24"/>
          <w:szCs w:val="24"/>
          <w:highlight w:val="none"/>
        </w:rPr>
        <w:t>注：人员后附身份证、毕业证（如有）、资格证书（如有）、职称证书（如有）等证明材料扫描件。</w:t>
      </w:r>
    </w:p>
    <w:p w14:paraId="0A2D7BC3">
      <w:pPr>
        <w:spacing w:line="360" w:lineRule="auto"/>
        <w:rPr>
          <w:rFonts w:hint="eastAsia" w:ascii="宋体" w:hAnsi="宋体" w:eastAsia="宋体" w:cs="宋体"/>
          <w:sz w:val="24"/>
          <w:szCs w:val="24"/>
          <w:highlight w:val="none"/>
        </w:rPr>
      </w:pPr>
    </w:p>
    <w:p w14:paraId="6AE0DF32">
      <w:pPr>
        <w:pStyle w:val="17"/>
        <w:rPr>
          <w:rFonts w:hint="eastAsia" w:ascii="宋体" w:hAnsi="宋体" w:eastAsia="宋体" w:cs="宋体"/>
          <w:sz w:val="24"/>
          <w:szCs w:val="24"/>
          <w:highlight w:val="none"/>
        </w:rPr>
      </w:pPr>
    </w:p>
    <w:p w14:paraId="113FB54F">
      <w:pPr>
        <w:pStyle w:val="17"/>
        <w:rPr>
          <w:rFonts w:hint="eastAsia" w:ascii="宋体" w:hAnsi="宋体" w:eastAsia="宋体" w:cs="宋体"/>
          <w:sz w:val="24"/>
          <w:szCs w:val="24"/>
          <w:highlight w:val="none"/>
        </w:rPr>
      </w:pPr>
    </w:p>
    <w:p w14:paraId="02F2B526">
      <w:pP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br w:type="page"/>
      </w:r>
    </w:p>
    <w:p w14:paraId="1B93FD92">
      <w:pPr>
        <w:pStyle w:val="3"/>
        <w:numPr>
          <w:ilvl w:val="0"/>
          <w:numId w:val="3"/>
        </w:numPr>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供应商认为需要提供的其他证明</w:t>
      </w:r>
      <w:r>
        <w:rPr>
          <w:rFonts w:hint="eastAsia" w:ascii="宋体" w:hAnsi="宋体" w:eastAsia="宋体" w:cs="宋体"/>
          <w:color w:val="auto"/>
          <w:sz w:val="30"/>
          <w:szCs w:val="30"/>
          <w:highlight w:val="none"/>
        </w:rPr>
        <w:t>材料</w:t>
      </w:r>
    </w:p>
    <w:p w14:paraId="1954C6AF">
      <w:pPr>
        <w:numPr>
          <w:ilvl w:val="0"/>
          <w:numId w:val="0"/>
        </w:numPr>
        <w:jc w:val="center"/>
        <w:outlineLvl w:val="9"/>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格式自拟</w:t>
      </w:r>
      <w:r>
        <w:rPr>
          <w:rFonts w:hint="eastAsia" w:ascii="宋体" w:hAnsi="宋体" w:cs="宋体"/>
          <w:color w:val="auto"/>
          <w:sz w:val="30"/>
          <w:szCs w:val="30"/>
          <w:highlight w:val="none"/>
          <w:lang w:eastAsia="zh-CN"/>
        </w:rPr>
        <w:t>）</w:t>
      </w:r>
    </w:p>
    <w:p w14:paraId="06D23248">
      <w:pPr>
        <w:spacing w:line="360" w:lineRule="auto"/>
        <w:ind w:firstLine="420" w:firstLineChars="200"/>
        <w:jc w:val="center"/>
        <w:rPr>
          <w:rFonts w:hint="eastAsia" w:ascii="宋体" w:hAnsi="宋体" w:eastAsia="宋体" w:cs="宋体"/>
          <w:color w:val="auto"/>
          <w:highlight w:val="none"/>
        </w:rPr>
      </w:pPr>
    </w:p>
    <w:p w14:paraId="35A042D5">
      <w:pPr>
        <w:pStyle w:val="17"/>
        <w:rPr>
          <w:rFonts w:hint="eastAsia" w:ascii="宋体" w:hAnsi="宋体" w:eastAsia="宋体" w:cs="宋体"/>
          <w:color w:val="auto"/>
          <w:highlight w:val="none"/>
        </w:rPr>
      </w:pPr>
    </w:p>
    <w:p w14:paraId="5428A2CF">
      <w:pPr>
        <w:pStyle w:val="17"/>
        <w:rPr>
          <w:rFonts w:hint="eastAsia" w:ascii="宋体" w:hAnsi="宋体" w:eastAsia="宋体" w:cs="宋体"/>
          <w:color w:val="auto"/>
          <w:highlight w:val="none"/>
        </w:rPr>
      </w:pPr>
    </w:p>
    <w:p w14:paraId="3F97A4AC">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36"/>
          <w:szCs w:val="36"/>
          <w:highlight w:val="none"/>
        </w:rPr>
        <w:br w:type="page"/>
      </w:r>
      <w:r>
        <w:rPr>
          <w:rFonts w:hint="eastAsia" w:ascii="宋体" w:hAnsi="宋体" w:cs="宋体"/>
          <w:b/>
          <w:bCs/>
          <w:color w:val="auto"/>
          <w:sz w:val="40"/>
          <w:szCs w:val="40"/>
          <w:highlight w:val="none"/>
          <w:lang w:val="en-US" w:eastAsia="zh-CN"/>
        </w:rPr>
        <w:t>附件1.华宁县人民医院检验外送服务采购项目</w:t>
      </w:r>
      <w:r>
        <w:rPr>
          <w:rFonts w:hint="eastAsia" w:ascii="宋体" w:hAnsi="宋体" w:eastAsia="宋体" w:cs="宋体"/>
          <w:b/>
          <w:bCs/>
          <w:color w:val="auto"/>
          <w:sz w:val="44"/>
          <w:szCs w:val="44"/>
          <w:highlight w:val="none"/>
          <w:lang w:val="en-US" w:eastAsia="zh-CN"/>
        </w:rPr>
        <w:t xml:space="preserve"> </w:t>
      </w:r>
    </w:p>
    <w:p w14:paraId="417FA1DC">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40"/>
          <w:szCs w:val="40"/>
          <w:highlight w:val="none"/>
        </w:rPr>
        <w:t>最后报价及承诺书</w:t>
      </w:r>
    </w:p>
    <w:p w14:paraId="0D33D6E7">
      <w:pPr>
        <w:adjustRightInd w:val="0"/>
        <w:snapToGrid w:val="0"/>
        <w:spacing w:line="360" w:lineRule="auto"/>
        <w:jc w:val="center"/>
        <w:rPr>
          <w:rFonts w:hint="eastAsia" w:ascii="宋体" w:hAnsi="宋体" w:eastAsia="宋体" w:cs="宋体"/>
          <w:color w:val="auto"/>
          <w:sz w:val="28"/>
          <w:szCs w:val="28"/>
          <w:highlight w:val="none"/>
        </w:rPr>
      </w:pPr>
    </w:p>
    <w:p w14:paraId="67ACA78D">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cs="宋体"/>
          <w:color w:val="auto"/>
          <w:sz w:val="24"/>
          <w:highlight w:val="none"/>
          <w:u w:val="single"/>
          <w:lang w:eastAsia="zh-CN"/>
        </w:rPr>
        <w:t>华宁县人民医院</w:t>
      </w:r>
      <w:r>
        <w:rPr>
          <w:rFonts w:hint="eastAsia" w:ascii="宋体" w:hAnsi="宋体" w:eastAsia="宋体" w:cs="宋体"/>
          <w:color w:val="auto"/>
          <w:sz w:val="24"/>
          <w:highlight w:val="none"/>
          <w:u w:val="single"/>
        </w:rPr>
        <w:t xml:space="preserve"> </w:t>
      </w:r>
    </w:p>
    <w:p w14:paraId="0D37A7A8">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经谈判后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按谈判文件提出的采购内容、承包方式和有关要求，我方愿我方</w:t>
      </w:r>
      <w:r>
        <w:rPr>
          <w:rFonts w:hint="eastAsia" w:ascii="宋体" w:hAnsi="宋体" w:cs="宋体"/>
          <w:b w:val="0"/>
          <w:bCs w:val="0"/>
          <w:color w:val="auto"/>
          <w:sz w:val="24"/>
          <w:szCs w:val="24"/>
          <w:highlight w:val="none"/>
        </w:rPr>
        <w:t>以</w:t>
      </w:r>
      <w:r>
        <w:rPr>
          <w:rFonts w:hint="eastAsia" w:ascii="宋体" w:hAnsi="宋体" w:cs="宋体"/>
          <w:b w:val="0"/>
          <w:bCs w:val="0"/>
          <w:color w:val="auto"/>
          <w:sz w:val="24"/>
          <w:szCs w:val="24"/>
          <w:highlight w:val="none"/>
          <w:lang w:val="en-US" w:eastAsia="zh-CN"/>
        </w:rPr>
        <w:t>采购人提供外送服务清单</w:t>
      </w:r>
      <w:r>
        <w:rPr>
          <w:rFonts w:hint="eastAsia" w:ascii="宋体" w:hAnsi="宋体" w:cs="宋体"/>
          <w:b w:val="0"/>
          <w:bCs w:val="0"/>
          <w:color w:val="auto"/>
          <w:sz w:val="24"/>
          <w:szCs w:val="24"/>
          <w:highlight w:val="none"/>
        </w:rPr>
        <w:t>的</w:t>
      </w:r>
      <w:r>
        <w:rPr>
          <w:rFonts w:hint="eastAsia" w:ascii="宋体" w:hAnsi="宋体" w:cs="宋体"/>
          <w:b w:val="0"/>
          <w:bCs w:val="0"/>
          <w:color w:val="auto"/>
          <w:sz w:val="24"/>
          <w:szCs w:val="24"/>
          <w:highlight w:val="none"/>
          <w:lang w:val="en-US" w:eastAsia="zh-CN"/>
        </w:rPr>
        <w:t>结算金额</w:t>
      </w:r>
      <w:r>
        <w:rPr>
          <w:rFonts w:hint="eastAsia" w:ascii="宋体" w:hAnsi="宋体" w:cs="宋体"/>
          <w:b w:val="0"/>
          <w:bCs w:val="0"/>
          <w:color w:val="auto"/>
          <w:sz w:val="24"/>
          <w:szCs w:val="24"/>
          <w:highlight w:val="none"/>
        </w:rPr>
        <w:t>基础上下浮</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rPr>
        <w:t>%</w:t>
      </w:r>
      <w:r>
        <w:rPr>
          <w:rFonts w:hint="eastAsia" w:ascii="宋体" w:hAnsi="宋体" w:cs="宋体"/>
          <w:color w:val="auto"/>
          <w:sz w:val="24"/>
          <w:szCs w:val="24"/>
          <w:highlight w:val="none"/>
          <w:lang w:val="en-US" w:eastAsia="zh-CN"/>
        </w:rPr>
        <w:t>谈判报价，</w:t>
      </w:r>
      <w:r>
        <w:rPr>
          <w:rFonts w:hint="eastAsia" w:ascii="宋体" w:hAnsi="宋体" w:eastAsia="宋体" w:cs="宋体"/>
          <w:color w:val="auto"/>
          <w:sz w:val="24"/>
          <w:highlight w:val="none"/>
        </w:rPr>
        <w:t>作为最后报价承担该项目的全部</w:t>
      </w:r>
      <w:r>
        <w:rPr>
          <w:rFonts w:hint="eastAsia" w:ascii="宋体" w:hAnsi="宋体" w:cs="宋体"/>
          <w:color w:val="auto"/>
          <w:sz w:val="24"/>
          <w:highlight w:val="none"/>
          <w:lang w:val="en-US" w:eastAsia="zh-CN"/>
        </w:rPr>
        <w:t>谈判采购</w:t>
      </w:r>
      <w:r>
        <w:rPr>
          <w:rFonts w:hint="eastAsia" w:ascii="宋体" w:hAnsi="宋体" w:eastAsia="宋体" w:cs="宋体"/>
          <w:color w:val="auto"/>
          <w:sz w:val="24"/>
          <w:highlight w:val="none"/>
        </w:rPr>
        <w:t>内容。根据</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文件及有关要求和我方响应文件的承诺，承担</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文件中所规定的供应商的全部责任和义务。</w:t>
      </w:r>
    </w:p>
    <w:p w14:paraId="4CCA9C48">
      <w:pPr>
        <w:tabs>
          <w:tab w:val="left" w:pos="1545"/>
        </w:tabs>
        <w:spacing w:line="48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其它承诺：</w:t>
      </w:r>
    </w:p>
    <w:p w14:paraId="682360D7">
      <w:pPr>
        <w:tabs>
          <w:tab w:val="left" w:pos="1545"/>
        </w:tabs>
        <w:spacing w:line="460" w:lineRule="exact"/>
        <w:ind w:firstLine="480" w:firstLineChars="200"/>
        <w:rPr>
          <w:rFonts w:hint="eastAsia" w:ascii="宋体" w:hAnsi="宋体" w:eastAsia="宋体" w:cs="宋体"/>
          <w:color w:val="auto"/>
          <w:sz w:val="24"/>
          <w:highlight w:val="none"/>
        </w:rPr>
      </w:pPr>
    </w:p>
    <w:p w14:paraId="6FAD119B">
      <w:pPr>
        <w:tabs>
          <w:tab w:val="left" w:pos="1545"/>
        </w:tabs>
        <w:spacing w:line="460" w:lineRule="exact"/>
        <w:ind w:firstLine="480" w:firstLineChars="200"/>
        <w:rPr>
          <w:rFonts w:hint="eastAsia" w:ascii="宋体" w:hAnsi="宋体" w:eastAsia="宋体" w:cs="宋体"/>
          <w:color w:val="auto"/>
          <w:sz w:val="24"/>
          <w:highlight w:val="none"/>
        </w:rPr>
      </w:pPr>
    </w:p>
    <w:p w14:paraId="7F912725">
      <w:pPr>
        <w:tabs>
          <w:tab w:val="left" w:pos="1545"/>
        </w:tabs>
        <w:spacing w:line="460" w:lineRule="exact"/>
        <w:ind w:firstLine="480" w:firstLineChars="200"/>
        <w:rPr>
          <w:rFonts w:hint="eastAsia" w:ascii="宋体" w:hAnsi="宋体" w:eastAsia="宋体" w:cs="宋体"/>
          <w:color w:val="auto"/>
          <w:sz w:val="24"/>
          <w:highlight w:val="none"/>
        </w:rPr>
      </w:pPr>
    </w:p>
    <w:p w14:paraId="5F01D227">
      <w:pPr>
        <w:tabs>
          <w:tab w:val="left" w:pos="1545"/>
        </w:tabs>
        <w:spacing w:line="460" w:lineRule="exact"/>
        <w:ind w:firstLine="480" w:firstLineChars="200"/>
        <w:rPr>
          <w:rFonts w:hint="eastAsia" w:ascii="宋体" w:hAnsi="宋体" w:eastAsia="宋体" w:cs="宋体"/>
          <w:color w:val="auto"/>
          <w:sz w:val="24"/>
          <w:highlight w:val="none"/>
        </w:rPr>
      </w:pPr>
    </w:p>
    <w:p w14:paraId="70E19D86">
      <w:pPr>
        <w:tabs>
          <w:tab w:val="left" w:pos="1545"/>
        </w:tabs>
        <w:spacing w:line="460" w:lineRule="exact"/>
        <w:ind w:firstLine="480" w:firstLineChars="200"/>
        <w:rPr>
          <w:rFonts w:hint="eastAsia" w:ascii="宋体" w:hAnsi="宋体" w:eastAsia="宋体" w:cs="宋体"/>
          <w:color w:val="auto"/>
          <w:sz w:val="24"/>
          <w:highlight w:val="none"/>
        </w:rPr>
      </w:pPr>
    </w:p>
    <w:p w14:paraId="08B36C67">
      <w:pPr>
        <w:tabs>
          <w:tab w:val="left" w:pos="1545"/>
        </w:tabs>
        <w:spacing w:line="460" w:lineRule="exact"/>
        <w:rPr>
          <w:rFonts w:hint="eastAsia" w:ascii="宋体" w:hAnsi="宋体" w:eastAsia="宋体" w:cs="宋体"/>
          <w:color w:val="auto"/>
          <w:sz w:val="24"/>
          <w:highlight w:val="none"/>
        </w:rPr>
      </w:pPr>
    </w:p>
    <w:p w14:paraId="10AA8B12">
      <w:pPr>
        <w:tabs>
          <w:tab w:val="left" w:pos="1545"/>
        </w:tabs>
        <w:spacing w:line="460" w:lineRule="exact"/>
        <w:ind w:firstLine="5280" w:firstLineChars="2200"/>
        <w:rPr>
          <w:rFonts w:hint="eastAsia" w:ascii="宋体" w:hAnsi="宋体" w:eastAsia="宋体" w:cs="宋体"/>
          <w:color w:val="auto"/>
          <w:sz w:val="24"/>
          <w:highlight w:val="none"/>
        </w:rPr>
      </w:pPr>
    </w:p>
    <w:p w14:paraId="1C426167">
      <w:pPr>
        <w:tabs>
          <w:tab w:val="left" w:pos="1545"/>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                    </w:t>
      </w:r>
    </w:p>
    <w:p w14:paraId="62570949">
      <w:pPr>
        <w:tabs>
          <w:tab w:val="left" w:pos="1545"/>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法定代表人或委托代理人（签字）:</w:t>
      </w:r>
    </w:p>
    <w:p w14:paraId="29611EAE">
      <w:pPr>
        <w:tabs>
          <w:tab w:val="left" w:pos="1545"/>
        </w:tabs>
        <w:spacing w:line="460" w:lineRule="exact"/>
        <w:ind w:firstLine="6720" w:firstLineChars="2800"/>
        <w:rPr>
          <w:rFonts w:hint="eastAsia" w:ascii="宋体" w:hAnsi="宋体" w:eastAsia="宋体" w:cs="宋体"/>
          <w:b/>
          <w:bCs/>
          <w:color w:val="auto"/>
          <w:sz w:val="36"/>
          <w:szCs w:val="36"/>
          <w:highlight w:val="none"/>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  月  日</w:t>
      </w:r>
    </w:p>
    <w:p w14:paraId="36B4F7A6">
      <w:pPr>
        <w:pStyle w:val="17"/>
        <w:rPr>
          <w:rFonts w:hint="eastAsia" w:ascii="宋体" w:hAnsi="宋体" w:eastAsia="宋体" w:cs="宋体"/>
          <w:color w:val="auto"/>
          <w:highlight w:val="none"/>
        </w:rPr>
      </w:pPr>
    </w:p>
    <w:p w14:paraId="1F2FE08D">
      <w:pPr>
        <w:widowControl/>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注：</w:t>
      </w:r>
      <w:r>
        <w:rPr>
          <w:rFonts w:hint="eastAsia" w:ascii="宋体" w:hAnsi="宋体" w:cs="宋体"/>
          <w:color w:val="auto"/>
          <w:kern w:val="0"/>
          <w:sz w:val="24"/>
          <w:szCs w:val="24"/>
          <w:highlight w:val="none"/>
          <w:lang w:val="en-US" w:eastAsia="zh-CN" w:bidi="ar"/>
        </w:rPr>
        <w:t>1.附件1</w:t>
      </w:r>
      <w:r>
        <w:rPr>
          <w:rFonts w:hint="eastAsia" w:ascii="宋体" w:hAnsi="宋体" w:cs="宋体"/>
          <w:color w:val="auto"/>
          <w:kern w:val="0"/>
          <w:sz w:val="24"/>
          <w:szCs w:val="24"/>
          <w:highlight w:val="none"/>
          <w:lang w:bidi="ar"/>
        </w:rPr>
        <w:t>不需要装订在响应文件中；</w:t>
      </w:r>
    </w:p>
    <w:p w14:paraId="354FE771">
      <w:pPr>
        <w:numPr>
          <w:ilvl w:val="0"/>
          <w:numId w:val="0"/>
        </w:numPr>
        <w:spacing w:line="360" w:lineRule="auto"/>
        <w:ind w:left="480" w:leftChars="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最后</w:t>
      </w:r>
      <w:r>
        <w:rPr>
          <w:rFonts w:hint="eastAsia" w:ascii="宋体" w:hAnsi="宋体" w:cs="宋体"/>
          <w:color w:val="auto"/>
          <w:kern w:val="0"/>
          <w:sz w:val="24"/>
          <w:szCs w:val="24"/>
          <w:highlight w:val="none"/>
          <w:lang w:val="en-US" w:eastAsia="zh-CN" w:bidi="ar"/>
        </w:rPr>
        <w:t>谈判</w:t>
      </w:r>
      <w:r>
        <w:rPr>
          <w:rFonts w:hint="eastAsia" w:ascii="宋体" w:hAnsi="宋体" w:cs="宋体"/>
          <w:color w:val="auto"/>
          <w:kern w:val="0"/>
          <w:sz w:val="24"/>
          <w:szCs w:val="24"/>
          <w:highlight w:val="none"/>
          <w:lang w:bidi="ar"/>
        </w:rPr>
        <w:t>承诺书应单独打印，并加盖单位公章，于</w:t>
      </w:r>
      <w:r>
        <w:rPr>
          <w:rFonts w:hint="eastAsia" w:ascii="宋体" w:hAnsi="宋体" w:cs="宋体"/>
          <w:color w:val="auto"/>
          <w:kern w:val="0"/>
          <w:sz w:val="24"/>
          <w:szCs w:val="24"/>
          <w:highlight w:val="none"/>
          <w:lang w:val="en-US" w:eastAsia="zh-CN" w:bidi="ar"/>
        </w:rPr>
        <w:t>谈判</w:t>
      </w:r>
      <w:r>
        <w:rPr>
          <w:rFonts w:hint="eastAsia" w:ascii="宋体" w:hAnsi="宋体" w:cs="宋体"/>
          <w:color w:val="auto"/>
          <w:kern w:val="0"/>
          <w:sz w:val="24"/>
          <w:szCs w:val="24"/>
          <w:highlight w:val="none"/>
          <w:lang w:bidi="ar"/>
        </w:rPr>
        <w:t>结束后当场填报。</w:t>
      </w:r>
    </w:p>
    <w:p w14:paraId="563EE88E">
      <w:pPr>
        <w:rPr>
          <w:rFonts w:hint="eastAsia" w:ascii="宋体" w:hAnsi="宋体" w:cs="宋体"/>
          <w:color w:val="auto"/>
          <w:kern w:val="0"/>
          <w:sz w:val="24"/>
          <w:szCs w:val="24"/>
          <w:highlight w:val="none"/>
          <w:lang w:val="en-US" w:eastAsia="zh-CN" w:bidi="ar"/>
        </w:rPr>
      </w:pPr>
    </w:p>
    <w:sectPr>
      <w:footerReference r:id="rId10" w:type="default"/>
      <w:pgSz w:w="11905" w:h="16838"/>
      <w:pgMar w:top="1383" w:right="1366" w:bottom="1383" w:left="1366" w:header="907" w:footer="737" w:gutter="0"/>
      <w:pgBorders>
        <w:top w:val="none" w:sz="0" w:space="0"/>
        <w:left w:val="none" w:sz="0" w:space="0"/>
        <w:bottom w:val="single" w:color="auto" w:sz="4" w:space="1"/>
        <w:right w:val="none" w:sz="0" w:space="0"/>
      </w:pgBorders>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7A"/>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B9F9E">
    <w:pPr>
      <w:pStyle w:val="32"/>
      <w:rPr>
        <w:rFonts w:hint="eastAsia" w:ascii="宋体" w:hAnsi="宋体" w:eastAsia="宋体"/>
        <w:sz w:val="21"/>
        <w:szCs w:val="21"/>
        <w:lang w:eastAsia="zh-CN"/>
      </w:rPr>
    </w:pPr>
    <w:r>
      <w:rPr>
        <w:rFonts w:hint="eastAsia"/>
      </w:rPr>
      <w:t>电话：</w:t>
    </w:r>
    <w:r>
      <w:rPr>
        <w:rFonts w:hint="eastAsia"/>
        <w:lang w:eastAsia="zh-CN"/>
      </w:rPr>
      <w:t>13887744954</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sz w:val="21"/>
        <w:szCs w:val="21"/>
        <w:lang w:eastAsia="zh-CN"/>
      </w:rPr>
      <w:t>国鼎和诚项目管理集团有限公司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A95C">
    <w:pPr>
      <w:pStyle w:val="32"/>
      <w:rPr>
        <w:rFonts w:hint="eastAsia" w:ascii="宋体" w:hAnsi="宋体" w:eastAsia="宋体"/>
        <w:sz w:val="21"/>
        <w:szCs w:val="21"/>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018C6F">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H7t0BAAC+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MlTpN7HHpOFw26YCO18cyI+9AyoTufhG2c9LUHN&#10;He08Z+a9I43TvswGzMZuNoSTdLHmyNlovsVxrw4B9L7Lm5aaiuHmgNRpJpDaGGtP3dFYswTTCqa9&#10;eXjOWffPbvM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Rfx+7dAQAAvgMAAA4AAAAAAAAA&#10;AQAgAAAAHgEAAGRycy9lMm9Eb2MueG1sUEsFBgAAAAAGAAYAWQEAAG0FAAAAAA==&#10;">
              <v:fill on="f" focussize="0,0"/>
              <v:stroke on="f"/>
              <v:imagedata o:title=""/>
              <o:lock v:ext="edit" aspectratio="f"/>
              <v:textbox inset="0mm,0mm,0mm,0mm" style="mso-fit-shape-to-text:t;">
                <w:txbxContent>
                  <w:p w14:paraId="74018C6F">
                    <w:pPr>
                      <w:pStyle w:val="3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电话：</w:t>
    </w:r>
    <w:r>
      <w:rPr>
        <w:rFonts w:hint="eastAsia"/>
        <w:lang w:eastAsia="zh-CN"/>
      </w:rPr>
      <w:t>13887744954</w:t>
    </w:r>
    <w:r>
      <w:rPr>
        <w:rFonts w:hint="eastAsia"/>
      </w:rPr>
      <w:t xml:space="preserve">                                        </w:t>
    </w:r>
    <w:r>
      <w:rPr>
        <w:rFonts w:hint="eastAsia"/>
        <w:lang w:val="en-US" w:eastAsia="zh-CN"/>
      </w:rPr>
      <w:t xml:space="preserve">       </w:t>
    </w:r>
    <w:r>
      <w:rPr>
        <w:rFonts w:hint="eastAsia"/>
      </w:rPr>
      <w:t xml:space="preserve">   </w:t>
    </w:r>
    <w:r>
      <w:rPr>
        <w:rFonts w:hint="eastAsia"/>
        <w:sz w:val="21"/>
        <w:szCs w:val="21"/>
        <w:lang w:eastAsia="zh-CN"/>
      </w:rPr>
      <w:t>国鼎和诚项目管理集团有限公司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1DDE">
    <w:pPr>
      <w:pStyle w:val="32"/>
      <w:rPr>
        <w:rFonts w:hint="eastAsia" w:ascii="宋体" w:hAnsi="宋体" w:eastAsia="宋体"/>
        <w:sz w:val="21"/>
        <w:szCs w:val="21"/>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4F5879">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AUC/t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X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AFAv7dAQAAvgMAAA4AAAAAAAAA&#10;AQAgAAAAHgEAAGRycy9lMm9Eb2MueG1sUEsFBgAAAAAGAAYAWQEAAG0FAAAAAA==&#10;">
              <v:fill on="f" focussize="0,0"/>
              <v:stroke on="f"/>
              <v:imagedata o:title=""/>
              <o:lock v:ext="edit" aspectratio="f"/>
              <v:textbox inset="0mm,0mm,0mm,0mm" style="mso-fit-shape-to-text:t;">
                <w:txbxContent>
                  <w:p w14:paraId="464F5879">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r>
      <w:rPr>
        <w:rFonts w:hint="eastAsia"/>
      </w:rPr>
      <w:t>电话：</w:t>
    </w:r>
    <w:r>
      <w:rPr>
        <w:rFonts w:hint="eastAsia"/>
        <w:lang w:eastAsia="zh-CN"/>
      </w:rPr>
      <w:t>13887744954</w:t>
    </w:r>
    <w:r>
      <w:rPr>
        <w:rFonts w:hint="eastAsia"/>
      </w:rPr>
      <w:t xml:space="preserve">                                           </w:t>
    </w:r>
    <w:r>
      <w:rPr>
        <w:rFonts w:hint="eastAsia"/>
        <w:sz w:val="21"/>
        <w:szCs w:val="21"/>
        <w:lang w:eastAsia="zh-CN"/>
      </w:rPr>
      <w:t>国鼎和诚项目管理集团有限公司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2D7B">
    <w:pPr>
      <w:pStyle w:val="32"/>
      <w:rPr>
        <w:rFonts w:hint="eastAsia" w:ascii="宋体" w:hAnsi="宋体" w:eastAsia="宋体"/>
        <w:sz w:val="21"/>
        <w:szCs w:val="21"/>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8271CD">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BGt94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e5n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6YEa33gEAAL4DAAAOAAAAAAAA&#10;AAEAIAAAAB4BAABkcnMvZTJvRG9jLnhtbFBLBQYAAAAABgAGAFkBAABuBQAAAAA=&#10;">
              <v:fill on="f" focussize="0,0"/>
              <v:stroke on="f"/>
              <v:imagedata o:title=""/>
              <o:lock v:ext="edit" aspectratio="f"/>
              <v:textbox inset="0mm,0mm,0mm,0mm" style="mso-fit-shape-to-text:t;">
                <w:txbxContent>
                  <w:p w14:paraId="398271CD">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r>
      <w:rPr>
        <w:rFonts w:hint="eastAsia"/>
      </w:rPr>
      <w:t>电话：</w:t>
    </w:r>
    <w:r>
      <w:rPr>
        <w:rFonts w:hint="eastAsia"/>
        <w:lang w:eastAsia="zh-CN"/>
      </w:rPr>
      <w:t>13887744954</w:t>
    </w:r>
    <w:r>
      <w:rPr>
        <w:rFonts w:hint="eastAsia"/>
      </w:rPr>
      <w:t xml:space="preserve">                                          </w:t>
    </w:r>
    <w:r>
      <w:rPr>
        <w:rFonts w:hint="eastAsia"/>
        <w:sz w:val="21"/>
        <w:szCs w:val="21"/>
        <w:lang w:eastAsia="zh-CN"/>
      </w:rPr>
      <w:t>国鼎和诚项目管理集团有限公司</w:t>
    </w:r>
  </w:p>
  <w:p w14:paraId="36F329C9">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6F31F">
    <w:pPr>
      <w:pStyle w:val="32"/>
      <w:rPr>
        <w:rFonts w:hint="eastAsia" w:ascii="宋体" w:hAnsi="宋体" w:eastAsia="宋体"/>
        <w:sz w:val="21"/>
        <w:szCs w:val="21"/>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141A8">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Wn1cgBAACZ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I6&#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1p9XIAQAAmQMAAA4AAAAAAAAAAQAgAAAAHgEAAGRycy9lMm9Eb2Mu&#10;eG1sUEsFBgAAAAAGAAYAWQEAAFgFAAAAAA==&#10;">
              <v:fill on="f" focussize="0,0"/>
              <v:stroke on="f"/>
              <v:imagedata o:title=""/>
              <o:lock v:ext="edit" aspectratio="f"/>
              <v:textbox inset="0mm,0mm,0mm,0mm" style="mso-fit-shape-to-text:t;">
                <w:txbxContent>
                  <w:p w14:paraId="756141A8">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rPr>
        <w:rFonts w:hint="eastAsia"/>
      </w:rPr>
      <w:t>电话：</w:t>
    </w:r>
    <w:r>
      <w:rPr>
        <w:rFonts w:hint="eastAsia"/>
        <w:lang w:eastAsia="zh-CN"/>
      </w:rPr>
      <w:t>13887744954</w:t>
    </w:r>
    <w:r>
      <w:rPr>
        <w:rFonts w:hint="eastAsia"/>
      </w:rPr>
      <w:t xml:space="preserve">                                         </w:t>
    </w:r>
    <w:r>
      <w:rPr>
        <w:rFonts w:hint="eastAsia"/>
        <w:sz w:val="21"/>
        <w:szCs w:val="21"/>
        <w:lang w:eastAsia="zh-CN"/>
      </w:rPr>
      <w:t>国鼎和诚项目管理集团有限公司</w:t>
    </w:r>
  </w:p>
  <w:p w14:paraId="01CCE64D">
    <w:pPr>
      <w:pStyle w:val="32"/>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BAA">
    <w:pPr>
      <w:pStyle w:val="32"/>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F5C58">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lgJsoBAACaAwAADgAAAGRycy9lMm9Eb2MueG1srVNLbtswEN0XyB0I&#10;7mNKXhSu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U9N3lFhucODn79/OP36df34l&#10;ZZn603uoMO3JY2Ic7tyAWzP7AZ1J9tAGk74oiGAcu3u6dFcOkYj0aLVcrQoMCYzNF8Rnz899gPhe&#10;OkOSUdOA48td5cdHiGPqnJKqWXevtM4j1PYvB2ImD0vcR47JisNumATtXHNCPT1OvqYWF50S/WCx&#10;sWlJZiPMxm42Dj6ofYfUyswL/O0hIonMLVUYYafCOLKsblqvtBN/3nPW8y+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KlgJsoBAACaAwAADgAAAAAAAAABACAAAAAeAQAAZHJzL2Uyb0Rv&#10;Yy54bWxQSwUGAAAAAAYABgBZAQAAWgUAAAAA&#10;">
              <v:fill on="f" focussize="0,0"/>
              <v:stroke on="f"/>
              <v:imagedata o:title=""/>
              <o:lock v:ext="edit" aspectratio="f"/>
              <v:textbox inset="0mm,0mm,0mm,0mm" style="mso-fit-shape-to-text:t;">
                <w:txbxContent>
                  <w:p w14:paraId="733F5C58">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rPr>
        <w:rFonts w:hint="eastAsia"/>
      </w:rPr>
      <w:t>电话：</w:t>
    </w:r>
    <w:r>
      <w:rPr>
        <w:rFonts w:hint="eastAsia"/>
        <w:lang w:eastAsia="zh-CN"/>
      </w:rPr>
      <w:t>13887744954</w:t>
    </w:r>
    <w:r>
      <w:rPr>
        <w:rFonts w:hint="eastAsia"/>
      </w:rPr>
      <w:t xml:space="preserve">                                      </w:t>
    </w:r>
    <w:r>
      <w:rPr>
        <w:rFonts w:hint="eastAsia"/>
        <w:lang w:val="en-US" w:eastAsia="zh-CN"/>
      </w:rPr>
      <w:t xml:space="preserve">          </w:t>
    </w:r>
    <w:r>
      <w:rPr>
        <w:rFonts w:hint="eastAsia"/>
      </w:rPr>
      <w:t xml:space="preserve">  </w:t>
    </w:r>
    <w:r>
      <w:rPr>
        <w:rFonts w:hint="eastAsia"/>
        <w:sz w:val="21"/>
        <w:szCs w:val="21"/>
        <w:lang w:eastAsia="zh-CN"/>
      </w:rPr>
      <w:t>国鼎和诚项目管理集团有限公司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E4D99">
    <w:pPr>
      <w:pStyle w:val="33"/>
      <w:jc w:val="left"/>
      <w:rPr>
        <w:rFonts w:hint="eastAsia"/>
      </w:rPr>
    </w:pPr>
    <w:r>
      <w:rPr>
        <w:rFonts w:hint="eastAsia"/>
        <w:b/>
        <w:bCs/>
        <w:sz w:val="21"/>
        <w:szCs w:val="21"/>
        <w:lang w:eastAsia="zh-CN"/>
      </w:rPr>
      <w:t>华宁县人民医院检验外送服务采购项目</w:t>
    </w:r>
    <w:r>
      <w:rPr>
        <w:rFonts w:hint="eastAsia" w:ascii="宋体" w:hAnsi="宋体" w:eastAsia="宋体" w:cs="Times New Roman"/>
        <w:b/>
        <w:sz w:val="21"/>
        <w:szCs w:val="21"/>
      </w:rPr>
      <w:t xml:space="preserve">      </w:t>
    </w: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宋体" w:hAnsi="宋体"/>
        <w:b/>
        <w:sz w:val="21"/>
        <w:szCs w:val="21"/>
      </w:rPr>
      <w:t>谈判</w:t>
    </w:r>
    <w:r>
      <w:rPr>
        <w:rFonts w:hint="eastAsia" w:ascii="宋体" w:hAnsi="宋体"/>
        <w:b/>
        <w:sz w:val="21"/>
        <w:szCs w:val="21"/>
        <w:lang w:val="en-US" w:eastAsia="zh-CN"/>
      </w:rPr>
      <w:t>采购</w:t>
    </w:r>
    <w:r>
      <w:rPr>
        <w:rFonts w:hint="eastAsia" w:ascii="宋体" w:hAnsi="宋体"/>
        <w:b/>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C370">
    <w:pPr>
      <w:pStyle w:val="33"/>
      <w:jc w:val="both"/>
      <w:rPr>
        <w:rFonts w:hint="default"/>
        <w:lang w:val="en-US"/>
      </w:rPr>
    </w:pPr>
    <w:r>
      <w:rPr>
        <w:rFonts w:hint="eastAsia" w:ascii="宋体" w:hAnsi="宋体" w:cs="Times New Roman"/>
        <w:b/>
        <w:sz w:val="21"/>
        <w:szCs w:val="21"/>
        <w:lang w:eastAsia="zh-CN"/>
      </w:rPr>
      <w:t>华宁县人民医院检验外送服务采购项目</w:t>
    </w:r>
    <w:r>
      <w:rPr>
        <w:rFonts w:hint="eastAsia" w:ascii="宋体" w:hAnsi="宋体" w:eastAsia="宋体" w:cs="Times New Roman"/>
        <w:b/>
        <w:sz w:val="21"/>
        <w:szCs w:val="21"/>
        <w:lang w:val="en-US" w:eastAsia="zh-CN"/>
      </w:rPr>
      <w:t xml:space="preserve">                 </w:t>
    </w:r>
    <w:r>
      <w:rPr>
        <w:rFonts w:hint="eastAsia" w:ascii="宋体" w:hAnsi="宋体" w:cs="Times New Roman"/>
        <w:b/>
        <w:sz w:val="21"/>
        <w:szCs w:val="21"/>
        <w:lang w:val="en-US" w:eastAsia="zh-CN"/>
      </w:rPr>
      <w:t xml:space="preserve">       </w:t>
    </w:r>
    <w:r>
      <w:rPr>
        <w:rFonts w:hint="eastAsia" w:ascii="宋体" w:hAnsi="宋体" w:eastAsia="宋体" w:cs="Times New Roman"/>
        <w:b/>
        <w:sz w:val="21"/>
        <w:szCs w:val="21"/>
        <w:lang w:val="en-US" w:eastAsia="zh-CN"/>
      </w:rPr>
      <w:t xml:space="preserve"> 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F9F93"/>
    <w:multiLevelType w:val="singleLevel"/>
    <w:tmpl w:val="91DF9F93"/>
    <w:lvl w:ilvl="0" w:tentative="0">
      <w:start w:val="11"/>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75900FC9"/>
    <w:multiLevelType w:val="singleLevel"/>
    <w:tmpl w:val="75900FC9"/>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4"/>
  <w:displayHorizontalDrawingGridEvery w:val="1"/>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ZDk1MmJkOTNlNzMwNzA0NDczMDc4Yzg2NmM3NGIifQ=="/>
  </w:docVars>
  <w:rsids>
    <w:rsidRoot w:val="00172A27"/>
    <w:rsid w:val="0000212C"/>
    <w:rsid w:val="00002F88"/>
    <w:rsid w:val="000118EC"/>
    <w:rsid w:val="00011E65"/>
    <w:rsid w:val="0001204E"/>
    <w:rsid w:val="0001381A"/>
    <w:rsid w:val="0001647F"/>
    <w:rsid w:val="00017F9D"/>
    <w:rsid w:val="00021B86"/>
    <w:rsid w:val="00022944"/>
    <w:rsid w:val="00034574"/>
    <w:rsid w:val="00035BF5"/>
    <w:rsid w:val="00037766"/>
    <w:rsid w:val="00040921"/>
    <w:rsid w:val="00041B90"/>
    <w:rsid w:val="000420E6"/>
    <w:rsid w:val="00042176"/>
    <w:rsid w:val="000426EA"/>
    <w:rsid w:val="00043172"/>
    <w:rsid w:val="000438D3"/>
    <w:rsid w:val="00043FBD"/>
    <w:rsid w:val="00044882"/>
    <w:rsid w:val="000465A5"/>
    <w:rsid w:val="000505E8"/>
    <w:rsid w:val="000530DE"/>
    <w:rsid w:val="0005387F"/>
    <w:rsid w:val="0005442C"/>
    <w:rsid w:val="0005493D"/>
    <w:rsid w:val="00054FA9"/>
    <w:rsid w:val="0005748F"/>
    <w:rsid w:val="00057830"/>
    <w:rsid w:val="00062F71"/>
    <w:rsid w:val="00065FE8"/>
    <w:rsid w:val="00070088"/>
    <w:rsid w:val="000708FC"/>
    <w:rsid w:val="00073B9C"/>
    <w:rsid w:val="00080A49"/>
    <w:rsid w:val="00083522"/>
    <w:rsid w:val="00084107"/>
    <w:rsid w:val="00085D1B"/>
    <w:rsid w:val="00085FD6"/>
    <w:rsid w:val="000878D3"/>
    <w:rsid w:val="000916AB"/>
    <w:rsid w:val="00095C6B"/>
    <w:rsid w:val="000A203C"/>
    <w:rsid w:val="000A4545"/>
    <w:rsid w:val="000A53FE"/>
    <w:rsid w:val="000B1E84"/>
    <w:rsid w:val="000B7FAA"/>
    <w:rsid w:val="000C0076"/>
    <w:rsid w:val="000C30EB"/>
    <w:rsid w:val="000C4B80"/>
    <w:rsid w:val="000C5DA9"/>
    <w:rsid w:val="000C7528"/>
    <w:rsid w:val="000D2422"/>
    <w:rsid w:val="000D2B5F"/>
    <w:rsid w:val="000D3563"/>
    <w:rsid w:val="000D50C9"/>
    <w:rsid w:val="000E2BCE"/>
    <w:rsid w:val="000E3A76"/>
    <w:rsid w:val="000E4887"/>
    <w:rsid w:val="000E6F5F"/>
    <w:rsid w:val="000E7184"/>
    <w:rsid w:val="000E7E01"/>
    <w:rsid w:val="000F1DFC"/>
    <w:rsid w:val="00101872"/>
    <w:rsid w:val="00101A35"/>
    <w:rsid w:val="00103F04"/>
    <w:rsid w:val="0010593C"/>
    <w:rsid w:val="001059EA"/>
    <w:rsid w:val="001069CF"/>
    <w:rsid w:val="001075F4"/>
    <w:rsid w:val="00107B64"/>
    <w:rsid w:val="00113786"/>
    <w:rsid w:val="00113D02"/>
    <w:rsid w:val="00115BA5"/>
    <w:rsid w:val="0011732F"/>
    <w:rsid w:val="00123BC0"/>
    <w:rsid w:val="00125783"/>
    <w:rsid w:val="00126CBE"/>
    <w:rsid w:val="00127DE9"/>
    <w:rsid w:val="001307EA"/>
    <w:rsid w:val="00130A8F"/>
    <w:rsid w:val="00130F49"/>
    <w:rsid w:val="00131DFE"/>
    <w:rsid w:val="001325B3"/>
    <w:rsid w:val="001333B0"/>
    <w:rsid w:val="00135ECF"/>
    <w:rsid w:val="00135ED4"/>
    <w:rsid w:val="001379A1"/>
    <w:rsid w:val="0014254A"/>
    <w:rsid w:val="00142F2F"/>
    <w:rsid w:val="00147C66"/>
    <w:rsid w:val="001513FC"/>
    <w:rsid w:val="00152B84"/>
    <w:rsid w:val="00153CAE"/>
    <w:rsid w:val="001560A9"/>
    <w:rsid w:val="00161302"/>
    <w:rsid w:val="00162659"/>
    <w:rsid w:val="001658E1"/>
    <w:rsid w:val="001756FA"/>
    <w:rsid w:val="001759BB"/>
    <w:rsid w:val="00176028"/>
    <w:rsid w:val="00183BA8"/>
    <w:rsid w:val="001847E3"/>
    <w:rsid w:val="00185597"/>
    <w:rsid w:val="00187ED6"/>
    <w:rsid w:val="0019416A"/>
    <w:rsid w:val="001954BA"/>
    <w:rsid w:val="0019550C"/>
    <w:rsid w:val="00195AD8"/>
    <w:rsid w:val="00195C2F"/>
    <w:rsid w:val="00197493"/>
    <w:rsid w:val="001A2B18"/>
    <w:rsid w:val="001A3507"/>
    <w:rsid w:val="001A4894"/>
    <w:rsid w:val="001B1B39"/>
    <w:rsid w:val="001B4F91"/>
    <w:rsid w:val="001B7009"/>
    <w:rsid w:val="001B7C78"/>
    <w:rsid w:val="001C1003"/>
    <w:rsid w:val="001C1978"/>
    <w:rsid w:val="001C3B24"/>
    <w:rsid w:val="001C66E0"/>
    <w:rsid w:val="001C751C"/>
    <w:rsid w:val="001C7A75"/>
    <w:rsid w:val="001C7C64"/>
    <w:rsid w:val="001D35A5"/>
    <w:rsid w:val="001D5221"/>
    <w:rsid w:val="001D7382"/>
    <w:rsid w:val="001D75C9"/>
    <w:rsid w:val="001D7DFA"/>
    <w:rsid w:val="001E164C"/>
    <w:rsid w:val="001E1D98"/>
    <w:rsid w:val="001E659B"/>
    <w:rsid w:val="001E686C"/>
    <w:rsid w:val="001E7690"/>
    <w:rsid w:val="001F099A"/>
    <w:rsid w:val="001F1367"/>
    <w:rsid w:val="001F22EB"/>
    <w:rsid w:val="001F42F9"/>
    <w:rsid w:val="00201D19"/>
    <w:rsid w:val="002026A1"/>
    <w:rsid w:val="00207072"/>
    <w:rsid w:val="00211493"/>
    <w:rsid w:val="00213E0D"/>
    <w:rsid w:val="0021607C"/>
    <w:rsid w:val="0021753D"/>
    <w:rsid w:val="00221A86"/>
    <w:rsid w:val="00223263"/>
    <w:rsid w:val="00223681"/>
    <w:rsid w:val="00225CD1"/>
    <w:rsid w:val="002301F5"/>
    <w:rsid w:val="002374AB"/>
    <w:rsid w:val="002414B5"/>
    <w:rsid w:val="002421AB"/>
    <w:rsid w:val="00243861"/>
    <w:rsid w:val="002449CD"/>
    <w:rsid w:val="00244BAD"/>
    <w:rsid w:val="00250D68"/>
    <w:rsid w:val="002511AC"/>
    <w:rsid w:val="002525BB"/>
    <w:rsid w:val="00254B67"/>
    <w:rsid w:val="0025650C"/>
    <w:rsid w:val="00256849"/>
    <w:rsid w:val="00256BCB"/>
    <w:rsid w:val="0026071A"/>
    <w:rsid w:val="00261F16"/>
    <w:rsid w:val="00264704"/>
    <w:rsid w:val="00264FA1"/>
    <w:rsid w:val="00267F23"/>
    <w:rsid w:val="00273019"/>
    <w:rsid w:val="00281DA1"/>
    <w:rsid w:val="00283211"/>
    <w:rsid w:val="002835EF"/>
    <w:rsid w:val="00283937"/>
    <w:rsid w:val="00291043"/>
    <w:rsid w:val="0029137F"/>
    <w:rsid w:val="00292E61"/>
    <w:rsid w:val="00293236"/>
    <w:rsid w:val="00294B05"/>
    <w:rsid w:val="00294C98"/>
    <w:rsid w:val="0029693F"/>
    <w:rsid w:val="002978E7"/>
    <w:rsid w:val="00297CE8"/>
    <w:rsid w:val="002A358C"/>
    <w:rsid w:val="002A37ED"/>
    <w:rsid w:val="002A4D13"/>
    <w:rsid w:val="002A5533"/>
    <w:rsid w:val="002B0328"/>
    <w:rsid w:val="002B24AA"/>
    <w:rsid w:val="002B2AB3"/>
    <w:rsid w:val="002B77F7"/>
    <w:rsid w:val="002C167F"/>
    <w:rsid w:val="002C5826"/>
    <w:rsid w:val="002C7E72"/>
    <w:rsid w:val="002D11C8"/>
    <w:rsid w:val="002D1400"/>
    <w:rsid w:val="002D1F46"/>
    <w:rsid w:val="002D3423"/>
    <w:rsid w:val="002D6A77"/>
    <w:rsid w:val="002E27C1"/>
    <w:rsid w:val="002E2A0C"/>
    <w:rsid w:val="002E2C18"/>
    <w:rsid w:val="002E2E38"/>
    <w:rsid w:val="002E4483"/>
    <w:rsid w:val="002E6F14"/>
    <w:rsid w:val="002E7714"/>
    <w:rsid w:val="002F2467"/>
    <w:rsid w:val="002F2667"/>
    <w:rsid w:val="002F3CA5"/>
    <w:rsid w:val="002F471F"/>
    <w:rsid w:val="002F59CA"/>
    <w:rsid w:val="002F7EBF"/>
    <w:rsid w:val="003013FB"/>
    <w:rsid w:val="00302C10"/>
    <w:rsid w:val="003036AA"/>
    <w:rsid w:val="00303787"/>
    <w:rsid w:val="00303E18"/>
    <w:rsid w:val="00304C05"/>
    <w:rsid w:val="0030609F"/>
    <w:rsid w:val="00310DD2"/>
    <w:rsid w:val="00312A5E"/>
    <w:rsid w:val="003234BF"/>
    <w:rsid w:val="00323D7B"/>
    <w:rsid w:val="003260A5"/>
    <w:rsid w:val="0032678A"/>
    <w:rsid w:val="0032686F"/>
    <w:rsid w:val="00330B2E"/>
    <w:rsid w:val="00330CC1"/>
    <w:rsid w:val="00336BE1"/>
    <w:rsid w:val="00337925"/>
    <w:rsid w:val="00340372"/>
    <w:rsid w:val="003411A3"/>
    <w:rsid w:val="00341CDA"/>
    <w:rsid w:val="00342D91"/>
    <w:rsid w:val="00343F89"/>
    <w:rsid w:val="003463D9"/>
    <w:rsid w:val="00346A09"/>
    <w:rsid w:val="00350062"/>
    <w:rsid w:val="00351A60"/>
    <w:rsid w:val="00351C72"/>
    <w:rsid w:val="003538BB"/>
    <w:rsid w:val="00353966"/>
    <w:rsid w:val="00362557"/>
    <w:rsid w:val="003656D9"/>
    <w:rsid w:val="00371D0A"/>
    <w:rsid w:val="00373AE1"/>
    <w:rsid w:val="003762D3"/>
    <w:rsid w:val="00380447"/>
    <w:rsid w:val="00384AE7"/>
    <w:rsid w:val="00384CA4"/>
    <w:rsid w:val="00385099"/>
    <w:rsid w:val="00387689"/>
    <w:rsid w:val="0039101E"/>
    <w:rsid w:val="00391B1D"/>
    <w:rsid w:val="003951DD"/>
    <w:rsid w:val="003952A7"/>
    <w:rsid w:val="00395CD9"/>
    <w:rsid w:val="003A0997"/>
    <w:rsid w:val="003A14C7"/>
    <w:rsid w:val="003A4B17"/>
    <w:rsid w:val="003A4CB0"/>
    <w:rsid w:val="003B17C3"/>
    <w:rsid w:val="003B1A07"/>
    <w:rsid w:val="003B310B"/>
    <w:rsid w:val="003B5626"/>
    <w:rsid w:val="003B572E"/>
    <w:rsid w:val="003C2843"/>
    <w:rsid w:val="003C451A"/>
    <w:rsid w:val="003C6B2A"/>
    <w:rsid w:val="003C6D99"/>
    <w:rsid w:val="003D0918"/>
    <w:rsid w:val="003D14C6"/>
    <w:rsid w:val="003D16CA"/>
    <w:rsid w:val="003D18AA"/>
    <w:rsid w:val="003D3251"/>
    <w:rsid w:val="003D4D7F"/>
    <w:rsid w:val="003E3C1E"/>
    <w:rsid w:val="003E53A5"/>
    <w:rsid w:val="003F02BA"/>
    <w:rsid w:val="003F096C"/>
    <w:rsid w:val="003F0F8A"/>
    <w:rsid w:val="003F291F"/>
    <w:rsid w:val="003F5C20"/>
    <w:rsid w:val="003F6B13"/>
    <w:rsid w:val="00401BCC"/>
    <w:rsid w:val="00402269"/>
    <w:rsid w:val="00402B33"/>
    <w:rsid w:val="00403CCF"/>
    <w:rsid w:val="00406293"/>
    <w:rsid w:val="00407FA3"/>
    <w:rsid w:val="00411382"/>
    <w:rsid w:val="004119DE"/>
    <w:rsid w:val="004123FC"/>
    <w:rsid w:val="004136FF"/>
    <w:rsid w:val="00422342"/>
    <w:rsid w:val="00426251"/>
    <w:rsid w:val="004328CE"/>
    <w:rsid w:val="0043401A"/>
    <w:rsid w:val="004350B0"/>
    <w:rsid w:val="00442A29"/>
    <w:rsid w:val="00444551"/>
    <w:rsid w:val="00444678"/>
    <w:rsid w:val="00445290"/>
    <w:rsid w:val="00446F1B"/>
    <w:rsid w:val="00447AA4"/>
    <w:rsid w:val="00447C2B"/>
    <w:rsid w:val="00454DA7"/>
    <w:rsid w:val="0046167F"/>
    <w:rsid w:val="0046300E"/>
    <w:rsid w:val="00465884"/>
    <w:rsid w:val="00465D98"/>
    <w:rsid w:val="00470D3E"/>
    <w:rsid w:val="00471485"/>
    <w:rsid w:val="004735A9"/>
    <w:rsid w:val="00483854"/>
    <w:rsid w:val="0048437F"/>
    <w:rsid w:val="00484EB5"/>
    <w:rsid w:val="00485A29"/>
    <w:rsid w:val="00490327"/>
    <w:rsid w:val="004907CE"/>
    <w:rsid w:val="004952A8"/>
    <w:rsid w:val="00497177"/>
    <w:rsid w:val="00497ED3"/>
    <w:rsid w:val="004A44CA"/>
    <w:rsid w:val="004B2346"/>
    <w:rsid w:val="004B354B"/>
    <w:rsid w:val="004B5A62"/>
    <w:rsid w:val="004C091E"/>
    <w:rsid w:val="004C1BFA"/>
    <w:rsid w:val="004C2B67"/>
    <w:rsid w:val="004C5890"/>
    <w:rsid w:val="004C6442"/>
    <w:rsid w:val="004C7F32"/>
    <w:rsid w:val="004D4BE9"/>
    <w:rsid w:val="004E1EA2"/>
    <w:rsid w:val="004E206C"/>
    <w:rsid w:val="004E48A0"/>
    <w:rsid w:val="004F321A"/>
    <w:rsid w:val="004F6568"/>
    <w:rsid w:val="00500EB8"/>
    <w:rsid w:val="0050142E"/>
    <w:rsid w:val="0050725D"/>
    <w:rsid w:val="00507A75"/>
    <w:rsid w:val="00507FD7"/>
    <w:rsid w:val="00510C65"/>
    <w:rsid w:val="00511398"/>
    <w:rsid w:val="00513BA5"/>
    <w:rsid w:val="00521266"/>
    <w:rsid w:val="00522842"/>
    <w:rsid w:val="00523B73"/>
    <w:rsid w:val="005240A7"/>
    <w:rsid w:val="005240B9"/>
    <w:rsid w:val="005258D0"/>
    <w:rsid w:val="00525CB7"/>
    <w:rsid w:val="00527565"/>
    <w:rsid w:val="00527EA5"/>
    <w:rsid w:val="00531FCF"/>
    <w:rsid w:val="005333F1"/>
    <w:rsid w:val="00533C51"/>
    <w:rsid w:val="00542682"/>
    <w:rsid w:val="0054297F"/>
    <w:rsid w:val="00542BC6"/>
    <w:rsid w:val="005442A1"/>
    <w:rsid w:val="00544B72"/>
    <w:rsid w:val="005538DC"/>
    <w:rsid w:val="00565D91"/>
    <w:rsid w:val="00566110"/>
    <w:rsid w:val="005678DF"/>
    <w:rsid w:val="00571FCC"/>
    <w:rsid w:val="005775AE"/>
    <w:rsid w:val="00580572"/>
    <w:rsid w:val="00581833"/>
    <w:rsid w:val="00587728"/>
    <w:rsid w:val="00590765"/>
    <w:rsid w:val="00590EF9"/>
    <w:rsid w:val="00590FEB"/>
    <w:rsid w:val="00591A23"/>
    <w:rsid w:val="0059219A"/>
    <w:rsid w:val="00592CE3"/>
    <w:rsid w:val="00594A74"/>
    <w:rsid w:val="00596CE1"/>
    <w:rsid w:val="00597651"/>
    <w:rsid w:val="005A2C2E"/>
    <w:rsid w:val="005A383C"/>
    <w:rsid w:val="005A3E80"/>
    <w:rsid w:val="005A4F39"/>
    <w:rsid w:val="005A5697"/>
    <w:rsid w:val="005B0CAA"/>
    <w:rsid w:val="005B1BA5"/>
    <w:rsid w:val="005B4339"/>
    <w:rsid w:val="005B7ADE"/>
    <w:rsid w:val="005C01F7"/>
    <w:rsid w:val="005C13E3"/>
    <w:rsid w:val="005C55AC"/>
    <w:rsid w:val="005C7B34"/>
    <w:rsid w:val="005D000E"/>
    <w:rsid w:val="005D0109"/>
    <w:rsid w:val="005D1E78"/>
    <w:rsid w:val="005D4595"/>
    <w:rsid w:val="005D4F59"/>
    <w:rsid w:val="005D52B9"/>
    <w:rsid w:val="005D56D7"/>
    <w:rsid w:val="005D5D76"/>
    <w:rsid w:val="005D6E2A"/>
    <w:rsid w:val="005E39FB"/>
    <w:rsid w:val="005E3D11"/>
    <w:rsid w:val="005E4DB5"/>
    <w:rsid w:val="005E5B39"/>
    <w:rsid w:val="005E775D"/>
    <w:rsid w:val="005E782F"/>
    <w:rsid w:val="005F20B1"/>
    <w:rsid w:val="005F287D"/>
    <w:rsid w:val="005F29AA"/>
    <w:rsid w:val="005F3D4B"/>
    <w:rsid w:val="005F3D71"/>
    <w:rsid w:val="005F5B0F"/>
    <w:rsid w:val="005F69D4"/>
    <w:rsid w:val="005F6A16"/>
    <w:rsid w:val="006014E1"/>
    <w:rsid w:val="00601D65"/>
    <w:rsid w:val="00603691"/>
    <w:rsid w:val="00604953"/>
    <w:rsid w:val="00613F1C"/>
    <w:rsid w:val="00621959"/>
    <w:rsid w:val="00621DB3"/>
    <w:rsid w:val="00630328"/>
    <w:rsid w:val="006314E1"/>
    <w:rsid w:val="006319EB"/>
    <w:rsid w:val="0063462F"/>
    <w:rsid w:val="00634E50"/>
    <w:rsid w:val="006351EF"/>
    <w:rsid w:val="0063790C"/>
    <w:rsid w:val="006409D2"/>
    <w:rsid w:val="00640D55"/>
    <w:rsid w:val="00641AA0"/>
    <w:rsid w:val="006427CC"/>
    <w:rsid w:val="00643C4E"/>
    <w:rsid w:val="00644EA4"/>
    <w:rsid w:val="00645FDD"/>
    <w:rsid w:val="00652DF0"/>
    <w:rsid w:val="00656F20"/>
    <w:rsid w:val="006618BC"/>
    <w:rsid w:val="006705B0"/>
    <w:rsid w:val="006705C4"/>
    <w:rsid w:val="00670E17"/>
    <w:rsid w:val="006756E4"/>
    <w:rsid w:val="00677F29"/>
    <w:rsid w:val="00682B82"/>
    <w:rsid w:val="00694784"/>
    <w:rsid w:val="006975E1"/>
    <w:rsid w:val="00697935"/>
    <w:rsid w:val="006A36D8"/>
    <w:rsid w:val="006A4053"/>
    <w:rsid w:val="006A42DC"/>
    <w:rsid w:val="006A5A89"/>
    <w:rsid w:val="006A660B"/>
    <w:rsid w:val="006A7031"/>
    <w:rsid w:val="006B0076"/>
    <w:rsid w:val="006C03AC"/>
    <w:rsid w:val="006C193F"/>
    <w:rsid w:val="006C4053"/>
    <w:rsid w:val="006C4CDF"/>
    <w:rsid w:val="006C5203"/>
    <w:rsid w:val="006C6115"/>
    <w:rsid w:val="006C6666"/>
    <w:rsid w:val="006D1A32"/>
    <w:rsid w:val="006D22E4"/>
    <w:rsid w:val="006D28E0"/>
    <w:rsid w:val="006D2B0B"/>
    <w:rsid w:val="006D2D9C"/>
    <w:rsid w:val="006D3F6B"/>
    <w:rsid w:val="006D5F3C"/>
    <w:rsid w:val="006E2FE2"/>
    <w:rsid w:val="006E55B4"/>
    <w:rsid w:val="006F1CC5"/>
    <w:rsid w:val="006F39F0"/>
    <w:rsid w:val="00701A43"/>
    <w:rsid w:val="00704271"/>
    <w:rsid w:val="0070791C"/>
    <w:rsid w:val="00711138"/>
    <w:rsid w:val="0071545B"/>
    <w:rsid w:val="00716F5D"/>
    <w:rsid w:val="00717F37"/>
    <w:rsid w:val="0072488E"/>
    <w:rsid w:val="00730D30"/>
    <w:rsid w:val="00731102"/>
    <w:rsid w:val="007343CF"/>
    <w:rsid w:val="007401B8"/>
    <w:rsid w:val="007417B2"/>
    <w:rsid w:val="0074227D"/>
    <w:rsid w:val="0074268A"/>
    <w:rsid w:val="00745737"/>
    <w:rsid w:val="00745933"/>
    <w:rsid w:val="007512D3"/>
    <w:rsid w:val="00752EE2"/>
    <w:rsid w:val="0075370F"/>
    <w:rsid w:val="0075422D"/>
    <w:rsid w:val="007547AE"/>
    <w:rsid w:val="00755235"/>
    <w:rsid w:val="00755C6A"/>
    <w:rsid w:val="007562DE"/>
    <w:rsid w:val="00756DD4"/>
    <w:rsid w:val="00757831"/>
    <w:rsid w:val="00761D78"/>
    <w:rsid w:val="007630F6"/>
    <w:rsid w:val="00764855"/>
    <w:rsid w:val="00773D2D"/>
    <w:rsid w:val="00774D8E"/>
    <w:rsid w:val="00777776"/>
    <w:rsid w:val="0078349A"/>
    <w:rsid w:val="0078361C"/>
    <w:rsid w:val="0079026D"/>
    <w:rsid w:val="0079144A"/>
    <w:rsid w:val="00792532"/>
    <w:rsid w:val="007A1553"/>
    <w:rsid w:val="007A295F"/>
    <w:rsid w:val="007A7782"/>
    <w:rsid w:val="007A7F0A"/>
    <w:rsid w:val="007B0EC5"/>
    <w:rsid w:val="007B1734"/>
    <w:rsid w:val="007B2127"/>
    <w:rsid w:val="007B284E"/>
    <w:rsid w:val="007B3818"/>
    <w:rsid w:val="007B5DFC"/>
    <w:rsid w:val="007C0A97"/>
    <w:rsid w:val="007C2327"/>
    <w:rsid w:val="007C3642"/>
    <w:rsid w:val="007C3B55"/>
    <w:rsid w:val="007C7033"/>
    <w:rsid w:val="007C7679"/>
    <w:rsid w:val="007D2125"/>
    <w:rsid w:val="007D4088"/>
    <w:rsid w:val="007D466A"/>
    <w:rsid w:val="007D6208"/>
    <w:rsid w:val="007D7233"/>
    <w:rsid w:val="007D7B4B"/>
    <w:rsid w:val="007E0199"/>
    <w:rsid w:val="007E25C5"/>
    <w:rsid w:val="007E5058"/>
    <w:rsid w:val="007E53EF"/>
    <w:rsid w:val="007E66EE"/>
    <w:rsid w:val="007F1146"/>
    <w:rsid w:val="007F422A"/>
    <w:rsid w:val="007F493F"/>
    <w:rsid w:val="007F6614"/>
    <w:rsid w:val="007F74DA"/>
    <w:rsid w:val="007F79FC"/>
    <w:rsid w:val="007F7EC5"/>
    <w:rsid w:val="00800193"/>
    <w:rsid w:val="00801E2F"/>
    <w:rsid w:val="00802557"/>
    <w:rsid w:val="008026A0"/>
    <w:rsid w:val="00804444"/>
    <w:rsid w:val="00804F19"/>
    <w:rsid w:val="00806077"/>
    <w:rsid w:val="00812597"/>
    <w:rsid w:val="008221B4"/>
    <w:rsid w:val="00822CA8"/>
    <w:rsid w:val="00824E82"/>
    <w:rsid w:val="00826BA5"/>
    <w:rsid w:val="0083194C"/>
    <w:rsid w:val="00831BE2"/>
    <w:rsid w:val="008337B0"/>
    <w:rsid w:val="00833DD8"/>
    <w:rsid w:val="00834AD6"/>
    <w:rsid w:val="00834D72"/>
    <w:rsid w:val="008357ED"/>
    <w:rsid w:val="0084305F"/>
    <w:rsid w:val="008436A1"/>
    <w:rsid w:val="0085071E"/>
    <w:rsid w:val="00853E2F"/>
    <w:rsid w:val="0085659D"/>
    <w:rsid w:val="00861250"/>
    <w:rsid w:val="008623EC"/>
    <w:rsid w:val="00865913"/>
    <w:rsid w:val="00872644"/>
    <w:rsid w:val="008728F9"/>
    <w:rsid w:val="00872AA0"/>
    <w:rsid w:val="00873EF0"/>
    <w:rsid w:val="00873FBC"/>
    <w:rsid w:val="0087725A"/>
    <w:rsid w:val="00880982"/>
    <w:rsid w:val="0088521B"/>
    <w:rsid w:val="00887BFA"/>
    <w:rsid w:val="00891399"/>
    <w:rsid w:val="0089431F"/>
    <w:rsid w:val="00895144"/>
    <w:rsid w:val="008A0776"/>
    <w:rsid w:val="008A24DC"/>
    <w:rsid w:val="008A26D6"/>
    <w:rsid w:val="008A4455"/>
    <w:rsid w:val="008A6041"/>
    <w:rsid w:val="008A6B63"/>
    <w:rsid w:val="008A76BA"/>
    <w:rsid w:val="008B20C9"/>
    <w:rsid w:val="008B3FD7"/>
    <w:rsid w:val="008B441E"/>
    <w:rsid w:val="008B700E"/>
    <w:rsid w:val="008C2514"/>
    <w:rsid w:val="008C3D95"/>
    <w:rsid w:val="008C720E"/>
    <w:rsid w:val="008C77DE"/>
    <w:rsid w:val="008D05C2"/>
    <w:rsid w:val="008D0BCC"/>
    <w:rsid w:val="008D12BA"/>
    <w:rsid w:val="008D2F50"/>
    <w:rsid w:val="008D4996"/>
    <w:rsid w:val="008D6969"/>
    <w:rsid w:val="008E093E"/>
    <w:rsid w:val="008E2CCC"/>
    <w:rsid w:val="008E5518"/>
    <w:rsid w:val="008F144D"/>
    <w:rsid w:val="008F5E49"/>
    <w:rsid w:val="008F7078"/>
    <w:rsid w:val="008F7579"/>
    <w:rsid w:val="00903530"/>
    <w:rsid w:val="0091183A"/>
    <w:rsid w:val="009128B5"/>
    <w:rsid w:val="009145AC"/>
    <w:rsid w:val="009200CD"/>
    <w:rsid w:val="00920358"/>
    <w:rsid w:val="0092115F"/>
    <w:rsid w:val="00921D87"/>
    <w:rsid w:val="00924AC8"/>
    <w:rsid w:val="0092636F"/>
    <w:rsid w:val="0092701A"/>
    <w:rsid w:val="00931A31"/>
    <w:rsid w:val="00932007"/>
    <w:rsid w:val="00933D7B"/>
    <w:rsid w:val="00935A5F"/>
    <w:rsid w:val="00940B59"/>
    <w:rsid w:val="0094282D"/>
    <w:rsid w:val="00946114"/>
    <w:rsid w:val="00946428"/>
    <w:rsid w:val="00946816"/>
    <w:rsid w:val="00947E53"/>
    <w:rsid w:val="00950805"/>
    <w:rsid w:val="00951726"/>
    <w:rsid w:val="00956194"/>
    <w:rsid w:val="00960C44"/>
    <w:rsid w:val="0096165D"/>
    <w:rsid w:val="00962825"/>
    <w:rsid w:val="0096330D"/>
    <w:rsid w:val="00963391"/>
    <w:rsid w:val="00963714"/>
    <w:rsid w:val="009667F2"/>
    <w:rsid w:val="00967621"/>
    <w:rsid w:val="009677DD"/>
    <w:rsid w:val="00970D8D"/>
    <w:rsid w:val="009720C1"/>
    <w:rsid w:val="0097281E"/>
    <w:rsid w:val="00973284"/>
    <w:rsid w:val="00981F68"/>
    <w:rsid w:val="0098306A"/>
    <w:rsid w:val="0098362E"/>
    <w:rsid w:val="009839D7"/>
    <w:rsid w:val="00985AFB"/>
    <w:rsid w:val="00986CFE"/>
    <w:rsid w:val="0099006E"/>
    <w:rsid w:val="00990147"/>
    <w:rsid w:val="00991A1E"/>
    <w:rsid w:val="0099246A"/>
    <w:rsid w:val="009973A1"/>
    <w:rsid w:val="009A0623"/>
    <w:rsid w:val="009A1B7B"/>
    <w:rsid w:val="009A5DB5"/>
    <w:rsid w:val="009A7026"/>
    <w:rsid w:val="009A74CF"/>
    <w:rsid w:val="009B01C0"/>
    <w:rsid w:val="009B0699"/>
    <w:rsid w:val="009B0E73"/>
    <w:rsid w:val="009B1393"/>
    <w:rsid w:val="009B2283"/>
    <w:rsid w:val="009B39B8"/>
    <w:rsid w:val="009B7F6C"/>
    <w:rsid w:val="009C473F"/>
    <w:rsid w:val="009C47A9"/>
    <w:rsid w:val="009C6A47"/>
    <w:rsid w:val="009D0309"/>
    <w:rsid w:val="009D4285"/>
    <w:rsid w:val="009D5224"/>
    <w:rsid w:val="009D547A"/>
    <w:rsid w:val="009E1B6D"/>
    <w:rsid w:val="009F482C"/>
    <w:rsid w:val="009F618C"/>
    <w:rsid w:val="00A01CC1"/>
    <w:rsid w:val="00A119F3"/>
    <w:rsid w:val="00A12031"/>
    <w:rsid w:val="00A162AE"/>
    <w:rsid w:val="00A16A1E"/>
    <w:rsid w:val="00A22134"/>
    <w:rsid w:val="00A225F7"/>
    <w:rsid w:val="00A25B7C"/>
    <w:rsid w:val="00A26BD2"/>
    <w:rsid w:val="00A27D32"/>
    <w:rsid w:val="00A31E29"/>
    <w:rsid w:val="00A44A19"/>
    <w:rsid w:val="00A4521F"/>
    <w:rsid w:val="00A46D22"/>
    <w:rsid w:val="00A472A8"/>
    <w:rsid w:val="00A51829"/>
    <w:rsid w:val="00A55E16"/>
    <w:rsid w:val="00A55F2C"/>
    <w:rsid w:val="00A561C7"/>
    <w:rsid w:val="00A601BD"/>
    <w:rsid w:val="00A60425"/>
    <w:rsid w:val="00A63F72"/>
    <w:rsid w:val="00A6418E"/>
    <w:rsid w:val="00A64CBC"/>
    <w:rsid w:val="00A65778"/>
    <w:rsid w:val="00A65EAC"/>
    <w:rsid w:val="00A668C2"/>
    <w:rsid w:val="00A67ADA"/>
    <w:rsid w:val="00A706BF"/>
    <w:rsid w:val="00A75713"/>
    <w:rsid w:val="00A77086"/>
    <w:rsid w:val="00A805DA"/>
    <w:rsid w:val="00A81B04"/>
    <w:rsid w:val="00A81E7B"/>
    <w:rsid w:val="00A82C1A"/>
    <w:rsid w:val="00A83846"/>
    <w:rsid w:val="00A84D67"/>
    <w:rsid w:val="00A91813"/>
    <w:rsid w:val="00A9205A"/>
    <w:rsid w:val="00A92962"/>
    <w:rsid w:val="00A96D78"/>
    <w:rsid w:val="00AA138B"/>
    <w:rsid w:val="00AA1550"/>
    <w:rsid w:val="00AA6D27"/>
    <w:rsid w:val="00AB00E3"/>
    <w:rsid w:val="00AB26A6"/>
    <w:rsid w:val="00AB2767"/>
    <w:rsid w:val="00AB335D"/>
    <w:rsid w:val="00AB3DD5"/>
    <w:rsid w:val="00AB5506"/>
    <w:rsid w:val="00AC505C"/>
    <w:rsid w:val="00AC6238"/>
    <w:rsid w:val="00AC65AD"/>
    <w:rsid w:val="00AD056E"/>
    <w:rsid w:val="00AD79DB"/>
    <w:rsid w:val="00AE06C0"/>
    <w:rsid w:val="00AE0AD9"/>
    <w:rsid w:val="00AE3AB3"/>
    <w:rsid w:val="00AE5F31"/>
    <w:rsid w:val="00AE7E72"/>
    <w:rsid w:val="00AF3D97"/>
    <w:rsid w:val="00AF5751"/>
    <w:rsid w:val="00B00691"/>
    <w:rsid w:val="00B00EE4"/>
    <w:rsid w:val="00B046C5"/>
    <w:rsid w:val="00B06086"/>
    <w:rsid w:val="00B06B26"/>
    <w:rsid w:val="00B07FB9"/>
    <w:rsid w:val="00B12B4E"/>
    <w:rsid w:val="00B22946"/>
    <w:rsid w:val="00B26E23"/>
    <w:rsid w:val="00B30B45"/>
    <w:rsid w:val="00B32A0F"/>
    <w:rsid w:val="00B32E4B"/>
    <w:rsid w:val="00B35316"/>
    <w:rsid w:val="00B41620"/>
    <w:rsid w:val="00B41687"/>
    <w:rsid w:val="00B41CE0"/>
    <w:rsid w:val="00B433D3"/>
    <w:rsid w:val="00B455F7"/>
    <w:rsid w:val="00B513EC"/>
    <w:rsid w:val="00B5213F"/>
    <w:rsid w:val="00B52BD2"/>
    <w:rsid w:val="00B53509"/>
    <w:rsid w:val="00B548A0"/>
    <w:rsid w:val="00B560D2"/>
    <w:rsid w:val="00B57ED3"/>
    <w:rsid w:val="00B60F90"/>
    <w:rsid w:val="00B63309"/>
    <w:rsid w:val="00B63598"/>
    <w:rsid w:val="00B63F7E"/>
    <w:rsid w:val="00B65360"/>
    <w:rsid w:val="00B720B3"/>
    <w:rsid w:val="00B74B45"/>
    <w:rsid w:val="00B7522B"/>
    <w:rsid w:val="00B7624F"/>
    <w:rsid w:val="00B80945"/>
    <w:rsid w:val="00B876DF"/>
    <w:rsid w:val="00B92D62"/>
    <w:rsid w:val="00B933F3"/>
    <w:rsid w:val="00B93DDB"/>
    <w:rsid w:val="00B9551F"/>
    <w:rsid w:val="00B97F0F"/>
    <w:rsid w:val="00BA052A"/>
    <w:rsid w:val="00BA529F"/>
    <w:rsid w:val="00BA65A0"/>
    <w:rsid w:val="00BB0A54"/>
    <w:rsid w:val="00BB1BD9"/>
    <w:rsid w:val="00BB1FA8"/>
    <w:rsid w:val="00BB2082"/>
    <w:rsid w:val="00BB318A"/>
    <w:rsid w:val="00BB3E5D"/>
    <w:rsid w:val="00BB4F9F"/>
    <w:rsid w:val="00BB636A"/>
    <w:rsid w:val="00BB6560"/>
    <w:rsid w:val="00BC19F4"/>
    <w:rsid w:val="00BC335F"/>
    <w:rsid w:val="00BC4737"/>
    <w:rsid w:val="00BC4DF9"/>
    <w:rsid w:val="00BD102D"/>
    <w:rsid w:val="00BD34C1"/>
    <w:rsid w:val="00BE0D24"/>
    <w:rsid w:val="00BE248B"/>
    <w:rsid w:val="00BE2BBD"/>
    <w:rsid w:val="00BE2DCE"/>
    <w:rsid w:val="00BE3840"/>
    <w:rsid w:val="00BE5538"/>
    <w:rsid w:val="00BE6909"/>
    <w:rsid w:val="00BE7328"/>
    <w:rsid w:val="00BE7EDF"/>
    <w:rsid w:val="00BF7C89"/>
    <w:rsid w:val="00C00AF3"/>
    <w:rsid w:val="00C027F9"/>
    <w:rsid w:val="00C03405"/>
    <w:rsid w:val="00C07EEF"/>
    <w:rsid w:val="00C1132F"/>
    <w:rsid w:val="00C17FCF"/>
    <w:rsid w:val="00C22F9E"/>
    <w:rsid w:val="00C2378A"/>
    <w:rsid w:val="00C244A6"/>
    <w:rsid w:val="00C26849"/>
    <w:rsid w:val="00C32CAB"/>
    <w:rsid w:val="00C344B5"/>
    <w:rsid w:val="00C46F68"/>
    <w:rsid w:val="00C47327"/>
    <w:rsid w:val="00C47464"/>
    <w:rsid w:val="00C50F35"/>
    <w:rsid w:val="00C522CC"/>
    <w:rsid w:val="00C52BE3"/>
    <w:rsid w:val="00C559C0"/>
    <w:rsid w:val="00C55FEF"/>
    <w:rsid w:val="00C57202"/>
    <w:rsid w:val="00C57E04"/>
    <w:rsid w:val="00C60988"/>
    <w:rsid w:val="00C625B2"/>
    <w:rsid w:val="00C63DB1"/>
    <w:rsid w:val="00C642F3"/>
    <w:rsid w:val="00C72114"/>
    <w:rsid w:val="00C742AD"/>
    <w:rsid w:val="00C7449B"/>
    <w:rsid w:val="00C74D1F"/>
    <w:rsid w:val="00C76AA9"/>
    <w:rsid w:val="00C76F05"/>
    <w:rsid w:val="00C779EB"/>
    <w:rsid w:val="00C809CA"/>
    <w:rsid w:val="00C83768"/>
    <w:rsid w:val="00C869AA"/>
    <w:rsid w:val="00C86FD8"/>
    <w:rsid w:val="00C87D27"/>
    <w:rsid w:val="00C90339"/>
    <w:rsid w:val="00C9205E"/>
    <w:rsid w:val="00C924AA"/>
    <w:rsid w:val="00C93F6D"/>
    <w:rsid w:val="00C9698A"/>
    <w:rsid w:val="00C970DD"/>
    <w:rsid w:val="00CA0FD7"/>
    <w:rsid w:val="00CA2CAE"/>
    <w:rsid w:val="00CA35A6"/>
    <w:rsid w:val="00CA6E1B"/>
    <w:rsid w:val="00CB323C"/>
    <w:rsid w:val="00CB7BF0"/>
    <w:rsid w:val="00CB7C3C"/>
    <w:rsid w:val="00CC1F31"/>
    <w:rsid w:val="00CC2C2E"/>
    <w:rsid w:val="00CD073F"/>
    <w:rsid w:val="00CD120C"/>
    <w:rsid w:val="00CD1CDB"/>
    <w:rsid w:val="00CD3722"/>
    <w:rsid w:val="00CD62C2"/>
    <w:rsid w:val="00CD797E"/>
    <w:rsid w:val="00CD7B03"/>
    <w:rsid w:val="00CD7E8D"/>
    <w:rsid w:val="00CE0E28"/>
    <w:rsid w:val="00CE1528"/>
    <w:rsid w:val="00CE154A"/>
    <w:rsid w:val="00CE1654"/>
    <w:rsid w:val="00CE5AAE"/>
    <w:rsid w:val="00D03C8C"/>
    <w:rsid w:val="00D06280"/>
    <w:rsid w:val="00D07C0E"/>
    <w:rsid w:val="00D103F5"/>
    <w:rsid w:val="00D12117"/>
    <w:rsid w:val="00D156B1"/>
    <w:rsid w:val="00D201A8"/>
    <w:rsid w:val="00D23DB8"/>
    <w:rsid w:val="00D2596A"/>
    <w:rsid w:val="00D263B3"/>
    <w:rsid w:val="00D304CD"/>
    <w:rsid w:val="00D3774B"/>
    <w:rsid w:val="00D402F0"/>
    <w:rsid w:val="00D42C65"/>
    <w:rsid w:val="00D4344B"/>
    <w:rsid w:val="00D4397D"/>
    <w:rsid w:val="00D44293"/>
    <w:rsid w:val="00D443E6"/>
    <w:rsid w:val="00D45297"/>
    <w:rsid w:val="00D465AA"/>
    <w:rsid w:val="00D46713"/>
    <w:rsid w:val="00D4701F"/>
    <w:rsid w:val="00D53498"/>
    <w:rsid w:val="00D560B3"/>
    <w:rsid w:val="00D56E5E"/>
    <w:rsid w:val="00D574CB"/>
    <w:rsid w:val="00D626A8"/>
    <w:rsid w:val="00D6294F"/>
    <w:rsid w:val="00D6381D"/>
    <w:rsid w:val="00D64BB6"/>
    <w:rsid w:val="00D67F41"/>
    <w:rsid w:val="00D71E25"/>
    <w:rsid w:val="00D71E3C"/>
    <w:rsid w:val="00D73B2E"/>
    <w:rsid w:val="00D73ED2"/>
    <w:rsid w:val="00D7797E"/>
    <w:rsid w:val="00D85035"/>
    <w:rsid w:val="00D864DE"/>
    <w:rsid w:val="00D87AD7"/>
    <w:rsid w:val="00D909D3"/>
    <w:rsid w:val="00D93D45"/>
    <w:rsid w:val="00D9566A"/>
    <w:rsid w:val="00D95D91"/>
    <w:rsid w:val="00DA1F75"/>
    <w:rsid w:val="00DA308A"/>
    <w:rsid w:val="00DA4BE8"/>
    <w:rsid w:val="00DA7D6A"/>
    <w:rsid w:val="00DB0CB7"/>
    <w:rsid w:val="00DB0F0D"/>
    <w:rsid w:val="00DB3366"/>
    <w:rsid w:val="00DB4E6F"/>
    <w:rsid w:val="00DB684C"/>
    <w:rsid w:val="00DC5381"/>
    <w:rsid w:val="00DC6CB2"/>
    <w:rsid w:val="00DC75AA"/>
    <w:rsid w:val="00DD0130"/>
    <w:rsid w:val="00DD07C0"/>
    <w:rsid w:val="00DD1F1E"/>
    <w:rsid w:val="00DD2C28"/>
    <w:rsid w:val="00DD37D3"/>
    <w:rsid w:val="00DD541C"/>
    <w:rsid w:val="00DD5DC4"/>
    <w:rsid w:val="00DD6458"/>
    <w:rsid w:val="00DD6755"/>
    <w:rsid w:val="00DD6E13"/>
    <w:rsid w:val="00DE0D67"/>
    <w:rsid w:val="00DE0E5D"/>
    <w:rsid w:val="00DE1446"/>
    <w:rsid w:val="00DE29F3"/>
    <w:rsid w:val="00DE2C77"/>
    <w:rsid w:val="00DE3571"/>
    <w:rsid w:val="00DE486C"/>
    <w:rsid w:val="00DE4D6D"/>
    <w:rsid w:val="00DE5EA7"/>
    <w:rsid w:val="00DF0BCA"/>
    <w:rsid w:val="00DF7F10"/>
    <w:rsid w:val="00E02AF9"/>
    <w:rsid w:val="00E10B4B"/>
    <w:rsid w:val="00E1116A"/>
    <w:rsid w:val="00E1240B"/>
    <w:rsid w:val="00E1311E"/>
    <w:rsid w:val="00E13911"/>
    <w:rsid w:val="00E1499D"/>
    <w:rsid w:val="00E14FF0"/>
    <w:rsid w:val="00E1546B"/>
    <w:rsid w:val="00E230D9"/>
    <w:rsid w:val="00E3063D"/>
    <w:rsid w:val="00E33F66"/>
    <w:rsid w:val="00E37140"/>
    <w:rsid w:val="00E40B30"/>
    <w:rsid w:val="00E56883"/>
    <w:rsid w:val="00E56FFB"/>
    <w:rsid w:val="00E57467"/>
    <w:rsid w:val="00E60AB3"/>
    <w:rsid w:val="00E60C64"/>
    <w:rsid w:val="00E64201"/>
    <w:rsid w:val="00E650CF"/>
    <w:rsid w:val="00E65B20"/>
    <w:rsid w:val="00E66E93"/>
    <w:rsid w:val="00E72664"/>
    <w:rsid w:val="00E72C8A"/>
    <w:rsid w:val="00E7697F"/>
    <w:rsid w:val="00E81BBD"/>
    <w:rsid w:val="00E8411B"/>
    <w:rsid w:val="00E84C5B"/>
    <w:rsid w:val="00E864BB"/>
    <w:rsid w:val="00E9228C"/>
    <w:rsid w:val="00E96A4B"/>
    <w:rsid w:val="00EB0CCF"/>
    <w:rsid w:val="00EB0FB7"/>
    <w:rsid w:val="00EB2C95"/>
    <w:rsid w:val="00EB550A"/>
    <w:rsid w:val="00EB6A9C"/>
    <w:rsid w:val="00EC1C29"/>
    <w:rsid w:val="00EC384F"/>
    <w:rsid w:val="00EC46A0"/>
    <w:rsid w:val="00EC7225"/>
    <w:rsid w:val="00ED2D9C"/>
    <w:rsid w:val="00ED306A"/>
    <w:rsid w:val="00ED32C3"/>
    <w:rsid w:val="00ED35F3"/>
    <w:rsid w:val="00ED7184"/>
    <w:rsid w:val="00EE0DB2"/>
    <w:rsid w:val="00EE3135"/>
    <w:rsid w:val="00EE31AD"/>
    <w:rsid w:val="00EE77E0"/>
    <w:rsid w:val="00EF2023"/>
    <w:rsid w:val="00EF4558"/>
    <w:rsid w:val="00EF4CCD"/>
    <w:rsid w:val="00EF7B12"/>
    <w:rsid w:val="00F0211D"/>
    <w:rsid w:val="00F0235A"/>
    <w:rsid w:val="00F05B63"/>
    <w:rsid w:val="00F05BFA"/>
    <w:rsid w:val="00F10C16"/>
    <w:rsid w:val="00F110CA"/>
    <w:rsid w:val="00F1175C"/>
    <w:rsid w:val="00F12846"/>
    <w:rsid w:val="00F26CD3"/>
    <w:rsid w:val="00F32298"/>
    <w:rsid w:val="00F328AD"/>
    <w:rsid w:val="00F32F78"/>
    <w:rsid w:val="00F336A1"/>
    <w:rsid w:val="00F337AF"/>
    <w:rsid w:val="00F35B95"/>
    <w:rsid w:val="00F37400"/>
    <w:rsid w:val="00F504FE"/>
    <w:rsid w:val="00F53618"/>
    <w:rsid w:val="00F54B54"/>
    <w:rsid w:val="00F55915"/>
    <w:rsid w:val="00F56255"/>
    <w:rsid w:val="00F574FF"/>
    <w:rsid w:val="00F6040E"/>
    <w:rsid w:val="00F61772"/>
    <w:rsid w:val="00F65A3F"/>
    <w:rsid w:val="00F667C9"/>
    <w:rsid w:val="00F66F48"/>
    <w:rsid w:val="00F728FD"/>
    <w:rsid w:val="00F737D4"/>
    <w:rsid w:val="00F76B70"/>
    <w:rsid w:val="00F77829"/>
    <w:rsid w:val="00F77952"/>
    <w:rsid w:val="00F82581"/>
    <w:rsid w:val="00F82CFD"/>
    <w:rsid w:val="00F85D25"/>
    <w:rsid w:val="00F86047"/>
    <w:rsid w:val="00F86672"/>
    <w:rsid w:val="00F91B6B"/>
    <w:rsid w:val="00F92506"/>
    <w:rsid w:val="00F951D6"/>
    <w:rsid w:val="00F9717C"/>
    <w:rsid w:val="00FA1F63"/>
    <w:rsid w:val="00FA2C5C"/>
    <w:rsid w:val="00FA4CE6"/>
    <w:rsid w:val="00FB3E22"/>
    <w:rsid w:val="00FB5531"/>
    <w:rsid w:val="00FC0003"/>
    <w:rsid w:val="00FC179C"/>
    <w:rsid w:val="00FD00FD"/>
    <w:rsid w:val="00FD05AE"/>
    <w:rsid w:val="00FD23D4"/>
    <w:rsid w:val="00FD76EA"/>
    <w:rsid w:val="00FE2FA5"/>
    <w:rsid w:val="00FE4B81"/>
    <w:rsid w:val="00FE4C12"/>
    <w:rsid w:val="00FE5253"/>
    <w:rsid w:val="00FE5EC1"/>
    <w:rsid w:val="00FF16D4"/>
    <w:rsid w:val="00FF1810"/>
    <w:rsid w:val="00FF2C77"/>
    <w:rsid w:val="00FF3E5A"/>
    <w:rsid w:val="00FF4B41"/>
    <w:rsid w:val="00FF4F8A"/>
    <w:rsid w:val="017D6E21"/>
    <w:rsid w:val="01C15E3E"/>
    <w:rsid w:val="01C81F7D"/>
    <w:rsid w:val="020020D6"/>
    <w:rsid w:val="020F0833"/>
    <w:rsid w:val="02185DE5"/>
    <w:rsid w:val="041566FF"/>
    <w:rsid w:val="046163BD"/>
    <w:rsid w:val="04B74C29"/>
    <w:rsid w:val="06B347E3"/>
    <w:rsid w:val="06B55978"/>
    <w:rsid w:val="071612F9"/>
    <w:rsid w:val="072D0D31"/>
    <w:rsid w:val="073B42FB"/>
    <w:rsid w:val="074A1EDA"/>
    <w:rsid w:val="074C025C"/>
    <w:rsid w:val="078A20ED"/>
    <w:rsid w:val="07994906"/>
    <w:rsid w:val="07ED2710"/>
    <w:rsid w:val="08470072"/>
    <w:rsid w:val="086329D2"/>
    <w:rsid w:val="08860F69"/>
    <w:rsid w:val="08A74FB5"/>
    <w:rsid w:val="096C2CD5"/>
    <w:rsid w:val="097535D4"/>
    <w:rsid w:val="09A975B0"/>
    <w:rsid w:val="0A66504B"/>
    <w:rsid w:val="0A9C1550"/>
    <w:rsid w:val="0ADF55E3"/>
    <w:rsid w:val="0AEE0BD9"/>
    <w:rsid w:val="0B507CD9"/>
    <w:rsid w:val="0B7E4C26"/>
    <w:rsid w:val="0C852363"/>
    <w:rsid w:val="0CC54E19"/>
    <w:rsid w:val="0CF0414E"/>
    <w:rsid w:val="0D054058"/>
    <w:rsid w:val="0DE97ED4"/>
    <w:rsid w:val="0DF46D9A"/>
    <w:rsid w:val="0E003006"/>
    <w:rsid w:val="0EBB2DAD"/>
    <w:rsid w:val="0F2478E6"/>
    <w:rsid w:val="0F437B1F"/>
    <w:rsid w:val="100E76C7"/>
    <w:rsid w:val="10136741"/>
    <w:rsid w:val="1017657C"/>
    <w:rsid w:val="10A44021"/>
    <w:rsid w:val="10D221AF"/>
    <w:rsid w:val="10F86444"/>
    <w:rsid w:val="110D1B0C"/>
    <w:rsid w:val="11327B23"/>
    <w:rsid w:val="114A1A3A"/>
    <w:rsid w:val="117F4054"/>
    <w:rsid w:val="11987B90"/>
    <w:rsid w:val="12EB798A"/>
    <w:rsid w:val="12FC6E07"/>
    <w:rsid w:val="130330C3"/>
    <w:rsid w:val="137B1518"/>
    <w:rsid w:val="138D3FA2"/>
    <w:rsid w:val="13D0752D"/>
    <w:rsid w:val="13F06245"/>
    <w:rsid w:val="14C950CC"/>
    <w:rsid w:val="151505A6"/>
    <w:rsid w:val="15A01826"/>
    <w:rsid w:val="15F555B1"/>
    <w:rsid w:val="16885BFC"/>
    <w:rsid w:val="16F13FCB"/>
    <w:rsid w:val="175C4D77"/>
    <w:rsid w:val="17F040E4"/>
    <w:rsid w:val="187622AE"/>
    <w:rsid w:val="189152F3"/>
    <w:rsid w:val="189270E7"/>
    <w:rsid w:val="18B843F4"/>
    <w:rsid w:val="18E6320F"/>
    <w:rsid w:val="19083092"/>
    <w:rsid w:val="19270EEA"/>
    <w:rsid w:val="194C6A11"/>
    <w:rsid w:val="195E521C"/>
    <w:rsid w:val="1961796E"/>
    <w:rsid w:val="197D3B3F"/>
    <w:rsid w:val="198C19F9"/>
    <w:rsid w:val="1CC1153B"/>
    <w:rsid w:val="1DAD0520"/>
    <w:rsid w:val="1DC26B60"/>
    <w:rsid w:val="1E274306"/>
    <w:rsid w:val="1E803E86"/>
    <w:rsid w:val="1E965458"/>
    <w:rsid w:val="1F1D2AA4"/>
    <w:rsid w:val="1F706BB0"/>
    <w:rsid w:val="1FB75686"/>
    <w:rsid w:val="1FDA6C4F"/>
    <w:rsid w:val="1FF300F9"/>
    <w:rsid w:val="20A9154E"/>
    <w:rsid w:val="20BB6A71"/>
    <w:rsid w:val="20C0677A"/>
    <w:rsid w:val="21255B75"/>
    <w:rsid w:val="214E3DC8"/>
    <w:rsid w:val="215B3E19"/>
    <w:rsid w:val="216D6944"/>
    <w:rsid w:val="217355DC"/>
    <w:rsid w:val="21B93937"/>
    <w:rsid w:val="224F5F4C"/>
    <w:rsid w:val="22E543FB"/>
    <w:rsid w:val="23BE1434"/>
    <w:rsid w:val="23D04F68"/>
    <w:rsid w:val="24187752"/>
    <w:rsid w:val="241E2753"/>
    <w:rsid w:val="242A3FEE"/>
    <w:rsid w:val="25174EE8"/>
    <w:rsid w:val="259E3CDC"/>
    <w:rsid w:val="25AA1ED9"/>
    <w:rsid w:val="25B7140B"/>
    <w:rsid w:val="25BB59F6"/>
    <w:rsid w:val="25FF7D86"/>
    <w:rsid w:val="27066912"/>
    <w:rsid w:val="27575F5B"/>
    <w:rsid w:val="275D41C9"/>
    <w:rsid w:val="277B2154"/>
    <w:rsid w:val="28414686"/>
    <w:rsid w:val="2886653D"/>
    <w:rsid w:val="28B11647"/>
    <w:rsid w:val="28B60EEB"/>
    <w:rsid w:val="28FE1A96"/>
    <w:rsid w:val="291143F8"/>
    <w:rsid w:val="29172DFC"/>
    <w:rsid w:val="291C36F1"/>
    <w:rsid w:val="291E0523"/>
    <w:rsid w:val="29B65425"/>
    <w:rsid w:val="29C015DB"/>
    <w:rsid w:val="29CF3595"/>
    <w:rsid w:val="2A16751A"/>
    <w:rsid w:val="2A554419"/>
    <w:rsid w:val="2AD67E02"/>
    <w:rsid w:val="2B0C4046"/>
    <w:rsid w:val="2B636271"/>
    <w:rsid w:val="2BDF38E9"/>
    <w:rsid w:val="2C761BF4"/>
    <w:rsid w:val="2DDB3E6B"/>
    <w:rsid w:val="2E637B29"/>
    <w:rsid w:val="2E741572"/>
    <w:rsid w:val="2E7E0BC5"/>
    <w:rsid w:val="2EBF33DA"/>
    <w:rsid w:val="2F1A1856"/>
    <w:rsid w:val="2F380E06"/>
    <w:rsid w:val="300C4661"/>
    <w:rsid w:val="30407EBD"/>
    <w:rsid w:val="30575A42"/>
    <w:rsid w:val="305C22C0"/>
    <w:rsid w:val="30802A61"/>
    <w:rsid w:val="32092544"/>
    <w:rsid w:val="32572764"/>
    <w:rsid w:val="329C606B"/>
    <w:rsid w:val="330752C3"/>
    <w:rsid w:val="33572670"/>
    <w:rsid w:val="33A04957"/>
    <w:rsid w:val="33A132C4"/>
    <w:rsid w:val="34B10992"/>
    <w:rsid w:val="34C27960"/>
    <w:rsid w:val="351C64D7"/>
    <w:rsid w:val="35212E09"/>
    <w:rsid w:val="35E86141"/>
    <w:rsid w:val="36211855"/>
    <w:rsid w:val="36B129D7"/>
    <w:rsid w:val="36E630A0"/>
    <w:rsid w:val="38105356"/>
    <w:rsid w:val="381C3DFE"/>
    <w:rsid w:val="384719E3"/>
    <w:rsid w:val="386B4BBF"/>
    <w:rsid w:val="38FA64F5"/>
    <w:rsid w:val="391175B1"/>
    <w:rsid w:val="391223B0"/>
    <w:rsid w:val="393806E7"/>
    <w:rsid w:val="3A0D43C8"/>
    <w:rsid w:val="3A30455A"/>
    <w:rsid w:val="3A476F2A"/>
    <w:rsid w:val="3AAA1017"/>
    <w:rsid w:val="3B1043F4"/>
    <w:rsid w:val="3B22441F"/>
    <w:rsid w:val="3B2927FD"/>
    <w:rsid w:val="3BA313E5"/>
    <w:rsid w:val="3BEF2BD1"/>
    <w:rsid w:val="3BF56F5C"/>
    <w:rsid w:val="3BFC4351"/>
    <w:rsid w:val="3CFB0E50"/>
    <w:rsid w:val="3D346E66"/>
    <w:rsid w:val="3E6F60C9"/>
    <w:rsid w:val="3EB87F63"/>
    <w:rsid w:val="3F3B31CA"/>
    <w:rsid w:val="3F4010D8"/>
    <w:rsid w:val="3F4341B4"/>
    <w:rsid w:val="3F4940F4"/>
    <w:rsid w:val="3F825F0A"/>
    <w:rsid w:val="3FCC6AD3"/>
    <w:rsid w:val="401F4E92"/>
    <w:rsid w:val="407252D2"/>
    <w:rsid w:val="40965A05"/>
    <w:rsid w:val="40CD3961"/>
    <w:rsid w:val="40D554EA"/>
    <w:rsid w:val="421B164C"/>
    <w:rsid w:val="422315E9"/>
    <w:rsid w:val="42266DD4"/>
    <w:rsid w:val="42561D15"/>
    <w:rsid w:val="42F56341"/>
    <w:rsid w:val="43075D96"/>
    <w:rsid w:val="43AC19AA"/>
    <w:rsid w:val="43EF1CD5"/>
    <w:rsid w:val="449E665F"/>
    <w:rsid w:val="45726B7D"/>
    <w:rsid w:val="45CA2A8F"/>
    <w:rsid w:val="46AC116B"/>
    <w:rsid w:val="472A5ECE"/>
    <w:rsid w:val="47935925"/>
    <w:rsid w:val="47F611D6"/>
    <w:rsid w:val="48C14378"/>
    <w:rsid w:val="48F12E2C"/>
    <w:rsid w:val="49260F0D"/>
    <w:rsid w:val="493A4AAE"/>
    <w:rsid w:val="4972249A"/>
    <w:rsid w:val="49E215C4"/>
    <w:rsid w:val="4A2A425F"/>
    <w:rsid w:val="4A946440"/>
    <w:rsid w:val="4A955EEB"/>
    <w:rsid w:val="4AC62A9D"/>
    <w:rsid w:val="4ADA1189"/>
    <w:rsid w:val="4B777B3B"/>
    <w:rsid w:val="4B7D4279"/>
    <w:rsid w:val="4BD25472"/>
    <w:rsid w:val="4C1672E0"/>
    <w:rsid w:val="4C8460BD"/>
    <w:rsid w:val="4C8C05E0"/>
    <w:rsid w:val="4D081D9C"/>
    <w:rsid w:val="4D267823"/>
    <w:rsid w:val="4D357A66"/>
    <w:rsid w:val="4D4C380D"/>
    <w:rsid w:val="4D6B72CB"/>
    <w:rsid w:val="4DFD7181"/>
    <w:rsid w:val="4E015B87"/>
    <w:rsid w:val="4E90453B"/>
    <w:rsid w:val="4EAD7AD0"/>
    <w:rsid w:val="4EBF104B"/>
    <w:rsid w:val="4EC1405B"/>
    <w:rsid w:val="4ED763DA"/>
    <w:rsid w:val="4EEF741B"/>
    <w:rsid w:val="4EF34216"/>
    <w:rsid w:val="4F4C0128"/>
    <w:rsid w:val="4F592064"/>
    <w:rsid w:val="4F8E7080"/>
    <w:rsid w:val="4FCF2104"/>
    <w:rsid w:val="50242389"/>
    <w:rsid w:val="505A3876"/>
    <w:rsid w:val="50BC224C"/>
    <w:rsid w:val="50D67C2E"/>
    <w:rsid w:val="51046866"/>
    <w:rsid w:val="5116195C"/>
    <w:rsid w:val="51864C40"/>
    <w:rsid w:val="522E0F28"/>
    <w:rsid w:val="52E9222B"/>
    <w:rsid w:val="52ED5A4D"/>
    <w:rsid w:val="530F550D"/>
    <w:rsid w:val="53111B6E"/>
    <w:rsid w:val="534D53DE"/>
    <w:rsid w:val="537C6C08"/>
    <w:rsid w:val="54366037"/>
    <w:rsid w:val="54372316"/>
    <w:rsid w:val="545509EE"/>
    <w:rsid w:val="54C06A9D"/>
    <w:rsid w:val="54E46B2A"/>
    <w:rsid w:val="553A08EC"/>
    <w:rsid w:val="553E6010"/>
    <w:rsid w:val="561E0F60"/>
    <w:rsid w:val="56335B92"/>
    <w:rsid w:val="563D201C"/>
    <w:rsid w:val="56B22127"/>
    <w:rsid w:val="56CC1D68"/>
    <w:rsid w:val="57165BD4"/>
    <w:rsid w:val="572E5D14"/>
    <w:rsid w:val="57987942"/>
    <w:rsid w:val="57C9462C"/>
    <w:rsid w:val="57F86260"/>
    <w:rsid w:val="581125D0"/>
    <w:rsid w:val="58485AFF"/>
    <w:rsid w:val="58495339"/>
    <w:rsid w:val="59667B5D"/>
    <w:rsid w:val="59D75C73"/>
    <w:rsid w:val="5A504131"/>
    <w:rsid w:val="5AA808C0"/>
    <w:rsid w:val="5AD360CD"/>
    <w:rsid w:val="5B133E5B"/>
    <w:rsid w:val="5B184080"/>
    <w:rsid w:val="5B99576C"/>
    <w:rsid w:val="5BD23831"/>
    <w:rsid w:val="5BDB5C7C"/>
    <w:rsid w:val="5BF27865"/>
    <w:rsid w:val="5C074CAD"/>
    <w:rsid w:val="5C805AFD"/>
    <w:rsid w:val="5C806FCD"/>
    <w:rsid w:val="5C8A64E1"/>
    <w:rsid w:val="5C9A7901"/>
    <w:rsid w:val="5CF3268D"/>
    <w:rsid w:val="5D37407B"/>
    <w:rsid w:val="5E134CE3"/>
    <w:rsid w:val="5E177A2F"/>
    <w:rsid w:val="5E207BCE"/>
    <w:rsid w:val="5E7668EA"/>
    <w:rsid w:val="5F553F98"/>
    <w:rsid w:val="5F63697F"/>
    <w:rsid w:val="5F6936DC"/>
    <w:rsid w:val="5F967222"/>
    <w:rsid w:val="5FA56CCD"/>
    <w:rsid w:val="5FE73964"/>
    <w:rsid w:val="5FF27A39"/>
    <w:rsid w:val="60D44997"/>
    <w:rsid w:val="612613ED"/>
    <w:rsid w:val="61402C9C"/>
    <w:rsid w:val="61504A17"/>
    <w:rsid w:val="615B77F8"/>
    <w:rsid w:val="61F54CA7"/>
    <w:rsid w:val="62E7273A"/>
    <w:rsid w:val="635A7DCF"/>
    <w:rsid w:val="63B9462A"/>
    <w:rsid w:val="64976216"/>
    <w:rsid w:val="64CC2A82"/>
    <w:rsid w:val="64FE1E9D"/>
    <w:rsid w:val="64FE29DC"/>
    <w:rsid w:val="6502108F"/>
    <w:rsid w:val="65040E5B"/>
    <w:rsid w:val="6538251C"/>
    <w:rsid w:val="65DD6A95"/>
    <w:rsid w:val="661F00EB"/>
    <w:rsid w:val="66320210"/>
    <w:rsid w:val="664671E4"/>
    <w:rsid w:val="66BA369C"/>
    <w:rsid w:val="67601A61"/>
    <w:rsid w:val="67C718D1"/>
    <w:rsid w:val="67D422C6"/>
    <w:rsid w:val="67DC3DF5"/>
    <w:rsid w:val="68745B05"/>
    <w:rsid w:val="68B90308"/>
    <w:rsid w:val="68E56825"/>
    <w:rsid w:val="694D4202"/>
    <w:rsid w:val="6A6369F9"/>
    <w:rsid w:val="6B090729"/>
    <w:rsid w:val="6BA9394C"/>
    <w:rsid w:val="6BBC17D0"/>
    <w:rsid w:val="6BD4423F"/>
    <w:rsid w:val="6C7671D3"/>
    <w:rsid w:val="6C860B1B"/>
    <w:rsid w:val="6CE54BAD"/>
    <w:rsid w:val="6CF95F44"/>
    <w:rsid w:val="6D323B6A"/>
    <w:rsid w:val="6D815C05"/>
    <w:rsid w:val="6DEC537A"/>
    <w:rsid w:val="6EF36C26"/>
    <w:rsid w:val="6F352D82"/>
    <w:rsid w:val="6F3E67F6"/>
    <w:rsid w:val="70B1100E"/>
    <w:rsid w:val="70CE50A2"/>
    <w:rsid w:val="711F080E"/>
    <w:rsid w:val="71260FDB"/>
    <w:rsid w:val="71AE4710"/>
    <w:rsid w:val="71B72890"/>
    <w:rsid w:val="71DE745D"/>
    <w:rsid w:val="72BE2216"/>
    <w:rsid w:val="73690269"/>
    <w:rsid w:val="743B0AB5"/>
    <w:rsid w:val="74764DAF"/>
    <w:rsid w:val="7540774C"/>
    <w:rsid w:val="766639E9"/>
    <w:rsid w:val="770025E3"/>
    <w:rsid w:val="778B7675"/>
    <w:rsid w:val="78593135"/>
    <w:rsid w:val="78CC63CD"/>
    <w:rsid w:val="7925087C"/>
    <w:rsid w:val="79327D64"/>
    <w:rsid w:val="7A5B1C44"/>
    <w:rsid w:val="7AA96970"/>
    <w:rsid w:val="7B1B381B"/>
    <w:rsid w:val="7B287EF0"/>
    <w:rsid w:val="7B5116C5"/>
    <w:rsid w:val="7C735978"/>
    <w:rsid w:val="7C8F51E8"/>
    <w:rsid w:val="7C9B1FAA"/>
    <w:rsid w:val="7CF67F9C"/>
    <w:rsid w:val="7DAE3ECD"/>
    <w:rsid w:val="7DCC693D"/>
    <w:rsid w:val="7E5D1143"/>
    <w:rsid w:val="7EDC56E4"/>
    <w:rsid w:val="7EFE38AC"/>
    <w:rsid w:val="7F2F2F98"/>
    <w:rsid w:val="7FCF0521"/>
    <w:rsid w:val="7FE104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line="360" w:lineRule="auto"/>
      <w:jc w:val="center"/>
      <w:outlineLvl w:val="0"/>
    </w:pPr>
    <w:rPr>
      <w:rFonts w:ascii="Times New Roman" w:hAnsi="Times New Roman" w:eastAsia="宋体" w:cs="Times New Roman"/>
      <w:b/>
      <w:bCs/>
      <w:kern w:val="44"/>
      <w:sz w:val="30"/>
      <w:szCs w:val="44"/>
    </w:rPr>
  </w:style>
  <w:style w:type="paragraph" w:styleId="3">
    <w:name w:val="heading 2"/>
    <w:basedOn w:val="1"/>
    <w:next w:val="1"/>
    <w:link w:val="69"/>
    <w:autoRedefine/>
    <w:qFormat/>
    <w:uiPriority w:val="0"/>
    <w:pPr>
      <w:keepNext/>
      <w:keepLines/>
      <w:spacing w:line="360" w:lineRule="auto"/>
      <w:jc w:val="left"/>
      <w:outlineLvl w:val="1"/>
    </w:pPr>
    <w:rPr>
      <w:rFonts w:ascii="Arial" w:hAnsi="Arial" w:eastAsia="宋体" w:cs="Times New Roman"/>
      <w:b/>
      <w:bCs/>
      <w:sz w:val="24"/>
      <w:szCs w:val="32"/>
    </w:rPr>
  </w:style>
  <w:style w:type="paragraph" w:styleId="4">
    <w:name w:val="heading 3"/>
    <w:basedOn w:val="1"/>
    <w:next w:val="1"/>
    <w:link w:val="70"/>
    <w:autoRedefine/>
    <w:qFormat/>
    <w:uiPriority w:val="0"/>
    <w:pPr>
      <w:keepNext/>
      <w:keepLines/>
      <w:spacing w:line="360" w:lineRule="auto"/>
      <w:jc w:val="left"/>
      <w:outlineLvl w:val="2"/>
    </w:pPr>
    <w:rPr>
      <w:rFonts w:ascii="Times New Roman" w:hAnsi="Times New Roman" w:eastAsia="宋体" w:cs="Times New Roman"/>
      <w:b/>
      <w:bCs/>
      <w:sz w:val="24"/>
      <w:szCs w:val="32"/>
    </w:rPr>
  </w:style>
  <w:style w:type="paragraph" w:styleId="5">
    <w:name w:val="heading 4"/>
    <w:basedOn w:val="1"/>
    <w:next w:val="1"/>
    <w:link w:val="71"/>
    <w:autoRedefine/>
    <w:qFormat/>
    <w:uiPriority w:val="0"/>
    <w:pPr>
      <w:keepNext/>
      <w:keepLines/>
      <w:spacing w:line="360" w:lineRule="auto"/>
      <w:jc w:val="left"/>
      <w:outlineLvl w:val="3"/>
    </w:pPr>
    <w:rPr>
      <w:rFonts w:ascii="Arial" w:hAnsi="Arial" w:eastAsia="宋体" w:cs="Times New Roman"/>
      <w:b/>
      <w:bCs/>
      <w:szCs w:val="28"/>
    </w:rPr>
  </w:style>
  <w:style w:type="paragraph" w:styleId="6">
    <w:name w:val="heading 5"/>
    <w:basedOn w:val="1"/>
    <w:next w:val="1"/>
    <w:link w:val="72"/>
    <w:autoRedefine/>
    <w:qFormat/>
    <w:uiPriority w:val="0"/>
    <w:pPr>
      <w:keepNext/>
      <w:keepLines/>
      <w:spacing w:before="280" w:beforeLines="0" w:after="290" w:afterLines="0" w:line="376" w:lineRule="auto"/>
      <w:outlineLvl w:val="4"/>
    </w:pPr>
    <w:rPr>
      <w:rFonts w:ascii="Times New Roman" w:hAnsi="Times New Roman" w:eastAsia="宋体" w:cs="Times New Roman"/>
      <w:b/>
      <w:bCs/>
      <w:kern w:val="0"/>
      <w:sz w:val="28"/>
      <w:szCs w:val="28"/>
    </w:rPr>
  </w:style>
  <w:style w:type="paragraph" w:styleId="7">
    <w:name w:val="heading 6"/>
    <w:basedOn w:val="1"/>
    <w:next w:val="1"/>
    <w:link w:val="73"/>
    <w:autoRedefine/>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74"/>
    <w:autoRedefine/>
    <w:qFormat/>
    <w:uiPriority w:val="0"/>
    <w:pPr>
      <w:keepNext/>
      <w:keepLines/>
      <w:widowControl/>
      <w:tabs>
        <w:tab w:val="left" w:pos="2520"/>
      </w:tabs>
      <w:spacing w:before="240" w:beforeLines="0" w:after="64" w:afterLines="0"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75"/>
    <w:autoRedefine/>
    <w:qFormat/>
    <w:uiPriority w:val="0"/>
    <w:pPr>
      <w:keepNext/>
      <w:keepLines/>
      <w:widowControl/>
      <w:tabs>
        <w:tab w:val="left" w:pos="1440"/>
      </w:tabs>
      <w:spacing w:before="240" w:beforeLines="0" w:after="64" w:afterLines="0"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76"/>
    <w:autoRedefine/>
    <w:qFormat/>
    <w:uiPriority w:val="0"/>
    <w:pPr>
      <w:keepNext/>
      <w:keepLines/>
      <w:widowControl/>
      <w:tabs>
        <w:tab w:val="left" w:pos="1584"/>
      </w:tabs>
      <w:spacing w:before="240" w:beforeLines="0" w:after="64" w:afterLines="0" w:line="320" w:lineRule="auto"/>
      <w:ind w:left="1584" w:hanging="1584"/>
      <w:jc w:val="left"/>
      <w:outlineLvl w:val="8"/>
    </w:pPr>
    <w:rPr>
      <w:rFonts w:ascii="Arial" w:hAnsi="Arial" w:eastAsia="黑体" w:cs="Times New Roman"/>
      <w:kern w:val="0"/>
      <w:sz w:val="20"/>
      <w:szCs w:val="21"/>
    </w:rPr>
  </w:style>
  <w:style w:type="character" w:default="1" w:styleId="56">
    <w:name w:val="Default Paragraph Font"/>
    <w:autoRedefine/>
    <w:qFormat/>
    <w:uiPriority w:val="0"/>
    <w:rPr>
      <w:rFonts w:ascii="Times New Roman" w:hAnsi="Times New Roman" w:eastAsia="宋体" w:cs="Times New Roman"/>
    </w:rPr>
  </w:style>
  <w:style w:type="table" w:default="1" w:styleId="54">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Times New Roman" w:hAnsi="Times New Roman" w:eastAsia="宋体" w:cs="Times New Roman"/>
      <w:sz w:val="30"/>
    </w:rPr>
  </w:style>
  <w:style w:type="paragraph" w:styleId="12">
    <w:name w:val="toc 7"/>
    <w:basedOn w:val="1"/>
    <w:next w:val="1"/>
    <w:autoRedefine/>
    <w:qFormat/>
    <w:uiPriority w:val="0"/>
    <w:pPr>
      <w:ind w:left="1260"/>
      <w:jc w:val="left"/>
    </w:pPr>
    <w:rPr>
      <w:rFonts w:ascii="Calibri" w:hAnsi="Calibri" w:eastAsia="宋体" w:cs="Times New Roman"/>
      <w:sz w:val="18"/>
      <w:szCs w:val="18"/>
    </w:rPr>
  </w:style>
  <w:style w:type="paragraph" w:styleId="13">
    <w:name w:val="Normal Indent"/>
    <w:basedOn w:val="1"/>
    <w:next w:val="1"/>
    <w:link w:val="67"/>
    <w:autoRedefine/>
    <w:qFormat/>
    <w:uiPriority w:val="0"/>
    <w:pPr>
      <w:ind w:firstLine="420" w:firstLineChars="200"/>
    </w:pPr>
    <w:rPr>
      <w:rFonts w:ascii="Times New Roman" w:hAnsi="Times New Roman" w:eastAsia="宋体" w:cs="Times New Roman"/>
      <w:szCs w:val="24"/>
    </w:rPr>
  </w:style>
  <w:style w:type="paragraph" w:styleId="14">
    <w:name w:val="Document Map"/>
    <w:basedOn w:val="1"/>
    <w:link w:val="77"/>
    <w:autoRedefine/>
    <w:qFormat/>
    <w:uiPriority w:val="0"/>
    <w:pPr>
      <w:shd w:val="clear" w:color="auto" w:fill="000080"/>
    </w:pPr>
    <w:rPr>
      <w:rFonts w:ascii="Times New Roman" w:hAnsi="Times New Roman" w:eastAsia="宋体" w:cs="Times New Roman"/>
      <w:kern w:val="0"/>
      <w:sz w:val="20"/>
      <w:szCs w:val="24"/>
      <w:shd w:val="clear" w:color="auto" w:fill="000080"/>
    </w:rPr>
  </w:style>
  <w:style w:type="paragraph" w:styleId="15">
    <w:name w:val="annotation text"/>
    <w:basedOn w:val="1"/>
    <w:link w:val="78"/>
    <w:autoRedefine/>
    <w:qFormat/>
    <w:uiPriority w:val="0"/>
    <w:pPr>
      <w:jc w:val="left"/>
    </w:pPr>
    <w:rPr>
      <w:rFonts w:ascii="Times New Roman" w:hAnsi="Times New Roman" w:eastAsia="宋体" w:cs="Times New Roman"/>
      <w:kern w:val="0"/>
      <w:sz w:val="20"/>
    </w:rPr>
  </w:style>
  <w:style w:type="paragraph" w:styleId="16">
    <w:name w:val="Body Text 3"/>
    <w:basedOn w:val="1"/>
    <w:link w:val="79"/>
    <w:autoRedefine/>
    <w:qFormat/>
    <w:uiPriority w:val="0"/>
    <w:rPr>
      <w:rFonts w:ascii="宋体" w:hAnsi="Times New Roman" w:eastAsia="宋体" w:cs="Times New Roman"/>
      <w:kern w:val="0"/>
      <w:sz w:val="24"/>
    </w:rPr>
  </w:style>
  <w:style w:type="paragraph" w:styleId="17">
    <w:name w:val="Body Text"/>
    <w:basedOn w:val="1"/>
    <w:next w:val="1"/>
    <w:link w:val="80"/>
    <w:autoRedefine/>
    <w:qFormat/>
    <w:uiPriority w:val="0"/>
    <w:pPr>
      <w:spacing w:after="120" w:afterLines="0"/>
    </w:pPr>
    <w:rPr>
      <w:rFonts w:ascii="Times New Roman" w:hAnsi="Times New Roman" w:eastAsia="宋体" w:cs="Times New Roman"/>
      <w:kern w:val="0"/>
      <w:sz w:val="20"/>
      <w:szCs w:val="24"/>
    </w:rPr>
  </w:style>
  <w:style w:type="paragraph" w:styleId="18">
    <w:name w:val="Body Text Indent"/>
    <w:basedOn w:val="1"/>
    <w:link w:val="81"/>
    <w:autoRedefine/>
    <w:qFormat/>
    <w:uiPriority w:val="0"/>
    <w:pPr>
      <w:spacing w:after="120" w:afterLines="0"/>
      <w:ind w:left="420" w:leftChars="200"/>
    </w:pPr>
    <w:rPr>
      <w:rFonts w:ascii="Times New Roman" w:hAnsi="Times New Roman" w:eastAsia="宋体" w:cs="Times New Roman"/>
      <w:kern w:val="0"/>
      <w:sz w:val="20"/>
      <w:szCs w:val="24"/>
    </w:rPr>
  </w:style>
  <w:style w:type="paragraph" w:styleId="19">
    <w:name w:val="List 2"/>
    <w:basedOn w:val="1"/>
    <w:autoRedefine/>
    <w:qFormat/>
    <w:uiPriority w:val="0"/>
    <w:pPr>
      <w:ind w:left="100" w:leftChars="200" w:hanging="200" w:hangingChars="200"/>
    </w:pPr>
    <w:rPr>
      <w:rFonts w:ascii="Times New Roman" w:hAnsi="Times New Roman" w:eastAsia="宋体" w:cs="Times New Roman"/>
      <w:sz w:val="30"/>
    </w:rPr>
  </w:style>
  <w:style w:type="paragraph" w:styleId="20">
    <w:name w:val="List Continue"/>
    <w:basedOn w:val="1"/>
    <w:autoRedefine/>
    <w:qFormat/>
    <w:uiPriority w:val="0"/>
    <w:pPr>
      <w:spacing w:after="120"/>
      <w:ind w:left="420" w:leftChars="200"/>
    </w:pPr>
    <w:rPr>
      <w:rFonts w:ascii="Times New Roman" w:hAnsi="Times New Roman" w:eastAsia="宋体" w:cs="Times New Roman"/>
      <w:sz w:val="30"/>
    </w:rPr>
  </w:style>
  <w:style w:type="paragraph" w:styleId="21">
    <w:name w:val="Block Text"/>
    <w:basedOn w:val="1"/>
    <w:autoRedefine/>
    <w:qFormat/>
    <w:uiPriority w:val="0"/>
    <w:pPr>
      <w:ind w:left="600" w:right="-112" w:rightChars="-112" w:hanging="600" w:hangingChars="200"/>
    </w:pPr>
    <w:rPr>
      <w:rFonts w:ascii="Times New Roman" w:hAnsi="Times New Roman" w:eastAsia="宋体" w:cs="Times New Roman"/>
      <w:sz w:val="30"/>
    </w:rPr>
  </w:style>
  <w:style w:type="paragraph" w:styleId="22">
    <w:name w:val="index 4"/>
    <w:basedOn w:val="1"/>
    <w:next w:val="1"/>
    <w:autoRedefine/>
    <w:qFormat/>
    <w:uiPriority w:val="0"/>
    <w:pPr>
      <w:ind w:left="600" w:leftChars="600"/>
    </w:pPr>
    <w:rPr>
      <w:rFonts w:ascii="Times New Roman" w:hAnsi="Times New Roman" w:eastAsia="宋体" w:cs="Times New Roman"/>
      <w:szCs w:val="24"/>
    </w:rPr>
  </w:style>
  <w:style w:type="paragraph" w:styleId="23">
    <w:name w:val="toc 5"/>
    <w:basedOn w:val="1"/>
    <w:next w:val="1"/>
    <w:autoRedefine/>
    <w:qFormat/>
    <w:uiPriority w:val="0"/>
    <w:pPr>
      <w:ind w:left="840"/>
      <w:jc w:val="left"/>
    </w:pPr>
    <w:rPr>
      <w:rFonts w:ascii="Calibri" w:hAnsi="Calibri" w:eastAsia="宋体" w:cs="Times New Roman"/>
      <w:sz w:val="18"/>
      <w:szCs w:val="18"/>
    </w:rPr>
  </w:style>
  <w:style w:type="paragraph" w:styleId="24">
    <w:name w:val="toc 3"/>
    <w:basedOn w:val="1"/>
    <w:next w:val="1"/>
    <w:autoRedefine/>
    <w:qFormat/>
    <w:uiPriority w:val="0"/>
    <w:pPr>
      <w:ind w:left="420"/>
      <w:jc w:val="left"/>
    </w:pPr>
    <w:rPr>
      <w:rFonts w:ascii="Calibri" w:hAnsi="Calibri" w:eastAsia="宋体" w:cs="Times New Roman"/>
      <w:iCs/>
      <w:sz w:val="20"/>
    </w:rPr>
  </w:style>
  <w:style w:type="paragraph" w:styleId="25">
    <w:name w:val="Plain Text"/>
    <w:basedOn w:val="1"/>
    <w:next w:val="1"/>
    <w:link w:val="82"/>
    <w:autoRedefine/>
    <w:qFormat/>
    <w:uiPriority w:val="0"/>
    <w:rPr>
      <w:rFonts w:ascii="宋体" w:hAnsi="Courier New" w:eastAsia="宋体" w:cs="Times New Roman"/>
      <w:kern w:val="0"/>
      <w:sz w:val="20"/>
      <w:szCs w:val="21"/>
    </w:rPr>
  </w:style>
  <w:style w:type="paragraph" w:styleId="26">
    <w:name w:val="toc 8"/>
    <w:basedOn w:val="1"/>
    <w:next w:val="1"/>
    <w:autoRedefine/>
    <w:qFormat/>
    <w:uiPriority w:val="0"/>
    <w:pPr>
      <w:ind w:left="1470"/>
      <w:jc w:val="left"/>
    </w:pPr>
    <w:rPr>
      <w:rFonts w:ascii="Calibri" w:hAnsi="Calibri" w:eastAsia="宋体" w:cs="Times New Roman"/>
      <w:sz w:val="18"/>
      <w:szCs w:val="18"/>
    </w:rPr>
  </w:style>
  <w:style w:type="paragraph" w:styleId="27">
    <w:name w:val="Date"/>
    <w:basedOn w:val="1"/>
    <w:next w:val="1"/>
    <w:link w:val="83"/>
    <w:autoRedefine/>
    <w:qFormat/>
    <w:uiPriority w:val="0"/>
    <w:rPr>
      <w:rFonts w:ascii="Times New Roman" w:hAnsi="Times New Roman" w:eastAsia="宋体" w:cs="Times New Roman"/>
      <w:kern w:val="0"/>
      <w:sz w:val="24"/>
    </w:rPr>
  </w:style>
  <w:style w:type="paragraph" w:styleId="28">
    <w:name w:val="Body Text Indent 2"/>
    <w:basedOn w:val="1"/>
    <w:link w:val="84"/>
    <w:autoRedefine/>
    <w:qFormat/>
    <w:uiPriority w:val="0"/>
    <w:pPr>
      <w:spacing w:after="120" w:afterLines="0" w:line="480" w:lineRule="auto"/>
      <w:ind w:left="420" w:leftChars="200"/>
    </w:pPr>
    <w:rPr>
      <w:rFonts w:ascii="Times New Roman" w:hAnsi="Times New Roman" w:eastAsia="宋体" w:cs="Times New Roman"/>
      <w:kern w:val="0"/>
      <w:sz w:val="20"/>
      <w:szCs w:val="24"/>
    </w:rPr>
  </w:style>
  <w:style w:type="paragraph" w:styleId="29">
    <w:name w:val="endnote text"/>
    <w:basedOn w:val="1"/>
    <w:link w:val="85"/>
    <w:autoRedefine/>
    <w:qFormat/>
    <w:uiPriority w:val="0"/>
    <w:pPr>
      <w:snapToGrid w:val="0"/>
      <w:jc w:val="left"/>
    </w:pPr>
    <w:rPr>
      <w:rFonts w:ascii="Times New Roman" w:hAnsi="Times New Roman" w:eastAsia="宋体" w:cs="Times New Roman"/>
    </w:rPr>
  </w:style>
  <w:style w:type="paragraph" w:styleId="30">
    <w:name w:val="List Continue 5"/>
    <w:basedOn w:val="1"/>
    <w:autoRedefine/>
    <w:qFormat/>
    <w:uiPriority w:val="0"/>
    <w:pPr>
      <w:spacing w:after="120"/>
      <w:ind w:left="2100" w:leftChars="1000"/>
    </w:pPr>
    <w:rPr>
      <w:rFonts w:ascii="Times New Roman" w:hAnsi="Times New Roman" w:eastAsia="宋体" w:cs="Times New Roman"/>
      <w:sz w:val="30"/>
    </w:rPr>
  </w:style>
  <w:style w:type="paragraph" w:styleId="31">
    <w:name w:val="Balloon Text"/>
    <w:basedOn w:val="1"/>
    <w:link w:val="86"/>
    <w:autoRedefine/>
    <w:qFormat/>
    <w:uiPriority w:val="0"/>
    <w:rPr>
      <w:rFonts w:ascii="Times New Roman" w:hAnsi="Times New Roman" w:eastAsia="宋体" w:cs="Times New Roman"/>
      <w:kern w:val="0"/>
      <w:sz w:val="18"/>
      <w:szCs w:val="18"/>
    </w:rPr>
  </w:style>
  <w:style w:type="paragraph" w:styleId="32">
    <w:name w:val="footer"/>
    <w:basedOn w:val="1"/>
    <w:link w:val="87"/>
    <w:autoRedefine/>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33">
    <w:name w:val="header"/>
    <w:basedOn w:val="1"/>
    <w:link w:val="88"/>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4">
    <w:name w:val="toc 1"/>
    <w:basedOn w:val="1"/>
    <w:next w:val="1"/>
    <w:autoRedefine/>
    <w:qFormat/>
    <w:uiPriority w:val="0"/>
    <w:pPr>
      <w:spacing w:line="400" w:lineRule="exact"/>
      <w:jc w:val="left"/>
    </w:pPr>
    <w:rPr>
      <w:rFonts w:ascii="Calibri" w:hAnsi="Calibri" w:eastAsia="宋体" w:cs="Times New Roman"/>
      <w:b/>
      <w:bCs/>
      <w:caps/>
    </w:rPr>
  </w:style>
  <w:style w:type="paragraph" w:styleId="35">
    <w:name w:val="List Continue 4"/>
    <w:basedOn w:val="1"/>
    <w:autoRedefine/>
    <w:qFormat/>
    <w:uiPriority w:val="0"/>
    <w:pPr>
      <w:spacing w:after="120"/>
      <w:ind w:left="1680" w:leftChars="800"/>
    </w:pPr>
    <w:rPr>
      <w:rFonts w:ascii="Times New Roman" w:hAnsi="Times New Roman" w:eastAsia="宋体" w:cs="Times New Roman"/>
      <w:sz w:val="30"/>
    </w:rPr>
  </w:style>
  <w:style w:type="paragraph" w:styleId="36">
    <w:name w:val="toc 4"/>
    <w:basedOn w:val="1"/>
    <w:next w:val="1"/>
    <w:autoRedefine/>
    <w:qFormat/>
    <w:uiPriority w:val="0"/>
    <w:pPr>
      <w:ind w:left="630"/>
      <w:jc w:val="left"/>
    </w:pPr>
    <w:rPr>
      <w:rFonts w:ascii="Calibri" w:hAnsi="Calibri" w:eastAsia="宋体" w:cs="Times New Roman"/>
      <w:sz w:val="18"/>
      <w:szCs w:val="18"/>
    </w:rPr>
  </w:style>
  <w:style w:type="paragraph" w:styleId="37">
    <w:name w:val="Subtitle"/>
    <w:basedOn w:val="1"/>
    <w:next w:val="1"/>
    <w:link w:val="89"/>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8">
    <w:name w:val="List"/>
    <w:basedOn w:val="1"/>
    <w:autoRedefine/>
    <w:qFormat/>
    <w:uiPriority w:val="0"/>
    <w:pPr>
      <w:autoSpaceDE w:val="0"/>
      <w:autoSpaceDN w:val="0"/>
      <w:adjustRightInd w:val="0"/>
      <w:spacing w:line="400" w:lineRule="exact"/>
      <w:ind w:left="200" w:hanging="200" w:hangingChars="200"/>
      <w:jc w:val="left"/>
    </w:pPr>
    <w:rPr>
      <w:rFonts w:ascii="楷体_GB2312" w:hAnsi="Arial" w:eastAsia="楷体_GB2312" w:cs="Times New Roman"/>
      <w:kern w:val="0"/>
      <w:sz w:val="24"/>
    </w:rPr>
  </w:style>
  <w:style w:type="paragraph" w:styleId="39">
    <w:name w:val="toc 6"/>
    <w:basedOn w:val="1"/>
    <w:next w:val="1"/>
    <w:autoRedefine/>
    <w:qFormat/>
    <w:uiPriority w:val="0"/>
    <w:pPr>
      <w:ind w:left="1050"/>
      <w:jc w:val="left"/>
    </w:pPr>
    <w:rPr>
      <w:rFonts w:ascii="Calibri" w:hAnsi="Calibri" w:eastAsia="宋体" w:cs="Times New Roman"/>
      <w:sz w:val="18"/>
      <w:szCs w:val="18"/>
    </w:rPr>
  </w:style>
  <w:style w:type="paragraph" w:styleId="40">
    <w:name w:val="List 5"/>
    <w:basedOn w:val="1"/>
    <w:autoRedefine/>
    <w:qFormat/>
    <w:uiPriority w:val="0"/>
    <w:pPr>
      <w:ind w:left="100" w:leftChars="800" w:hanging="200" w:hangingChars="200"/>
    </w:pPr>
    <w:rPr>
      <w:rFonts w:ascii="Times New Roman" w:hAnsi="Times New Roman" w:eastAsia="宋体" w:cs="Times New Roman"/>
      <w:sz w:val="30"/>
    </w:rPr>
  </w:style>
  <w:style w:type="paragraph" w:styleId="41">
    <w:name w:val="Body Text Indent 3"/>
    <w:basedOn w:val="1"/>
    <w:link w:val="90"/>
    <w:autoRedefine/>
    <w:qFormat/>
    <w:uiPriority w:val="0"/>
    <w:pPr>
      <w:spacing w:after="120" w:afterLines="0"/>
      <w:ind w:left="420" w:leftChars="200"/>
    </w:pPr>
    <w:rPr>
      <w:rFonts w:ascii="Times New Roman" w:hAnsi="Times New Roman" w:eastAsia="宋体" w:cs="Times New Roman"/>
      <w:kern w:val="0"/>
      <w:sz w:val="16"/>
      <w:szCs w:val="16"/>
    </w:rPr>
  </w:style>
  <w:style w:type="paragraph" w:styleId="42">
    <w:name w:val="toc 2"/>
    <w:basedOn w:val="1"/>
    <w:next w:val="1"/>
    <w:autoRedefine/>
    <w:qFormat/>
    <w:uiPriority w:val="0"/>
    <w:pPr>
      <w:spacing w:line="400" w:lineRule="exact"/>
      <w:ind w:firstLine="100" w:firstLineChars="100"/>
      <w:jc w:val="left"/>
    </w:pPr>
    <w:rPr>
      <w:rFonts w:ascii="Calibri" w:hAnsi="Calibri" w:eastAsia="宋体" w:cs="Times New Roman"/>
      <w:smallCaps/>
    </w:rPr>
  </w:style>
  <w:style w:type="paragraph" w:styleId="43">
    <w:name w:val="toc 9"/>
    <w:basedOn w:val="1"/>
    <w:next w:val="1"/>
    <w:autoRedefine/>
    <w:qFormat/>
    <w:uiPriority w:val="0"/>
    <w:pPr>
      <w:ind w:left="1680"/>
      <w:jc w:val="left"/>
    </w:pPr>
    <w:rPr>
      <w:rFonts w:ascii="Calibri" w:hAnsi="Calibri" w:eastAsia="宋体" w:cs="Times New Roman"/>
      <w:sz w:val="18"/>
      <w:szCs w:val="18"/>
    </w:rPr>
  </w:style>
  <w:style w:type="paragraph" w:styleId="44">
    <w:name w:val="Body Text 2"/>
    <w:basedOn w:val="1"/>
    <w:link w:val="91"/>
    <w:autoRedefine/>
    <w:qFormat/>
    <w:uiPriority w:val="0"/>
    <w:pPr>
      <w:spacing w:after="120" w:afterLines="0" w:line="480" w:lineRule="auto"/>
    </w:pPr>
    <w:rPr>
      <w:rFonts w:ascii="Times New Roman" w:hAnsi="Times New Roman" w:eastAsia="宋体" w:cs="Times New Roman"/>
      <w:kern w:val="0"/>
      <w:sz w:val="20"/>
      <w:szCs w:val="24"/>
    </w:rPr>
  </w:style>
  <w:style w:type="paragraph" w:styleId="45">
    <w:name w:val="List 4"/>
    <w:basedOn w:val="1"/>
    <w:autoRedefine/>
    <w:qFormat/>
    <w:uiPriority w:val="0"/>
    <w:pPr>
      <w:ind w:left="100" w:leftChars="600" w:hanging="200" w:hangingChars="200"/>
    </w:pPr>
    <w:rPr>
      <w:rFonts w:ascii="Times New Roman" w:hAnsi="Times New Roman" w:eastAsia="宋体" w:cs="Times New Roman"/>
      <w:sz w:val="30"/>
    </w:rPr>
  </w:style>
  <w:style w:type="paragraph" w:styleId="46">
    <w:name w:val="List Continue 2"/>
    <w:basedOn w:val="1"/>
    <w:autoRedefine/>
    <w:qFormat/>
    <w:uiPriority w:val="0"/>
    <w:pPr>
      <w:spacing w:after="120"/>
      <w:ind w:left="840" w:leftChars="400"/>
    </w:pPr>
    <w:rPr>
      <w:rFonts w:ascii="Times New Roman" w:hAnsi="Times New Roman" w:eastAsia="宋体" w:cs="Times New Roman"/>
      <w:sz w:val="30"/>
    </w:rPr>
  </w:style>
  <w:style w:type="paragraph" w:styleId="47">
    <w:name w:val="Normal (Web)"/>
    <w:basedOn w:val="1"/>
    <w:autoRedefine/>
    <w:qFormat/>
    <w:uiPriority w:val="0"/>
    <w:pPr>
      <w:widowControl/>
      <w:spacing w:before="100" w:beforeLines="0" w:beforeAutospacing="1" w:after="100" w:afterLines="0" w:afterAutospacing="1"/>
      <w:jc w:val="left"/>
    </w:pPr>
    <w:rPr>
      <w:rFonts w:ascii="Times New Roman" w:hAnsi="Times New Roman" w:eastAsia="宋体" w:cs="Times New Roman"/>
      <w:kern w:val="0"/>
      <w:sz w:val="24"/>
      <w:szCs w:val="24"/>
    </w:rPr>
  </w:style>
  <w:style w:type="paragraph" w:styleId="48">
    <w:name w:val="List Continue 3"/>
    <w:basedOn w:val="1"/>
    <w:autoRedefine/>
    <w:qFormat/>
    <w:uiPriority w:val="0"/>
    <w:pPr>
      <w:spacing w:after="120"/>
      <w:ind w:left="1260" w:leftChars="600"/>
    </w:pPr>
    <w:rPr>
      <w:rFonts w:ascii="Times New Roman" w:hAnsi="Times New Roman" w:eastAsia="宋体" w:cs="Times New Roman"/>
      <w:sz w:val="30"/>
    </w:rPr>
  </w:style>
  <w:style w:type="paragraph" w:styleId="49">
    <w:name w:val="index 1"/>
    <w:basedOn w:val="1"/>
    <w:next w:val="1"/>
    <w:autoRedefine/>
    <w:qFormat/>
    <w:uiPriority w:val="0"/>
    <w:pPr>
      <w:spacing w:line="220" w:lineRule="exact"/>
      <w:jc w:val="center"/>
    </w:pPr>
    <w:rPr>
      <w:rFonts w:ascii="仿宋_GB2312" w:hAnsi="Times New Roman" w:eastAsia="仿宋_GB2312" w:cs="Times New Roman"/>
      <w:szCs w:val="21"/>
    </w:rPr>
  </w:style>
  <w:style w:type="paragraph" w:styleId="50">
    <w:name w:val="Title"/>
    <w:basedOn w:val="1"/>
    <w:next w:val="1"/>
    <w:link w:val="92"/>
    <w:autoRedefine/>
    <w:qFormat/>
    <w:uiPriority w:val="0"/>
    <w:pPr>
      <w:adjustRightInd w:val="0"/>
      <w:spacing w:line="360" w:lineRule="auto"/>
      <w:jc w:val="left"/>
      <w:textAlignment w:val="baseline"/>
      <w:outlineLvl w:val="0"/>
    </w:pPr>
    <w:rPr>
      <w:rFonts w:ascii="Arial" w:hAnsi="Arial" w:eastAsia="宋体" w:cs="Times New Roman"/>
      <w:b/>
      <w:kern w:val="0"/>
      <w:sz w:val="30"/>
    </w:rPr>
  </w:style>
  <w:style w:type="paragraph" w:styleId="51">
    <w:name w:val="annotation subject"/>
    <w:basedOn w:val="15"/>
    <w:next w:val="15"/>
    <w:link w:val="93"/>
    <w:autoRedefine/>
    <w:qFormat/>
    <w:uiPriority w:val="0"/>
    <w:rPr>
      <w:rFonts w:ascii="Times New Roman" w:hAnsi="Times New Roman" w:eastAsia="宋体" w:cs="Times New Roman"/>
      <w:b/>
      <w:bCs/>
      <w:szCs w:val="24"/>
    </w:rPr>
  </w:style>
  <w:style w:type="paragraph" w:styleId="52">
    <w:name w:val="Body Text First Indent"/>
    <w:basedOn w:val="17"/>
    <w:link w:val="94"/>
    <w:autoRedefine/>
    <w:qFormat/>
    <w:uiPriority w:val="0"/>
    <w:pPr>
      <w:ind w:firstLine="420" w:firstLineChars="100"/>
    </w:pPr>
    <w:rPr>
      <w:rFonts w:ascii="Times New Roman" w:hAnsi="Times New Roman" w:eastAsia="宋体" w:cs="Times New Roman"/>
    </w:rPr>
  </w:style>
  <w:style w:type="paragraph" w:styleId="53">
    <w:name w:val="Body Text First Indent 2"/>
    <w:basedOn w:val="18"/>
    <w:link w:val="95"/>
    <w:autoRedefine/>
    <w:qFormat/>
    <w:uiPriority w:val="0"/>
    <w:pPr>
      <w:ind w:firstLine="420" w:firstLineChars="200"/>
    </w:pPr>
    <w:rPr>
      <w:rFonts w:ascii="Times New Roman" w:hAnsi="Times New Roman" w:eastAsia="宋体" w:cs="Times New Roman"/>
    </w:rPr>
  </w:style>
  <w:style w:type="table" w:styleId="55">
    <w:name w:val="Table Grid"/>
    <w:basedOn w:val="54"/>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autoRedefine/>
    <w:qFormat/>
    <w:uiPriority w:val="0"/>
    <w:rPr>
      <w:rFonts w:ascii="Times New Roman" w:hAnsi="Times New Roman" w:eastAsia="宋体" w:cs="Times New Roman"/>
      <w:b/>
      <w:bCs/>
    </w:rPr>
  </w:style>
  <w:style w:type="character" w:styleId="58">
    <w:name w:val="endnote reference"/>
    <w:autoRedefine/>
    <w:qFormat/>
    <w:uiPriority w:val="0"/>
    <w:rPr>
      <w:rFonts w:ascii="Times New Roman" w:hAnsi="Times New Roman" w:eastAsia="宋体" w:cs="Times New Roman"/>
      <w:vertAlign w:val="superscript"/>
    </w:rPr>
  </w:style>
  <w:style w:type="character" w:styleId="59">
    <w:name w:val="page number"/>
    <w:autoRedefine/>
    <w:qFormat/>
    <w:uiPriority w:val="0"/>
    <w:rPr>
      <w:rFonts w:ascii="Times New Roman" w:hAnsi="Times New Roman" w:eastAsia="宋体" w:cs="Times New Roman"/>
    </w:rPr>
  </w:style>
  <w:style w:type="character" w:styleId="60">
    <w:name w:val="FollowedHyperlink"/>
    <w:autoRedefine/>
    <w:qFormat/>
    <w:uiPriority w:val="0"/>
    <w:rPr>
      <w:rFonts w:ascii="Times New Roman" w:hAnsi="Times New Roman" w:eastAsia="宋体" w:cs="Times New Roman"/>
      <w:color w:val="800080"/>
      <w:u w:val="single"/>
    </w:rPr>
  </w:style>
  <w:style w:type="character" w:styleId="61">
    <w:name w:val="Emphasis"/>
    <w:autoRedefine/>
    <w:qFormat/>
    <w:uiPriority w:val="0"/>
    <w:rPr>
      <w:rFonts w:ascii="Times New Roman" w:hAnsi="Times New Roman" w:eastAsia="宋体" w:cs="Times New Roman"/>
      <w:color w:val="CC0000"/>
    </w:rPr>
  </w:style>
  <w:style w:type="character" w:styleId="62">
    <w:name w:val="Hyperlink"/>
    <w:autoRedefine/>
    <w:qFormat/>
    <w:uiPriority w:val="0"/>
    <w:rPr>
      <w:rFonts w:ascii="Times New Roman" w:hAnsi="Times New Roman" w:eastAsia="宋体" w:cs="Times New Roman"/>
      <w:color w:val="0000FF"/>
      <w:u w:val="single"/>
    </w:rPr>
  </w:style>
  <w:style w:type="character" w:styleId="63">
    <w:name w:val="HTML Code"/>
    <w:autoRedefine/>
    <w:qFormat/>
    <w:uiPriority w:val="0"/>
    <w:rPr>
      <w:rFonts w:ascii="Courier New" w:hAnsi="Courier New" w:eastAsia="宋体" w:cs="Times New Roman"/>
      <w:sz w:val="20"/>
    </w:rPr>
  </w:style>
  <w:style w:type="character" w:styleId="64">
    <w:name w:val="annotation reference"/>
    <w:autoRedefine/>
    <w:qFormat/>
    <w:uiPriority w:val="0"/>
    <w:rPr>
      <w:rFonts w:ascii="Times New Roman" w:hAnsi="Times New Roman" w:eastAsia="宋体" w:cs="Times New Roman"/>
      <w:sz w:val="21"/>
      <w:szCs w:val="21"/>
    </w:rPr>
  </w:style>
  <w:style w:type="character" w:styleId="65">
    <w:name w:val="HTML Cite"/>
    <w:autoRedefine/>
    <w:qFormat/>
    <w:uiPriority w:val="0"/>
    <w:rPr>
      <w:rFonts w:ascii="Times New Roman" w:hAnsi="Times New Roman" w:eastAsia="宋体" w:cs="Times New Roman"/>
      <w:color w:val="008000"/>
    </w:rPr>
  </w:style>
  <w:style w:type="paragraph" w:customStyle="1" w:styleId="66">
    <w:name w:val="表格文字"/>
    <w:basedOn w:val="1"/>
    <w:next w:val="1"/>
    <w:autoRedefine/>
    <w:qFormat/>
    <w:uiPriority w:val="0"/>
    <w:pPr>
      <w:adjustRightInd w:val="0"/>
      <w:spacing w:line="420" w:lineRule="atLeast"/>
      <w:jc w:val="left"/>
      <w:textAlignment w:val="baseline"/>
    </w:pPr>
    <w:rPr>
      <w:rFonts w:ascii="Times New Roman" w:hAnsi="Times New Roman" w:eastAsia="宋体" w:cs="Times New Roman"/>
      <w:kern w:val="0"/>
    </w:rPr>
  </w:style>
  <w:style w:type="character" w:customStyle="1" w:styleId="67">
    <w:name w:val="正文缩进 Char"/>
    <w:link w:val="13"/>
    <w:autoRedefine/>
    <w:qFormat/>
    <w:uiPriority w:val="0"/>
    <w:rPr>
      <w:rFonts w:ascii="Times New Roman" w:hAnsi="Times New Roman" w:eastAsia="宋体" w:cs="Times New Roman"/>
      <w:kern w:val="2"/>
      <w:sz w:val="21"/>
      <w:szCs w:val="24"/>
    </w:rPr>
  </w:style>
  <w:style w:type="character" w:customStyle="1" w:styleId="68">
    <w:name w:val="标题 1 Char"/>
    <w:link w:val="2"/>
    <w:autoRedefine/>
    <w:qFormat/>
    <w:uiPriority w:val="0"/>
    <w:rPr>
      <w:rFonts w:ascii="Times New Roman" w:hAnsi="Times New Roman" w:eastAsia="宋体" w:cs="Times New Roman"/>
      <w:b/>
      <w:bCs/>
      <w:kern w:val="44"/>
      <w:sz w:val="30"/>
      <w:szCs w:val="44"/>
    </w:rPr>
  </w:style>
  <w:style w:type="character" w:customStyle="1" w:styleId="69">
    <w:name w:val="标题 2 Char"/>
    <w:link w:val="3"/>
    <w:autoRedefine/>
    <w:qFormat/>
    <w:uiPriority w:val="0"/>
    <w:rPr>
      <w:rFonts w:ascii="Arial" w:hAnsi="Arial" w:eastAsia="宋体" w:cs="Times New Roman"/>
      <w:b/>
      <w:bCs/>
      <w:kern w:val="2"/>
      <w:sz w:val="24"/>
      <w:szCs w:val="32"/>
    </w:rPr>
  </w:style>
  <w:style w:type="character" w:customStyle="1" w:styleId="70">
    <w:name w:val="标题 3 Char"/>
    <w:link w:val="4"/>
    <w:autoRedefine/>
    <w:qFormat/>
    <w:uiPriority w:val="0"/>
    <w:rPr>
      <w:rFonts w:ascii="Times New Roman" w:hAnsi="Times New Roman" w:eastAsia="宋体" w:cs="Times New Roman"/>
      <w:b/>
      <w:bCs/>
      <w:kern w:val="2"/>
      <w:sz w:val="24"/>
      <w:szCs w:val="32"/>
    </w:rPr>
  </w:style>
  <w:style w:type="character" w:customStyle="1" w:styleId="71">
    <w:name w:val="标题 4 Char"/>
    <w:link w:val="5"/>
    <w:autoRedefine/>
    <w:qFormat/>
    <w:uiPriority w:val="0"/>
    <w:rPr>
      <w:rFonts w:ascii="Arial" w:hAnsi="Arial" w:eastAsia="宋体" w:cs="Times New Roman"/>
      <w:b/>
      <w:bCs/>
      <w:kern w:val="2"/>
      <w:sz w:val="21"/>
      <w:szCs w:val="28"/>
    </w:rPr>
  </w:style>
  <w:style w:type="character" w:customStyle="1" w:styleId="72">
    <w:name w:val="标题 5 Char"/>
    <w:link w:val="6"/>
    <w:autoRedefine/>
    <w:qFormat/>
    <w:uiPriority w:val="0"/>
    <w:rPr>
      <w:rFonts w:ascii="Times New Roman" w:hAnsi="Times New Roman" w:eastAsia="宋体" w:cs="Times New Roman"/>
      <w:b/>
      <w:bCs/>
      <w:sz w:val="28"/>
      <w:szCs w:val="28"/>
    </w:rPr>
  </w:style>
  <w:style w:type="character" w:customStyle="1" w:styleId="73">
    <w:name w:val="标题 6 Char"/>
    <w:link w:val="7"/>
    <w:autoRedefine/>
    <w:qFormat/>
    <w:uiPriority w:val="0"/>
    <w:rPr>
      <w:rFonts w:ascii="Arial" w:hAnsi="Arial" w:eastAsia="黑体" w:cs="Times New Roman"/>
      <w:b/>
      <w:bCs/>
      <w:kern w:val="0"/>
      <w:sz w:val="24"/>
      <w:szCs w:val="24"/>
    </w:rPr>
  </w:style>
  <w:style w:type="character" w:customStyle="1" w:styleId="74">
    <w:name w:val="标题 7 Char"/>
    <w:link w:val="8"/>
    <w:autoRedefine/>
    <w:qFormat/>
    <w:uiPriority w:val="0"/>
    <w:rPr>
      <w:rFonts w:ascii="Times New Roman" w:hAnsi="Times New Roman" w:eastAsia="宋体" w:cs="Times New Roman"/>
      <w:b/>
      <w:bCs/>
      <w:kern w:val="0"/>
      <w:sz w:val="24"/>
      <w:szCs w:val="24"/>
    </w:rPr>
  </w:style>
  <w:style w:type="character" w:customStyle="1" w:styleId="75">
    <w:name w:val="标题 8 Char"/>
    <w:link w:val="9"/>
    <w:autoRedefine/>
    <w:qFormat/>
    <w:uiPriority w:val="0"/>
    <w:rPr>
      <w:rFonts w:ascii="Arial" w:hAnsi="Arial" w:eastAsia="黑体" w:cs="Times New Roman"/>
      <w:kern w:val="0"/>
      <w:sz w:val="24"/>
      <w:szCs w:val="24"/>
    </w:rPr>
  </w:style>
  <w:style w:type="character" w:customStyle="1" w:styleId="76">
    <w:name w:val="标题 9 Char"/>
    <w:link w:val="10"/>
    <w:autoRedefine/>
    <w:qFormat/>
    <w:uiPriority w:val="0"/>
    <w:rPr>
      <w:rFonts w:ascii="Arial" w:hAnsi="Arial" w:eastAsia="黑体" w:cs="Times New Roman"/>
      <w:kern w:val="0"/>
      <w:szCs w:val="21"/>
    </w:rPr>
  </w:style>
  <w:style w:type="character" w:customStyle="1" w:styleId="77">
    <w:name w:val="文档结构图 Char"/>
    <w:link w:val="14"/>
    <w:autoRedefine/>
    <w:qFormat/>
    <w:uiPriority w:val="0"/>
    <w:rPr>
      <w:rFonts w:ascii="Times New Roman" w:hAnsi="Times New Roman" w:eastAsia="宋体" w:cs="Times New Roman"/>
      <w:szCs w:val="24"/>
      <w:shd w:val="clear" w:color="auto" w:fill="000080"/>
    </w:rPr>
  </w:style>
  <w:style w:type="character" w:customStyle="1" w:styleId="78">
    <w:name w:val="批注文字 Char"/>
    <w:link w:val="15"/>
    <w:autoRedefine/>
    <w:qFormat/>
    <w:uiPriority w:val="0"/>
    <w:rPr>
      <w:rFonts w:ascii="Times New Roman" w:hAnsi="Times New Roman" w:eastAsia="宋体" w:cs="Times New Roman"/>
      <w:szCs w:val="20"/>
    </w:rPr>
  </w:style>
  <w:style w:type="character" w:customStyle="1" w:styleId="79">
    <w:name w:val="正文文本 3 Char"/>
    <w:link w:val="16"/>
    <w:autoRedefine/>
    <w:qFormat/>
    <w:uiPriority w:val="0"/>
    <w:rPr>
      <w:rFonts w:ascii="宋体" w:hAnsi="Times New Roman" w:eastAsia="宋体" w:cs="Times New Roman"/>
      <w:sz w:val="24"/>
      <w:szCs w:val="20"/>
    </w:rPr>
  </w:style>
  <w:style w:type="character" w:customStyle="1" w:styleId="80">
    <w:name w:val="正文文本 Char"/>
    <w:link w:val="17"/>
    <w:autoRedefine/>
    <w:qFormat/>
    <w:uiPriority w:val="0"/>
    <w:rPr>
      <w:rFonts w:ascii="Times New Roman" w:hAnsi="Times New Roman" w:eastAsia="宋体" w:cs="Times New Roman"/>
      <w:szCs w:val="24"/>
    </w:rPr>
  </w:style>
  <w:style w:type="character" w:customStyle="1" w:styleId="81">
    <w:name w:val="正文文本缩进 Char"/>
    <w:link w:val="18"/>
    <w:autoRedefine/>
    <w:qFormat/>
    <w:uiPriority w:val="0"/>
    <w:rPr>
      <w:rFonts w:ascii="Times New Roman" w:hAnsi="Times New Roman" w:eastAsia="宋体" w:cs="Times New Roman"/>
      <w:szCs w:val="24"/>
    </w:rPr>
  </w:style>
  <w:style w:type="character" w:customStyle="1" w:styleId="82">
    <w:name w:val="纯文本 Char"/>
    <w:link w:val="25"/>
    <w:autoRedefine/>
    <w:qFormat/>
    <w:uiPriority w:val="0"/>
    <w:rPr>
      <w:rFonts w:ascii="宋体" w:hAnsi="Courier New" w:eastAsia="宋体" w:cs="Courier New"/>
      <w:szCs w:val="21"/>
    </w:rPr>
  </w:style>
  <w:style w:type="character" w:customStyle="1" w:styleId="83">
    <w:name w:val="日期 Char"/>
    <w:link w:val="27"/>
    <w:autoRedefine/>
    <w:qFormat/>
    <w:uiPriority w:val="0"/>
    <w:rPr>
      <w:rFonts w:ascii="Times New Roman" w:hAnsi="Times New Roman" w:eastAsia="宋体" w:cs="Times New Roman"/>
      <w:sz w:val="24"/>
      <w:szCs w:val="20"/>
    </w:rPr>
  </w:style>
  <w:style w:type="character" w:customStyle="1" w:styleId="84">
    <w:name w:val="正文文本缩进 2 Char"/>
    <w:link w:val="28"/>
    <w:autoRedefine/>
    <w:qFormat/>
    <w:uiPriority w:val="0"/>
    <w:rPr>
      <w:rFonts w:ascii="Times New Roman" w:hAnsi="Times New Roman" w:eastAsia="宋体" w:cs="Times New Roman"/>
      <w:szCs w:val="24"/>
    </w:rPr>
  </w:style>
  <w:style w:type="character" w:customStyle="1" w:styleId="85">
    <w:name w:val="尾注文本 Char"/>
    <w:link w:val="29"/>
    <w:autoRedefine/>
    <w:qFormat/>
    <w:uiPriority w:val="0"/>
    <w:rPr>
      <w:rFonts w:ascii="Times New Roman" w:hAnsi="Times New Roman" w:eastAsia="宋体" w:cs="Times New Roman"/>
      <w:kern w:val="2"/>
      <w:sz w:val="21"/>
    </w:rPr>
  </w:style>
  <w:style w:type="character" w:customStyle="1" w:styleId="86">
    <w:name w:val="批注框文本 Char"/>
    <w:link w:val="31"/>
    <w:autoRedefine/>
    <w:qFormat/>
    <w:uiPriority w:val="0"/>
    <w:rPr>
      <w:rFonts w:ascii="Times New Roman" w:hAnsi="Times New Roman" w:eastAsia="宋体" w:cs="Times New Roman"/>
      <w:sz w:val="18"/>
      <w:szCs w:val="18"/>
    </w:rPr>
  </w:style>
  <w:style w:type="character" w:customStyle="1" w:styleId="87">
    <w:name w:val="页脚 Char"/>
    <w:link w:val="32"/>
    <w:autoRedefine/>
    <w:qFormat/>
    <w:uiPriority w:val="0"/>
    <w:rPr>
      <w:rFonts w:ascii="Times New Roman" w:hAnsi="Times New Roman" w:eastAsia="宋体" w:cs="Times New Roman"/>
      <w:sz w:val="18"/>
      <w:szCs w:val="18"/>
    </w:rPr>
  </w:style>
  <w:style w:type="character" w:customStyle="1" w:styleId="88">
    <w:name w:val="页眉 Char"/>
    <w:link w:val="33"/>
    <w:autoRedefine/>
    <w:qFormat/>
    <w:uiPriority w:val="0"/>
    <w:rPr>
      <w:rFonts w:ascii="Times New Roman" w:hAnsi="Times New Roman" w:eastAsia="宋体" w:cs="Times New Roman"/>
      <w:sz w:val="18"/>
      <w:szCs w:val="18"/>
    </w:rPr>
  </w:style>
  <w:style w:type="character" w:customStyle="1" w:styleId="89">
    <w:name w:val="副标题 Char1"/>
    <w:link w:val="37"/>
    <w:autoRedefine/>
    <w:qFormat/>
    <w:uiPriority w:val="0"/>
    <w:rPr>
      <w:rFonts w:ascii="Cambria" w:hAnsi="Cambria" w:eastAsia="宋体" w:cs="Times New Roman"/>
      <w:b/>
      <w:bCs/>
      <w:kern w:val="28"/>
      <w:sz w:val="32"/>
      <w:szCs w:val="32"/>
    </w:rPr>
  </w:style>
  <w:style w:type="character" w:customStyle="1" w:styleId="90">
    <w:name w:val="正文文本缩进 3 Char"/>
    <w:link w:val="41"/>
    <w:autoRedefine/>
    <w:qFormat/>
    <w:uiPriority w:val="0"/>
    <w:rPr>
      <w:rFonts w:ascii="Times New Roman" w:hAnsi="Times New Roman" w:eastAsia="宋体" w:cs="Times New Roman"/>
      <w:sz w:val="16"/>
      <w:szCs w:val="16"/>
    </w:rPr>
  </w:style>
  <w:style w:type="character" w:customStyle="1" w:styleId="91">
    <w:name w:val="正文文本 2 Char"/>
    <w:link w:val="44"/>
    <w:autoRedefine/>
    <w:qFormat/>
    <w:uiPriority w:val="0"/>
    <w:rPr>
      <w:rFonts w:ascii="Times New Roman" w:hAnsi="Times New Roman" w:eastAsia="宋体" w:cs="Times New Roman"/>
      <w:szCs w:val="24"/>
    </w:rPr>
  </w:style>
  <w:style w:type="character" w:customStyle="1" w:styleId="92">
    <w:name w:val="标题 Char"/>
    <w:link w:val="50"/>
    <w:autoRedefine/>
    <w:qFormat/>
    <w:uiPriority w:val="0"/>
    <w:rPr>
      <w:rFonts w:ascii="Arial" w:hAnsi="Arial" w:eastAsia="宋体" w:cs="Times New Roman"/>
      <w:b/>
      <w:sz w:val="30"/>
    </w:rPr>
  </w:style>
  <w:style w:type="character" w:customStyle="1" w:styleId="93">
    <w:name w:val="批注主题 Char"/>
    <w:link w:val="51"/>
    <w:autoRedefine/>
    <w:qFormat/>
    <w:uiPriority w:val="0"/>
    <w:rPr>
      <w:rFonts w:ascii="Times New Roman" w:hAnsi="Times New Roman" w:eastAsia="宋体" w:cs="Times New Roman"/>
      <w:b/>
      <w:bCs/>
      <w:szCs w:val="24"/>
    </w:rPr>
  </w:style>
  <w:style w:type="character" w:customStyle="1" w:styleId="94">
    <w:name w:val="正文首行缩进 Char"/>
    <w:link w:val="52"/>
    <w:autoRedefine/>
    <w:qFormat/>
    <w:uiPriority w:val="0"/>
    <w:rPr>
      <w:rFonts w:ascii="Times New Roman" w:hAnsi="Times New Roman" w:eastAsia="宋体" w:cs="Times New Roman"/>
    </w:rPr>
  </w:style>
  <w:style w:type="character" w:customStyle="1" w:styleId="95">
    <w:name w:val="正文首行缩进 2 Char"/>
    <w:link w:val="53"/>
    <w:autoRedefine/>
    <w:qFormat/>
    <w:uiPriority w:val="0"/>
    <w:rPr>
      <w:rFonts w:ascii="Times New Roman" w:hAnsi="Times New Roman" w:eastAsia="宋体" w:cs="Times New Roman"/>
    </w:rPr>
  </w:style>
  <w:style w:type="paragraph" w:customStyle="1" w:styleId="96">
    <w:name w:val="_Style 94"/>
    <w:basedOn w:val="2"/>
    <w:next w:val="1"/>
    <w:autoRedefine/>
    <w:qFormat/>
    <w:uiPriority w:val="0"/>
    <w:pPr>
      <w:outlineLvl w:val="9"/>
    </w:pPr>
    <w:rPr>
      <w:rFonts w:ascii="Times New Roman" w:hAnsi="Times New Roman" w:eastAsia="宋体" w:cs="Times New Roman"/>
    </w:rPr>
  </w:style>
  <w:style w:type="character" w:customStyle="1" w:styleId="97">
    <w:name w:val="t_tag"/>
    <w:autoRedefine/>
    <w:qFormat/>
    <w:uiPriority w:val="0"/>
    <w:rPr>
      <w:rFonts w:ascii="Times New Roman" w:hAnsi="Times New Roman" w:eastAsia="宋体" w:cs="Times New Roman"/>
    </w:rPr>
  </w:style>
  <w:style w:type="character" w:customStyle="1" w:styleId="98">
    <w:name w:val="textlabel"/>
    <w:autoRedefine/>
    <w:qFormat/>
    <w:uiPriority w:val="0"/>
    <w:rPr>
      <w:rFonts w:ascii="Times New Roman" w:hAnsi="Times New Roman" w:eastAsia="宋体" w:cs="Times New Roman"/>
      <w:sz w:val="28"/>
      <w:szCs w:val="20"/>
    </w:rPr>
  </w:style>
  <w:style w:type="character" w:customStyle="1" w:styleId="99">
    <w:name w:val="_Style 97"/>
    <w:autoRedefine/>
    <w:qFormat/>
    <w:uiPriority w:val="0"/>
    <w:rPr>
      <w:rFonts w:ascii="Times New Roman" w:hAnsi="Times New Roman" w:eastAsia="宋体" w:cs="Times New Roman"/>
      <w:b/>
      <w:bCs/>
      <w:smallCaps/>
      <w:spacing w:val="5"/>
    </w:rPr>
  </w:style>
  <w:style w:type="character" w:customStyle="1" w:styleId="100">
    <w:name w:val="明显引用 Char"/>
    <w:autoRedefine/>
    <w:qFormat/>
    <w:uiPriority w:val="0"/>
    <w:rPr>
      <w:rFonts w:ascii="Times New Roman" w:hAnsi="Times New Roman" w:eastAsia="宋体" w:cs="Times New Roman"/>
      <w:b/>
      <w:bCs/>
      <w:i/>
      <w:iCs/>
      <w:color w:val="4F81BD"/>
      <w:kern w:val="2"/>
      <w:sz w:val="21"/>
    </w:rPr>
  </w:style>
  <w:style w:type="character" w:customStyle="1" w:styleId="101">
    <w:name w:val="apple-converted-space"/>
    <w:autoRedefine/>
    <w:qFormat/>
    <w:uiPriority w:val="0"/>
    <w:rPr>
      <w:rFonts w:ascii="Times New Roman" w:hAnsi="Times New Roman" w:eastAsia="宋体" w:cs="Times New Roman"/>
    </w:rPr>
  </w:style>
  <w:style w:type="character" w:customStyle="1" w:styleId="102">
    <w:name w:val="Balloon Text Char1"/>
    <w:autoRedefine/>
    <w:qFormat/>
    <w:uiPriority w:val="0"/>
    <w:rPr>
      <w:rFonts w:ascii="Times New Roman" w:hAnsi="Times New Roman" w:eastAsia="宋体" w:cs="Times New Roman"/>
      <w:sz w:val="16"/>
      <w:szCs w:val="0"/>
    </w:rPr>
  </w:style>
  <w:style w:type="character" w:customStyle="1" w:styleId="103">
    <w:name w:val="Title Header2 Char"/>
    <w:autoRedefine/>
    <w:qFormat/>
    <w:uiPriority w:val="0"/>
    <w:rPr>
      <w:rFonts w:ascii="Arial" w:hAnsi="Arial" w:eastAsia="黑体" w:cs="Times New Roman"/>
      <w:b/>
      <w:bCs/>
      <w:kern w:val="2"/>
      <w:sz w:val="32"/>
      <w:szCs w:val="32"/>
      <w:lang w:val="en-US" w:eastAsia="zh-CN" w:bidi="ar-SA"/>
    </w:rPr>
  </w:style>
  <w:style w:type="character" w:customStyle="1" w:styleId="104">
    <w:name w:val="正文文本缩进 3 Char1"/>
    <w:autoRedefine/>
    <w:qFormat/>
    <w:uiPriority w:val="0"/>
    <w:rPr>
      <w:rFonts w:ascii="Times New Roman" w:hAnsi="Times New Roman" w:eastAsia="宋体" w:cs="Times New Roman"/>
      <w:sz w:val="16"/>
      <w:szCs w:val="16"/>
    </w:rPr>
  </w:style>
  <w:style w:type="character" w:customStyle="1" w:styleId="105">
    <w:name w:val="Body Text Indent 2 Char1"/>
    <w:autoRedefine/>
    <w:qFormat/>
    <w:uiPriority w:val="0"/>
    <w:rPr>
      <w:rFonts w:ascii="Times New Roman" w:hAnsi="Times New Roman" w:eastAsia="宋体" w:cs="Times New Roman"/>
      <w:szCs w:val="21"/>
    </w:rPr>
  </w:style>
  <w:style w:type="character" w:customStyle="1" w:styleId="106">
    <w:name w:val="Balloon Text Char"/>
    <w:autoRedefine/>
    <w:qFormat/>
    <w:uiPriority w:val="0"/>
    <w:rPr>
      <w:rFonts w:ascii="Times New Roman" w:hAnsi="Times New Roman" w:eastAsia="宋体" w:cs="Times New Roman"/>
      <w:sz w:val="2"/>
    </w:rPr>
  </w:style>
  <w:style w:type="character" w:customStyle="1" w:styleId="107">
    <w:name w:val="Char Char15"/>
    <w:autoRedefine/>
    <w:qFormat/>
    <w:uiPriority w:val="0"/>
    <w:rPr>
      <w:rFonts w:ascii="Cambria" w:hAnsi="Cambria" w:eastAsia="宋体" w:cs="Times New Roman"/>
      <w:b/>
      <w:kern w:val="2"/>
      <w:sz w:val="28"/>
    </w:rPr>
  </w:style>
  <w:style w:type="character" w:customStyle="1" w:styleId="108">
    <w:name w:val="批注引用1"/>
    <w:autoRedefine/>
    <w:qFormat/>
    <w:uiPriority w:val="0"/>
    <w:rPr>
      <w:rFonts w:ascii="Times New Roman" w:hAnsi="Times New Roman" w:eastAsia="宋体" w:cs="Times New Roman"/>
      <w:sz w:val="21"/>
    </w:rPr>
  </w:style>
  <w:style w:type="character" w:customStyle="1" w:styleId="109">
    <w:name w:val="引用 Char"/>
    <w:autoRedefine/>
    <w:qFormat/>
    <w:uiPriority w:val="0"/>
    <w:rPr>
      <w:rFonts w:ascii="Times New Roman" w:hAnsi="Times New Roman" w:eastAsia="宋体" w:cs="Times New Roman"/>
      <w:i/>
      <w:iCs/>
      <w:color w:val="000000"/>
      <w:kern w:val="2"/>
      <w:sz w:val="21"/>
    </w:rPr>
  </w:style>
  <w:style w:type="character" w:customStyle="1" w:styleId="110">
    <w:name w:val="正文首行缩进 2 Char1"/>
    <w:autoRedefine/>
    <w:qFormat/>
    <w:uiPriority w:val="0"/>
    <w:rPr>
      <w:rFonts w:ascii="Times New Roman" w:hAnsi="Times New Roman" w:eastAsia="宋体" w:cs="Times New Roman"/>
      <w:kern w:val="2"/>
      <w:sz w:val="21"/>
      <w:szCs w:val="24"/>
    </w:rPr>
  </w:style>
  <w:style w:type="paragraph" w:customStyle="1" w:styleId="111">
    <w:name w:val="Blockquote"/>
    <w:basedOn w:val="1"/>
    <w:link w:val="112"/>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rPr>
  </w:style>
  <w:style w:type="character" w:customStyle="1" w:styleId="112">
    <w:name w:val="Blockquote Char"/>
    <w:link w:val="111"/>
    <w:autoRedefine/>
    <w:qFormat/>
    <w:uiPriority w:val="0"/>
    <w:rPr>
      <w:rFonts w:ascii="Times New Roman" w:hAnsi="Times New Roman" w:eastAsia="宋体" w:cs="Times New Roman"/>
      <w:sz w:val="24"/>
    </w:rPr>
  </w:style>
  <w:style w:type="character" w:customStyle="1" w:styleId="113">
    <w:name w:val="Title Char1"/>
    <w:autoRedefine/>
    <w:qFormat/>
    <w:uiPriority w:val="0"/>
    <w:rPr>
      <w:rFonts w:ascii="Cambria" w:hAnsi="Cambria" w:eastAsia="宋体" w:cs="Times New Roman"/>
      <w:b/>
      <w:bCs/>
      <w:sz w:val="32"/>
      <w:szCs w:val="32"/>
    </w:rPr>
  </w:style>
  <w:style w:type="character" w:customStyle="1" w:styleId="114">
    <w:name w:val="font161"/>
    <w:autoRedefine/>
    <w:qFormat/>
    <w:uiPriority w:val="0"/>
    <w:rPr>
      <w:rFonts w:ascii="Times New Roman" w:hAnsi="Times New Roman" w:eastAsia="宋体" w:cs="Times New Roman"/>
      <w:b/>
      <w:bCs/>
      <w:sz w:val="32"/>
      <w:szCs w:val="32"/>
    </w:rPr>
  </w:style>
  <w:style w:type="character" w:customStyle="1" w:styleId="115">
    <w:name w:val="Body Text Char1"/>
    <w:autoRedefine/>
    <w:qFormat/>
    <w:uiPriority w:val="0"/>
    <w:rPr>
      <w:rFonts w:ascii="Times New Roman" w:hAnsi="Times New Roman" w:eastAsia="宋体" w:cs="Times New Roman"/>
      <w:szCs w:val="21"/>
    </w:rPr>
  </w:style>
  <w:style w:type="character" w:customStyle="1" w:styleId="116">
    <w:name w:val="正文首行缩进 Char1"/>
    <w:autoRedefine/>
    <w:qFormat/>
    <w:uiPriority w:val="0"/>
    <w:rPr>
      <w:rFonts w:ascii="Times New Roman" w:hAnsi="Times New Roman" w:eastAsia="宋体" w:cs="Times New Roman"/>
      <w:kern w:val="2"/>
      <w:sz w:val="21"/>
      <w:szCs w:val="24"/>
    </w:rPr>
  </w:style>
  <w:style w:type="character" w:customStyle="1" w:styleId="117">
    <w:name w:val="文档结构图 Char1"/>
    <w:autoRedefine/>
    <w:qFormat/>
    <w:uiPriority w:val="0"/>
    <w:rPr>
      <w:rFonts w:hint="eastAsia" w:ascii="宋体" w:hAnsi="宋体" w:eastAsia="宋体" w:cs="Times New Roman"/>
      <w:kern w:val="2"/>
      <w:sz w:val="18"/>
      <w:szCs w:val="18"/>
    </w:rPr>
  </w:style>
  <w:style w:type="character" w:customStyle="1" w:styleId="118">
    <w:name w:val="批注文字 Char1"/>
    <w:autoRedefine/>
    <w:qFormat/>
    <w:uiPriority w:val="0"/>
    <w:rPr>
      <w:rFonts w:ascii="Times New Roman" w:hAnsi="Times New Roman" w:eastAsia="宋体" w:cs="Times New Roman"/>
    </w:rPr>
  </w:style>
  <w:style w:type="character" w:customStyle="1" w:styleId="119">
    <w:name w:val="Comment Text Char1"/>
    <w:autoRedefine/>
    <w:qFormat/>
    <w:uiPriority w:val="0"/>
    <w:rPr>
      <w:rFonts w:ascii="Times New Roman" w:hAnsi="Times New Roman" w:eastAsia="宋体" w:cs="Times New Roman"/>
      <w:szCs w:val="21"/>
    </w:rPr>
  </w:style>
  <w:style w:type="character" w:customStyle="1" w:styleId="120">
    <w:name w:val="Char Char12"/>
    <w:autoRedefine/>
    <w:qFormat/>
    <w:uiPriority w:val="0"/>
    <w:rPr>
      <w:rFonts w:ascii="Times New Roman" w:hAnsi="Times New Roman" w:eastAsia="宋体" w:cs="Times New Roman"/>
      <w:kern w:val="2"/>
      <w:sz w:val="21"/>
      <w:lang w:val="en-US" w:eastAsia="zh-CN" w:bidi="ar-SA"/>
    </w:rPr>
  </w:style>
  <w:style w:type="character" w:customStyle="1" w:styleId="121">
    <w:name w:val="标题 Char1"/>
    <w:autoRedefine/>
    <w:qFormat/>
    <w:uiPriority w:val="0"/>
    <w:rPr>
      <w:rFonts w:ascii="Cambria" w:hAnsi="Cambria" w:eastAsia="宋体" w:cs="Times New Roman"/>
      <w:b/>
      <w:bCs/>
      <w:kern w:val="2"/>
      <w:sz w:val="32"/>
      <w:szCs w:val="32"/>
    </w:rPr>
  </w:style>
  <w:style w:type="character" w:customStyle="1" w:styleId="122">
    <w:name w:val="Header Char1"/>
    <w:autoRedefine/>
    <w:qFormat/>
    <w:uiPriority w:val="0"/>
    <w:rPr>
      <w:rFonts w:ascii="Times New Roman" w:hAnsi="Times New Roman" w:eastAsia="宋体" w:cs="Times New Roman"/>
      <w:sz w:val="18"/>
      <w:szCs w:val="18"/>
    </w:rPr>
  </w:style>
  <w:style w:type="paragraph" w:styleId="123">
    <w:name w:val="No Spacing"/>
    <w:link w:val="124"/>
    <w:autoRedefine/>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character" w:customStyle="1" w:styleId="124">
    <w:name w:val="无间隔 Char"/>
    <w:link w:val="123"/>
    <w:autoRedefine/>
    <w:qFormat/>
    <w:uiPriority w:val="0"/>
    <w:rPr>
      <w:rFonts w:ascii="Times New Roman" w:hAnsi="Times New Roman" w:eastAsia="宋体" w:cs="Times New Roman"/>
      <w:kern w:val="2"/>
      <w:sz w:val="21"/>
      <w:szCs w:val="22"/>
      <w:lang w:val="en-US" w:eastAsia="zh-CN" w:bidi="ar-SA"/>
    </w:rPr>
  </w:style>
  <w:style w:type="character" w:customStyle="1" w:styleId="125">
    <w:name w:val="页脚 Char1"/>
    <w:autoRedefine/>
    <w:qFormat/>
    <w:uiPriority w:val="0"/>
    <w:rPr>
      <w:rFonts w:ascii="Times New Roman" w:hAnsi="Times New Roman" w:eastAsia="宋体" w:cs="Times New Roman"/>
      <w:kern w:val="2"/>
      <w:sz w:val="18"/>
      <w:szCs w:val="18"/>
    </w:rPr>
  </w:style>
  <w:style w:type="paragraph" w:styleId="126">
    <w:name w:val="Quote"/>
    <w:basedOn w:val="1"/>
    <w:next w:val="1"/>
    <w:link w:val="127"/>
    <w:autoRedefine/>
    <w:qFormat/>
    <w:uiPriority w:val="0"/>
    <w:rPr>
      <w:rFonts w:ascii="Times New Roman" w:hAnsi="Times New Roman" w:eastAsia="宋体" w:cs="Times New Roman"/>
      <w:i/>
      <w:iCs/>
      <w:color w:val="000000"/>
    </w:rPr>
  </w:style>
  <w:style w:type="character" w:customStyle="1" w:styleId="127">
    <w:name w:val="引用 Char1"/>
    <w:link w:val="126"/>
    <w:autoRedefine/>
    <w:qFormat/>
    <w:uiPriority w:val="0"/>
    <w:rPr>
      <w:rFonts w:ascii="Times New Roman" w:hAnsi="Times New Roman" w:eastAsia="宋体" w:cs="Times New Roman"/>
      <w:i/>
      <w:iCs/>
      <w:color w:val="000000"/>
      <w:kern w:val="2"/>
      <w:sz w:val="21"/>
      <w:szCs w:val="22"/>
    </w:rPr>
  </w:style>
  <w:style w:type="character" w:customStyle="1" w:styleId="128">
    <w:name w:val="Char Char"/>
    <w:autoRedefine/>
    <w:qFormat/>
    <w:uiPriority w:val="0"/>
    <w:rPr>
      <w:rFonts w:ascii="宋体" w:hAnsi="Courier New" w:eastAsia="宋体" w:cs="Times New Roman"/>
      <w:kern w:val="2"/>
      <w:sz w:val="21"/>
      <w:lang w:val="en-US" w:eastAsia="zh-CN" w:bidi="ar-SA"/>
    </w:rPr>
  </w:style>
  <w:style w:type="character" w:customStyle="1" w:styleId="129">
    <w:name w:val="正文文本缩进 2 Char1"/>
    <w:autoRedefine/>
    <w:qFormat/>
    <w:uiPriority w:val="0"/>
    <w:rPr>
      <w:rFonts w:ascii="Times New Roman" w:hAnsi="Times New Roman" w:eastAsia="宋体" w:cs="Times New Roman"/>
    </w:rPr>
  </w:style>
  <w:style w:type="character" w:customStyle="1" w:styleId="130">
    <w:name w:val="textcontents"/>
    <w:autoRedefine/>
    <w:qFormat/>
    <w:uiPriority w:val="0"/>
    <w:rPr>
      <w:rFonts w:hint="default" w:ascii="Times New Roman" w:hAnsi="Times New Roman" w:eastAsia="宋体" w:cs="Times New Roman"/>
    </w:rPr>
  </w:style>
  <w:style w:type="character" w:customStyle="1" w:styleId="131">
    <w:name w:val="Plain Text Char1"/>
    <w:autoRedefine/>
    <w:qFormat/>
    <w:uiPriority w:val="0"/>
    <w:rPr>
      <w:rFonts w:ascii="宋体" w:hAnsi="Courier New" w:eastAsia="宋体" w:cs="Courier New"/>
      <w:szCs w:val="21"/>
    </w:rPr>
  </w:style>
  <w:style w:type="character" w:customStyle="1" w:styleId="132">
    <w:name w:val="页眉 Char2"/>
    <w:autoRedefine/>
    <w:qFormat/>
    <w:uiPriority w:val="0"/>
    <w:rPr>
      <w:rFonts w:ascii="Times New Roman" w:hAnsi="Times New Roman" w:eastAsia="宋体" w:cs="Times New Roman"/>
      <w:kern w:val="2"/>
      <w:sz w:val="18"/>
      <w:szCs w:val="18"/>
    </w:rPr>
  </w:style>
  <w:style w:type="character" w:customStyle="1" w:styleId="133">
    <w:name w:val="正文文本 Char2"/>
    <w:autoRedefine/>
    <w:qFormat/>
    <w:uiPriority w:val="0"/>
    <w:rPr>
      <w:rFonts w:ascii="Times New Roman" w:hAnsi="Times New Roman" w:eastAsia="宋体" w:cs="Times New Roman"/>
    </w:rPr>
  </w:style>
  <w:style w:type="character" w:customStyle="1" w:styleId="134">
    <w:name w:val="正文文本缩进 Char1"/>
    <w:autoRedefine/>
    <w:qFormat/>
    <w:uiPriority w:val="0"/>
    <w:rPr>
      <w:rFonts w:ascii="Times New Roman" w:hAnsi="Times New Roman" w:eastAsia="宋体" w:cs="Times New Roman"/>
    </w:rPr>
  </w:style>
  <w:style w:type="paragraph" w:customStyle="1" w:styleId="135">
    <w:name w:val="样式2"/>
    <w:basedOn w:val="50"/>
    <w:link w:val="136"/>
    <w:autoRedefine/>
    <w:qFormat/>
    <w:uiPriority w:val="0"/>
    <w:rPr>
      <w:rFonts w:ascii="Times New Roman" w:hAnsi="Times New Roman" w:eastAsia="宋体" w:cs="Times New Roman"/>
    </w:rPr>
  </w:style>
  <w:style w:type="character" w:customStyle="1" w:styleId="136">
    <w:name w:val="样式2 Char"/>
    <w:link w:val="135"/>
    <w:autoRedefine/>
    <w:qFormat/>
    <w:uiPriority w:val="0"/>
    <w:rPr>
      <w:rFonts w:ascii="Times New Roman" w:hAnsi="Times New Roman" w:eastAsia="宋体" w:cs="Times New Roman"/>
    </w:rPr>
  </w:style>
  <w:style w:type="character" w:customStyle="1" w:styleId="137">
    <w:name w:val="_Style 135"/>
    <w:autoRedefine/>
    <w:qFormat/>
    <w:uiPriority w:val="0"/>
    <w:rPr>
      <w:rFonts w:ascii="Times New Roman" w:hAnsi="Times New Roman" w:eastAsia="宋体" w:cs="Times New Roman"/>
      <w:i/>
      <w:iCs/>
      <w:color w:val="808080"/>
    </w:rPr>
  </w:style>
  <w:style w:type="character" w:customStyle="1" w:styleId="138">
    <w:name w:val="_Style 136"/>
    <w:autoRedefine/>
    <w:qFormat/>
    <w:uiPriority w:val="0"/>
    <w:rPr>
      <w:rFonts w:ascii="Times New Roman" w:hAnsi="Times New Roman" w:eastAsia="宋体" w:cs="Times New Roman"/>
      <w:b/>
      <w:bCs/>
      <w:smallCaps/>
      <w:color w:val="C0504D"/>
      <w:spacing w:val="5"/>
      <w:u w:val="single"/>
    </w:rPr>
  </w:style>
  <w:style w:type="character" w:customStyle="1" w:styleId="139">
    <w:name w:val="纯文本 Char1"/>
    <w:autoRedefine/>
    <w:qFormat/>
    <w:uiPriority w:val="0"/>
    <w:rPr>
      <w:rFonts w:ascii="宋体" w:hAnsi="Courier New" w:eastAsia="宋体" w:cs="Courier New"/>
      <w:szCs w:val="21"/>
    </w:rPr>
  </w:style>
  <w:style w:type="character" w:customStyle="1" w:styleId="140">
    <w:name w:val="lemmatitleh11"/>
    <w:autoRedefine/>
    <w:qFormat/>
    <w:uiPriority w:val="0"/>
    <w:rPr>
      <w:rFonts w:ascii="Times New Roman" w:hAnsi="Times New Roman" w:eastAsia="宋体" w:cs="Times New Roman"/>
    </w:rPr>
  </w:style>
  <w:style w:type="character" w:customStyle="1" w:styleId="141">
    <w:name w:val="批注框文本 Char1"/>
    <w:autoRedefine/>
    <w:qFormat/>
    <w:uiPriority w:val="0"/>
    <w:rPr>
      <w:rFonts w:ascii="Times New Roman" w:hAnsi="Times New Roman" w:eastAsia="宋体" w:cs="Times New Roman"/>
      <w:kern w:val="2"/>
      <w:sz w:val="18"/>
      <w:szCs w:val="18"/>
    </w:rPr>
  </w:style>
  <w:style w:type="paragraph" w:customStyle="1" w:styleId="142">
    <w:name w:val="标题5"/>
    <w:basedOn w:val="4"/>
    <w:link w:val="143"/>
    <w:autoRedefine/>
    <w:qFormat/>
    <w:uiPriority w:val="0"/>
    <w:pPr>
      <w:spacing w:line="412" w:lineRule="auto"/>
    </w:pPr>
    <w:rPr>
      <w:rFonts w:ascii="Arial" w:hAnsi="Arial" w:eastAsia="宋体" w:cs="Times New Roman"/>
      <w:kern w:val="0"/>
      <w:sz w:val="24"/>
    </w:rPr>
  </w:style>
  <w:style w:type="character" w:customStyle="1" w:styleId="143">
    <w:name w:val="标题5 Char Char"/>
    <w:link w:val="142"/>
    <w:autoRedefine/>
    <w:qFormat/>
    <w:uiPriority w:val="0"/>
    <w:rPr>
      <w:rFonts w:ascii="Arial" w:hAnsi="Arial" w:eastAsia="宋体" w:cs="Arial"/>
      <w:b/>
      <w:bCs/>
      <w:sz w:val="24"/>
      <w:szCs w:val="32"/>
    </w:rPr>
  </w:style>
  <w:style w:type="character" w:customStyle="1" w:styleId="144">
    <w:name w:val="正文文本 Char1"/>
    <w:autoRedefine/>
    <w:qFormat/>
    <w:uiPriority w:val="0"/>
    <w:rPr>
      <w:rFonts w:ascii="Times New Roman" w:hAnsi="Times New Roman" w:eastAsia="宋体" w:cs="Times New Roman"/>
      <w:kern w:val="2"/>
      <w:sz w:val="21"/>
      <w:szCs w:val="22"/>
    </w:rPr>
  </w:style>
  <w:style w:type="character" w:customStyle="1" w:styleId="145">
    <w:name w:val="Comment Subject Char1"/>
    <w:autoRedefine/>
    <w:qFormat/>
    <w:uiPriority w:val="0"/>
    <w:rPr>
      <w:rFonts w:ascii="Times New Roman" w:hAnsi="Times New Roman" w:eastAsia="宋体" w:cs="Times New Roman"/>
      <w:b/>
      <w:bCs/>
      <w:sz w:val="20"/>
      <w:szCs w:val="21"/>
      <w:lang w:val="en-US" w:eastAsia="zh-CN" w:bidi="ar-SA"/>
    </w:rPr>
  </w:style>
  <w:style w:type="character" w:customStyle="1" w:styleId="146">
    <w:name w:val="_Style 144"/>
    <w:autoRedefine/>
    <w:qFormat/>
    <w:uiPriority w:val="0"/>
    <w:rPr>
      <w:rFonts w:ascii="Times New Roman" w:hAnsi="Times New Roman" w:eastAsia="宋体" w:cs="Times New Roman"/>
      <w:b/>
      <w:bCs/>
      <w:i/>
      <w:iCs/>
      <w:color w:val="4F81BD"/>
    </w:rPr>
  </w:style>
  <w:style w:type="character" w:customStyle="1" w:styleId="147">
    <w:name w:val="annotation reference"/>
    <w:autoRedefine/>
    <w:qFormat/>
    <w:uiPriority w:val="0"/>
    <w:rPr>
      <w:rFonts w:ascii="Times New Roman" w:hAnsi="Times New Roman" w:eastAsia="宋体" w:cs="Times New Roman"/>
      <w:sz w:val="21"/>
      <w:szCs w:val="21"/>
    </w:rPr>
  </w:style>
  <w:style w:type="character" w:customStyle="1" w:styleId="148">
    <w:name w:val="批注文字 Char Char"/>
    <w:autoRedefine/>
    <w:qFormat/>
    <w:uiPriority w:val="0"/>
    <w:rPr>
      <w:rFonts w:hint="eastAsia" w:ascii="宋体" w:hAnsi="Times New Roman" w:eastAsia="宋体" w:cs="Times New Roman"/>
      <w:sz w:val="28"/>
      <w:szCs w:val="20"/>
    </w:rPr>
  </w:style>
  <w:style w:type="character" w:customStyle="1" w:styleId="149">
    <w:name w:val="日期 Char1"/>
    <w:autoRedefine/>
    <w:qFormat/>
    <w:uiPriority w:val="0"/>
    <w:rPr>
      <w:rFonts w:ascii="Times New Roman" w:hAnsi="Times New Roman" w:eastAsia="宋体" w:cs="Times New Roman"/>
      <w:kern w:val="2"/>
      <w:sz w:val="21"/>
      <w:szCs w:val="22"/>
    </w:rPr>
  </w:style>
  <w:style w:type="character" w:customStyle="1" w:styleId="150">
    <w:name w:val="批注主题 Char1"/>
    <w:autoRedefine/>
    <w:qFormat/>
    <w:uiPriority w:val="0"/>
    <w:rPr>
      <w:rFonts w:ascii="Times New Roman" w:hAnsi="Times New Roman" w:eastAsia="宋体" w:cs="Times New Roman"/>
      <w:b/>
      <w:bCs/>
      <w:kern w:val="2"/>
      <w:sz w:val="21"/>
      <w:szCs w:val="22"/>
    </w:rPr>
  </w:style>
  <w:style w:type="character" w:customStyle="1" w:styleId="151">
    <w:name w:val="正文文本 2 Char1"/>
    <w:autoRedefine/>
    <w:qFormat/>
    <w:uiPriority w:val="0"/>
    <w:rPr>
      <w:rFonts w:ascii="Times New Roman" w:hAnsi="Times New Roman" w:eastAsia="宋体" w:cs="Times New Roman"/>
    </w:rPr>
  </w:style>
  <w:style w:type="character" w:customStyle="1" w:styleId="152">
    <w:name w:val="Char Char Char1"/>
    <w:autoRedefine/>
    <w:qFormat/>
    <w:uiPriority w:val="0"/>
    <w:rPr>
      <w:rFonts w:ascii="Times New Roman" w:hAnsi="Times New Roman" w:eastAsia="宋体" w:cs="Times New Roman"/>
      <w:kern w:val="2"/>
      <w:sz w:val="18"/>
      <w:szCs w:val="18"/>
    </w:rPr>
  </w:style>
  <w:style w:type="character" w:customStyle="1" w:styleId="153">
    <w:name w:val="副标题 Char"/>
    <w:autoRedefine/>
    <w:qFormat/>
    <w:uiPriority w:val="0"/>
    <w:rPr>
      <w:rFonts w:ascii="Cambria" w:hAnsi="Cambria" w:eastAsia="宋体" w:cs="Times New Roman"/>
      <w:b/>
      <w:bCs/>
      <w:kern w:val="28"/>
      <w:sz w:val="32"/>
      <w:szCs w:val="32"/>
    </w:rPr>
  </w:style>
  <w:style w:type="character" w:customStyle="1" w:styleId="154">
    <w:name w:val="Document Map Char"/>
    <w:autoRedefine/>
    <w:qFormat/>
    <w:uiPriority w:val="0"/>
    <w:rPr>
      <w:rFonts w:ascii="宋体" w:hAnsi="Times New Roman" w:eastAsia="宋体" w:cs="Times New Roman"/>
      <w:kern w:val="2"/>
      <w:sz w:val="18"/>
    </w:rPr>
  </w:style>
  <w:style w:type="character" w:customStyle="1" w:styleId="155">
    <w:name w:val="正文文本 3 Char1"/>
    <w:autoRedefine/>
    <w:qFormat/>
    <w:uiPriority w:val="0"/>
    <w:rPr>
      <w:rFonts w:ascii="Times New Roman" w:hAnsi="Times New Roman" w:eastAsia="宋体" w:cs="Times New Roman"/>
      <w:kern w:val="2"/>
      <w:sz w:val="16"/>
      <w:szCs w:val="16"/>
    </w:rPr>
  </w:style>
  <w:style w:type="paragraph" w:styleId="156">
    <w:name w:val="Intense Quote"/>
    <w:basedOn w:val="1"/>
    <w:next w:val="1"/>
    <w:link w:val="157"/>
    <w:autoRedefine/>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57">
    <w:name w:val="明显引用 Char1"/>
    <w:link w:val="156"/>
    <w:autoRedefine/>
    <w:qFormat/>
    <w:uiPriority w:val="0"/>
    <w:rPr>
      <w:rFonts w:ascii="Times New Roman" w:hAnsi="Times New Roman" w:eastAsia="宋体" w:cs="Times New Roman"/>
      <w:b/>
      <w:bCs/>
      <w:i/>
      <w:iCs/>
      <w:color w:val="4F81BD"/>
      <w:kern w:val="2"/>
      <w:sz w:val="21"/>
      <w:szCs w:val="22"/>
    </w:rPr>
  </w:style>
  <w:style w:type="paragraph" w:customStyle="1" w:styleId="158">
    <w:name w:val="标题4"/>
    <w:basedOn w:val="3"/>
    <w:next w:val="22"/>
    <w:link w:val="159"/>
    <w:autoRedefine/>
    <w:qFormat/>
    <w:uiPriority w:val="0"/>
    <w:pPr>
      <w:spacing w:line="412" w:lineRule="auto"/>
    </w:pPr>
    <w:rPr>
      <w:rFonts w:ascii="Times New Roman" w:hAnsi="Times New Roman" w:eastAsia="宋体" w:cs="Times New Roman"/>
      <w:kern w:val="0"/>
    </w:rPr>
  </w:style>
  <w:style w:type="character" w:customStyle="1" w:styleId="159">
    <w:name w:val="标题4 Char Char"/>
    <w:link w:val="158"/>
    <w:autoRedefine/>
    <w:qFormat/>
    <w:uiPriority w:val="0"/>
    <w:rPr>
      <w:rFonts w:ascii="Arial" w:hAnsi="Arial" w:eastAsia="宋体" w:cs="Arial"/>
      <w:b/>
      <w:bCs/>
      <w:sz w:val="24"/>
      <w:szCs w:val="32"/>
    </w:rPr>
  </w:style>
  <w:style w:type="character" w:customStyle="1" w:styleId="160">
    <w:name w:val="Body Text Indent Char1"/>
    <w:autoRedefine/>
    <w:qFormat/>
    <w:uiPriority w:val="0"/>
    <w:rPr>
      <w:rFonts w:ascii="Times New Roman" w:hAnsi="Times New Roman" w:eastAsia="宋体" w:cs="Times New Roman"/>
      <w:szCs w:val="21"/>
    </w:rPr>
  </w:style>
  <w:style w:type="character" w:customStyle="1" w:styleId="161">
    <w:name w:val="_Style 159"/>
    <w:autoRedefine/>
    <w:qFormat/>
    <w:uiPriority w:val="0"/>
    <w:rPr>
      <w:rFonts w:ascii="Times New Roman" w:hAnsi="Times New Roman" w:eastAsia="宋体" w:cs="Times New Roman"/>
      <w:smallCaps/>
      <w:color w:val="C0504D"/>
      <w:u w:val="single"/>
    </w:rPr>
  </w:style>
  <w:style w:type="character" w:customStyle="1" w:styleId="162">
    <w:name w:val="Comment Subject Char"/>
    <w:autoRedefine/>
    <w:qFormat/>
    <w:uiPriority w:val="0"/>
    <w:rPr>
      <w:rFonts w:ascii="Times New Roman" w:hAnsi="Times New Roman" w:eastAsia="宋体" w:cs="Times New Roman"/>
      <w:b/>
      <w:sz w:val="24"/>
    </w:rPr>
  </w:style>
  <w:style w:type="character" w:customStyle="1" w:styleId="163">
    <w:name w:val="Body Text 2 Char1"/>
    <w:autoRedefine/>
    <w:qFormat/>
    <w:uiPriority w:val="0"/>
    <w:rPr>
      <w:rFonts w:ascii="Times New Roman" w:hAnsi="Times New Roman" w:eastAsia="宋体" w:cs="Times New Roman"/>
      <w:szCs w:val="21"/>
    </w:rPr>
  </w:style>
  <w:style w:type="character" w:customStyle="1" w:styleId="164">
    <w:name w:val="topic"/>
    <w:autoRedefine/>
    <w:qFormat/>
    <w:uiPriority w:val="0"/>
    <w:rPr>
      <w:rFonts w:ascii="Times New Roman" w:hAnsi="Times New Roman" w:eastAsia="宋体" w:cs="Times New Roman"/>
    </w:rPr>
  </w:style>
  <w:style w:type="character" w:customStyle="1" w:styleId="165">
    <w:name w:val="Char Char13"/>
    <w:autoRedefine/>
    <w:qFormat/>
    <w:uiPriority w:val="0"/>
    <w:rPr>
      <w:rFonts w:ascii="Times New Roman" w:hAnsi="Times New Roman" w:eastAsia="宋体" w:cs="Times New Roman"/>
      <w:kern w:val="2"/>
      <w:sz w:val="21"/>
      <w:lang w:val="en-US" w:eastAsia="zh-CN" w:bidi="ar-SA"/>
    </w:rPr>
  </w:style>
  <w:style w:type="character" w:customStyle="1" w:styleId="166">
    <w:name w:val="Char Char Char"/>
    <w:autoRedefine/>
    <w:qFormat/>
    <w:uiPriority w:val="0"/>
    <w:rPr>
      <w:rFonts w:ascii="Times New Roman" w:hAnsi="Times New Roman" w:eastAsia="宋体" w:cs="Times New Roman"/>
      <w:kern w:val="2"/>
      <w:sz w:val="18"/>
      <w:szCs w:val="18"/>
    </w:rPr>
  </w:style>
  <w:style w:type="paragraph" w:customStyle="1" w:styleId="167">
    <w:name w:val="样式"/>
    <w:link w:val="168"/>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8">
    <w:name w:val="样式 Char"/>
    <w:link w:val="167"/>
    <w:autoRedefine/>
    <w:qFormat/>
    <w:uiPriority w:val="0"/>
    <w:rPr>
      <w:rFonts w:ascii="宋体" w:hAnsi="宋体" w:eastAsia="宋体" w:cs="宋体"/>
      <w:sz w:val="24"/>
      <w:szCs w:val="24"/>
      <w:lang w:val="en-US" w:eastAsia="zh-CN" w:bidi="ar-SA"/>
    </w:rPr>
  </w:style>
  <w:style w:type="character" w:customStyle="1" w:styleId="169">
    <w:name w:val="Body Text Indent 3 Char1"/>
    <w:autoRedefine/>
    <w:qFormat/>
    <w:uiPriority w:val="0"/>
    <w:rPr>
      <w:rFonts w:ascii="Times New Roman" w:hAnsi="Times New Roman" w:eastAsia="宋体" w:cs="Times New Roman"/>
      <w:sz w:val="16"/>
      <w:szCs w:val="16"/>
    </w:rPr>
  </w:style>
  <w:style w:type="character" w:customStyle="1" w:styleId="170">
    <w:name w:val="Footer Char1"/>
    <w:autoRedefine/>
    <w:qFormat/>
    <w:uiPriority w:val="0"/>
    <w:rPr>
      <w:rFonts w:ascii="Times New Roman" w:hAnsi="Times New Roman" w:eastAsia="宋体" w:cs="Times New Roman"/>
      <w:sz w:val="18"/>
      <w:szCs w:val="18"/>
    </w:rPr>
  </w:style>
  <w:style w:type="character" w:customStyle="1" w:styleId="171">
    <w:name w:val="Body Text 3 Char1"/>
    <w:autoRedefine/>
    <w:qFormat/>
    <w:uiPriority w:val="0"/>
    <w:rPr>
      <w:rFonts w:ascii="Times New Roman" w:hAnsi="Times New Roman" w:eastAsia="宋体" w:cs="Times New Roman"/>
      <w:sz w:val="16"/>
      <w:szCs w:val="16"/>
    </w:rPr>
  </w:style>
  <w:style w:type="character" w:customStyle="1" w:styleId="172">
    <w:name w:val="Date Char1"/>
    <w:autoRedefine/>
    <w:qFormat/>
    <w:uiPriority w:val="0"/>
    <w:rPr>
      <w:rFonts w:ascii="Times New Roman" w:hAnsi="Times New Roman" w:eastAsia="宋体" w:cs="Times New Roman"/>
      <w:szCs w:val="21"/>
    </w:rPr>
  </w:style>
  <w:style w:type="character" w:customStyle="1" w:styleId="173">
    <w:name w:val="Document Map Char1"/>
    <w:autoRedefine/>
    <w:qFormat/>
    <w:uiPriority w:val="0"/>
    <w:rPr>
      <w:rFonts w:ascii="Times New Roman" w:hAnsi="Times New Roman" w:eastAsia="宋体" w:cs="Times New Roman"/>
      <w:sz w:val="16"/>
      <w:szCs w:val="0"/>
    </w:rPr>
  </w:style>
  <w:style w:type="character" w:customStyle="1" w:styleId="174">
    <w:name w:val="Header Char"/>
    <w:autoRedefine/>
    <w:qFormat/>
    <w:uiPriority w:val="0"/>
    <w:rPr>
      <w:rFonts w:ascii="Times New Roman" w:hAnsi="Times New Roman" w:eastAsia="宋体" w:cs="Times New Roman"/>
      <w:kern w:val="2"/>
      <w:sz w:val="18"/>
    </w:rPr>
  </w:style>
  <w:style w:type="character" w:customStyle="1" w:styleId="175">
    <w:name w:val="Comment Text Char"/>
    <w:autoRedefine/>
    <w:qFormat/>
    <w:uiPriority w:val="0"/>
    <w:rPr>
      <w:rFonts w:ascii="Times New Roman" w:hAnsi="Times New Roman" w:eastAsia="宋体" w:cs="Times New Roman"/>
      <w:sz w:val="24"/>
    </w:rPr>
  </w:style>
  <w:style w:type="character" w:customStyle="1" w:styleId="176">
    <w:name w:val="Footer Char"/>
    <w:autoRedefine/>
    <w:qFormat/>
    <w:uiPriority w:val="0"/>
    <w:rPr>
      <w:rFonts w:ascii="Times New Roman" w:hAnsi="Times New Roman" w:eastAsia="宋体" w:cs="Times New Roman"/>
      <w:sz w:val="18"/>
    </w:rPr>
  </w:style>
  <w:style w:type="character" w:customStyle="1" w:styleId="177">
    <w:name w:val="页码1"/>
    <w:autoRedefine/>
    <w:qFormat/>
    <w:uiPriority w:val="0"/>
    <w:rPr>
      <w:rFonts w:ascii="Times New Roman" w:hAnsi="Times New Roman" w:eastAsia="宋体" w:cs="Times New Roman"/>
    </w:rPr>
  </w:style>
  <w:style w:type="character" w:customStyle="1" w:styleId="178">
    <w:name w:val="页眉 Char1"/>
    <w:autoRedefine/>
    <w:qFormat/>
    <w:uiPriority w:val="0"/>
    <w:rPr>
      <w:rFonts w:ascii="Times New Roman" w:hAnsi="Times New Roman" w:eastAsia="宋体" w:cs="Times New Roman"/>
      <w:sz w:val="18"/>
      <w:szCs w:val="18"/>
    </w:rPr>
  </w:style>
  <w:style w:type="paragraph" w:customStyle="1" w:styleId="179">
    <w:name w:val="Char Char Char Char Char Char Char Char Char Char"/>
    <w:basedOn w:val="1"/>
    <w:autoRedefine/>
    <w:qFormat/>
    <w:uiPriority w:val="0"/>
    <w:rPr>
      <w:rFonts w:ascii="Times New Roman" w:hAnsi="Times New Roman" w:eastAsia="宋体" w:cs="Times New Roman"/>
      <w:szCs w:val="24"/>
    </w:rPr>
  </w:style>
  <w:style w:type="paragraph" w:customStyle="1" w:styleId="180">
    <w:name w:val="flNote"/>
    <w:basedOn w:val="1"/>
    <w:autoRedefine/>
    <w:qFormat/>
    <w:uiPriority w:val="0"/>
    <w:pPr>
      <w:adjustRightInd w:val="0"/>
      <w:spacing w:before="320" w:after="160" w:line="360" w:lineRule="atLeast"/>
      <w:jc w:val="center"/>
    </w:pPr>
    <w:rPr>
      <w:rFonts w:ascii="Arial" w:hAnsi="Times New Roman" w:eastAsia="黑体" w:cs="Times New Roman"/>
      <w:kern w:val="0"/>
      <w:sz w:val="30"/>
    </w:rPr>
  </w:style>
  <w:style w:type="paragraph" w:customStyle="1" w:styleId="1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2">
    <w:name w:val="7"/>
    <w:basedOn w:val="1"/>
    <w:autoRedefine/>
    <w:qFormat/>
    <w:uiPriority w:val="0"/>
    <w:pPr>
      <w:widowControl/>
      <w:tabs>
        <w:tab w:val="left" w:pos="425"/>
      </w:tabs>
      <w:spacing w:before="312" w:beforeLines="100" w:after="160" w:afterLines="0" w:line="240" w:lineRule="exact"/>
      <w:ind w:left="425" w:hanging="425"/>
      <w:jc w:val="left"/>
    </w:pPr>
    <w:rPr>
      <w:rFonts w:ascii="Verdana" w:hAnsi="Verdana" w:eastAsia="黑体" w:cs="Times New Roman"/>
      <w:kern w:val="0"/>
      <w:sz w:val="20"/>
      <w:lang w:eastAsia="en-US"/>
    </w:rPr>
  </w:style>
  <w:style w:type="paragraph" w:customStyle="1" w:styleId="18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rPr>
  </w:style>
  <w:style w:type="paragraph" w:customStyle="1" w:styleId="184">
    <w:name w:val="Char"/>
    <w:basedOn w:val="1"/>
    <w:autoRedefine/>
    <w:qFormat/>
    <w:uiPriority w:val="0"/>
    <w:rPr>
      <w:rFonts w:ascii="Times New Roman" w:hAnsi="Times New Roman" w:eastAsia="宋体" w:cs="Times New Roman"/>
      <w:szCs w:val="24"/>
    </w:rPr>
  </w:style>
  <w:style w:type="paragraph" w:customStyle="1" w:styleId="185">
    <w:name w:val="图表目录1"/>
    <w:basedOn w:val="1"/>
    <w:next w:val="1"/>
    <w:autoRedefine/>
    <w:qFormat/>
    <w:uiPriority w:val="0"/>
    <w:pPr>
      <w:ind w:left="200" w:leftChars="200" w:hanging="200" w:hangingChars="200"/>
    </w:pPr>
    <w:rPr>
      <w:rFonts w:ascii="Times New Roman" w:hAnsi="Times New Roman" w:eastAsia="宋体" w:cs="Times New Roman"/>
      <w:szCs w:val="24"/>
    </w:rPr>
  </w:style>
  <w:style w:type="paragraph" w:customStyle="1" w:styleId="186">
    <w:name w:val="样式 标题 2 + Times New Roman 四号 非加粗 段前: 5 磅 段后: 0 磅 行距: 固定值 20..."/>
    <w:basedOn w:val="3"/>
    <w:autoRedefine/>
    <w:qFormat/>
    <w:uiPriority w:val="0"/>
    <w:pPr>
      <w:spacing w:before="100" w:beforeLines="0" w:after="0" w:afterLines="0" w:line="400" w:lineRule="exact"/>
    </w:pPr>
    <w:rPr>
      <w:rFonts w:ascii="Times New Roman" w:hAnsi="Times New Roman" w:eastAsia="宋体" w:cs="宋体"/>
      <w:b w:val="0"/>
      <w:bCs w:val="0"/>
      <w:sz w:val="28"/>
      <w:szCs w:val="20"/>
    </w:rPr>
  </w:style>
  <w:style w:type="paragraph" w:customStyle="1" w:styleId="187">
    <w:name w:val="样式 标题 1 + 黑体 三号 非加粗 居中 段前: 6 磅 段后: 6 磅 行距: 固定值 20 磅"/>
    <w:basedOn w:val="2"/>
    <w:autoRedefine/>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88">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189">
    <w:name w:val="表格"/>
    <w:basedOn w:val="1"/>
    <w:autoRedefine/>
    <w:qFormat/>
    <w:uiPriority w:val="0"/>
    <w:pPr>
      <w:jc w:val="center"/>
      <w:textAlignment w:val="center"/>
    </w:pPr>
    <w:rPr>
      <w:rFonts w:ascii="华文细黑" w:hAnsi="华文细黑" w:eastAsia="宋体" w:cs="Times New Roman"/>
      <w:kern w:val="0"/>
    </w:rPr>
  </w:style>
  <w:style w:type="paragraph" w:customStyle="1" w:styleId="190">
    <w:name w:val="msolist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1">
    <w:name w:val="opening2"/>
    <w:basedOn w:val="1"/>
    <w:autoRedefine/>
    <w:qFormat/>
    <w:uiPriority w:val="0"/>
    <w:pPr>
      <w:widowControl/>
      <w:spacing w:before="100" w:beforeLines="0" w:beforeAutospacing="1" w:after="100" w:afterLines="0" w:afterAutospacing="1"/>
      <w:jc w:val="left"/>
    </w:pPr>
    <w:rPr>
      <w:rFonts w:ascii="宋体" w:hAnsi="宋体" w:eastAsia="宋体" w:cs="宋体"/>
      <w:color w:val="000000"/>
      <w:kern w:val="0"/>
      <w:sz w:val="23"/>
      <w:szCs w:val="23"/>
    </w:rPr>
  </w:style>
  <w:style w:type="paragraph" w:customStyle="1" w:styleId="192">
    <w:name w:val="p0"/>
    <w:basedOn w:val="1"/>
    <w:autoRedefine/>
    <w:qFormat/>
    <w:uiPriority w:val="0"/>
    <w:pPr>
      <w:widowControl/>
    </w:pPr>
    <w:rPr>
      <w:rFonts w:ascii="Times New Roman" w:hAnsi="Times New Roman" w:eastAsia="宋体" w:cs="Times New Roman"/>
      <w:kern w:val="0"/>
      <w:szCs w:val="21"/>
    </w:rPr>
  </w:style>
  <w:style w:type="paragraph" w:customStyle="1" w:styleId="193">
    <w:name w:val="修订1"/>
    <w:autoRedefine/>
    <w:qFormat/>
    <w:uiPriority w:val="0"/>
    <w:rPr>
      <w:rFonts w:ascii="Times New Roman" w:hAnsi="Times New Roman" w:eastAsia="宋体" w:cs="Times New Roman"/>
      <w:szCs w:val="24"/>
      <w:lang w:val="en-US" w:eastAsia="zh-CN" w:bidi="ar-SA"/>
    </w:rPr>
  </w:style>
  <w:style w:type="paragraph" w:customStyle="1" w:styleId="194">
    <w:name w:val="1"/>
    <w:basedOn w:val="1"/>
    <w:next w:val="1"/>
    <w:autoRedefine/>
    <w:qFormat/>
    <w:uiPriority w:val="0"/>
    <w:rPr>
      <w:rFonts w:ascii="Times New Roman" w:hAnsi="Times New Roman" w:eastAsia="宋体" w:cs="Times New Roman"/>
      <w:szCs w:val="24"/>
    </w:rPr>
  </w:style>
  <w:style w:type="paragraph" w:customStyle="1" w:styleId="195">
    <w:name w:val="样式 标题 3 + (中文) 黑体 小四 非加粗 段前: 7.8 磅 段后: 0 磅 行距: 固定值 20 磅"/>
    <w:basedOn w:val="4"/>
    <w:autoRedefine/>
    <w:qFormat/>
    <w:uiPriority w:val="0"/>
    <w:pPr>
      <w:spacing w:before="0" w:beforeLines="0" w:after="0" w:afterLines="0" w:line="400" w:lineRule="exact"/>
    </w:pPr>
    <w:rPr>
      <w:rFonts w:ascii="Times New Roman" w:hAnsi="Times New Roman" w:eastAsia="黑体" w:cs="宋体"/>
      <w:b w:val="0"/>
      <w:bCs w:val="0"/>
      <w:sz w:val="24"/>
      <w:szCs w:val="20"/>
    </w:rPr>
  </w:style>
  <w:style w:type="paragraph" w:customStyle="1" w:styleId="196">
    <w:name w:val="样式 标题 2"/>
    <w:basedOn w:val="1"/>
    <w:next w:val="4"/>
    <w:autoRedefine/>
    <w:qFormat/>
    <w:uiPriority w:val="0"/>
    <w:pPr>
      <w:snapToGrid w:val="0"/>
      <w:spacing w:line="360" w:lineRule="auto"/>
      <w:ind w:firstLine="200" w:firstLineChars="200"/>
    </w:pPr>
    <w:rPr>
      <w:rFonts w:ascii="Times New Roman" w:hAnsi="Times New Roman" w:eastAsia="仿宋_GB2312" w:cs="Times New Roman"/>
      <w:sz w:val="32"/>
      <w:szCs w:val="32"/>
    </w:rPr>
  </w:style>
  <w:style w:type="paragraph" w:customStyle="1" w:styleId="197">
    <w:name w:val="Char2"/>
    <w:basedOn w:val="1"/>
    <w:autoRedefine/>
    <w:qFormat/>
    <w:uiPriority w:val="0"/>
    <w:pPr>
      <w:ind w:left="432" w:hanging="432"/>
    </w:pPr>
    <w:rPr>
      <w:rFonts w:ascii="Times New Roman" w:hAnsi="Times New Roman" w:eastAsia="宋体" w:cs="Times New Roman"/>
      <w:szCs w:val="24"/>
    </w:rPr>
  </w:style>
  <w:style w:type="paragraph" w:customStyle="1" w:styleId="198">
    <w:name w:val="样式 标题 2 + 小四 非加粗2"/>
    <w:basedOn w:val="3"/>
    <w:autoRedefine/>
    <w:qFormat/>
    <w:uiPriority w:val="0"/>
    <w:pPr>
      <w:spacing w:before="100" w:beforeLines="0" w:after="0" w:afterLines="0" w:line="240" w:lineRule="auto"/>
    </w:pPr>
    <w:rPr>
      <w:rFonts w:ascii="Times New Roman" w:hAnsi="Times New Roman" w:eastAsia="宋体" w:cs="Times New Roman"/>
      <w:b w:val="0"/>
      <w:bCs w:val="0"/>
      <w:sz w:val="24"/>
    </w:rPr>
  </w:style>
  <w:style w:type="paragraph" w:styleId="199">
    <w:name w:val="List Paragraph"/>
    <w:basedOn w:val="1"/>
    <w:autoRedefine/>
    <w:qFormat/>
    <w:uiPriority w:val="0"/>
    <w:pPr>
      <w:ind w:firstLine="420" w:firstLineChars="200"/>
    </w:pPr>
    <w:rPr>
      <w:rFonts w:ascii="Calibri" w:hAnsi="Calibri" w:eastAsia="宋体" w:cs="Times New Roman"/>
      <w:szCs w:val="22"/>
    </w:rPr>
  </w:style>
  <w:style w:type="paragraph" w:customStyle="1" w:styleId="200">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rPr>
  </w:style>
  <w:style w:type="paragraph" w:customStyle="1" w:styleId="201">
    <w:name w:val="批注主题1"/>
    <w:basedOn w:val="15"/>
    <w:next w:val="15"/>
    <w:autoRedefine/>
    <w:qFormat/>
    <w:uiPriority w:val="0"/>
    <w:rPr>
      <w:rFonts w:ascii="Times New Roman" w:hAnsi="Times New Roman" w:eastAsia="宋体" w:cs="Times New Roman"/>
      <w:b/>
      <w:bCs/>
      <w:kern w:val="2"/>
      <w:sz w:val="24"/>
      <w:szCs w:val="24"/>
    </w:rPr>
  </w:style>
  <w:style w:type="paragraph" w:customStyle="1" w:styleId="202">
    <w:name w:val="样式1"/>
    <w:basedOn w:val="4"/>
    <w:autoRedefine/>
    <w:qFormat/>
    <w:uiPriority w:val="0"/>
    <w:pPr>
      <w:spacing w:line="415" w:lineRule="auto"/>
    </w:pPr>
    <w:rPr>
      <w:rFonts w:ascii="Times New Roman" w:hAnsi="Times New Roman" w:eastAsia="Arial" w:cs="Times New Roman"/>
    </w:rPr>
  </w:style>
  <w:style w:type="paragraph" w:customStyle="1" w:styleId="203">
    <w:name w:val="Char Char Char Char1 Char Char Char Char Char1 Char1"/>
    <w:basedOn w:val="1"/>
    <w:autoRedefine/>
    <w:qFormat/>
    <w:uiPriority w:val="0"/>
    <w:pPr>
      <w:spacing w:line="240" w:lineRule="atLeast"/>
      <w:ind w:left="420" w:firstLine="420"/>
    </w:pPr>
    <w:rPr>
      <w:rFonts w:ascii="Times New Roman" w:hAnsi="Times New Roman" w:eastAsia="宋体" w:cs="Times New Roman"/>
      <w:kern w:val="0"/>
      <w:szCs w:val="21"/>
    </w:rPr>
  </w:style>
  <w:style w:type="paragraph" w:customStyle="1" w:styleId="204">
    <w:name w:val="_Style 89"/>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CM91"/>
    <w:basedOn w:val="1"/>
    <w:next w:val="1"/>
    <w:autoRedefine/>
    <w:qFormat/>
    <w:uiPriority w:val="0"/>
    <w:pPr>
      <w:autoSpaceDE w:val="0"/>
      <w:autoSpaceDN w:val="0"/>
      <w:adjustRightInd w:val="0"/>
      <w:spacing w:after="160" w:afterLines="0"/>
      <w:jc w:val="left"/>
    </w:pPr>
    <w:rPr>
      <w:rFonts w:ascii="宋体" w:hAnsi="Times New Roman" w:eastAsia="宋体" w:cs="宋体"/>
      <w:kern w:val="0"/>
      <w:sz w:val="24"/>
      <w:szCs w:val="24"/>
    </w:rPr>
  </w:style>
  <w:style w:type="paragraph" w:customStyle="1" w:styleId="206">
    <w:name w:val="TOC 标题1"/>
    <w:basedOn w:val="2"/>
    <w:next w:val="1"/>
    <w:autoRedefine/>
    <w:qFormat/>
    <w:uiPriority w:val="0"/>
    <w:pPr>
      <w:spacing w:before="340" w:after="330" w:line="576" w:lineRule="auto"/>
      <w:jc w:val="both"/>
      <w:outlineLvl w:val="9"/>
    </w:pPr>
    <w:rPr>
      <w:rFonts w:ascii="Calibri" w:hAnsi="Calibri" w:eastAsia="宋体" w:cs="Times New Roman"/>
      <w:bCs w:val="0"/>
      <w:sz w:val="44"/>
      <w:szCs w:val="24"/>
    </w:rPr>
  </w:style>
  <w:style w:type="paragraph" w:customStyle="1" w:styleId="20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8">
    <w:name w:val="默认段落字体 Para Char"/>
    <w:basedOn w:val="1"/>
    <w:autoRedefine/>
    <w:qFormat/>
    <w:uiPriority w:val="0"/>
    <w:rPr>
      <w:rFonts w:ascii="Times New Roman" w:hAnsi="Times New Roman" w:eastAsia="宋体" w:cs="Times New Roman"/>
    </w:rPr>
  </w:style>
  <w:style w:type="paragraph" w:customStyle="1" w:styleId="209">
    <w:name w:val="文档结构图1"/>
    <w:basedOn w:val="1"/>
    <w:autoRedefine/>
    <w:qFormat/>
    <w:uiPriority w:val="0"/>
    <w:rPr>
      <w:rFonts w:ascii="Times New Roman" w:hAnsi="Times New Roman" w:eastAsia="宋体" w:cs="Times New Roman"/>
      <w:sz w:val="2"/>
      <w:szCs w:val="24"/>
    </w:rPr>
  </w:style>
  <w:style w:type="paragraph" w:customStyle="1" w:styleId="210">
    <w:name w:val="空半行"/>
    <w:basedOn w:val="1"/>
    <w:autoRedefine/>
    <w:qFormat/>
    <w:uiPriority w:val="0"/>
    <w:pPr>
      <w:adjustRightInd w:val="0"/>
      <w:spacing w:line="120" w:lineRule="exact"/>
    </w:pPr>
    <w:rPr>
      <w:rFonts w:ascii="Times New Roman" w:hAnsi="Times New Roman" w:eastAsia="仿宋_GB2312" w:cs="Times New Roman"/>
      <w:color w:val="FFFFFF"/>
      <w:kern w:val="0"/>
      <w:sz w:val="30"/>
    </w:rPr>
  </w:style>
  <w:style w:type="paragraph" w:customStyle="1" w:styleId="211">
    <w:name w:val="Char Char Char Char1 Char Char Char Char Char1 Char"/>
    <w:basedOn w:val="1"/>
    <w:autoRedefine/>
    <w:qFormat/>
    <w:uiPriority w:val="0"/>
    <w:pPr>
      <w:spacing w:line="240" w:lineRule="atLeast"/>
      <w:ind w:left="420" w:firstLine="420"/>
    </w:pPr>
    <w:rPr>
      <w:rFonts w:ascii="Times New Roman" w:hAnsi="Times New Roman" w:eastAsia="宋体" w:cs="Times New Roman"/>
      <w:kern w:val="0"/>
      <w:szCs w:val="21"/>
    </w:rPr>
  </w:style>
  <w:style w:type="paragraph" w:customStyle="1" w:styleId="212">
    <w:name w:val="Char1"/>
    <w:basedOn w:val="1"/>
    <w:autoRedefine/>
    <w:qFormat/>
    <w:uiPriority w:val="0"/>
    <w:rPr>
      <w:rFonts w:ascii="Times New Roman" w:hAnsi="Times New Roman" w:eastAsia="宋体" w:cs="Times New Roman"/>
      <w:szCs w:val="24"/>
    </w:rPr>
  </w:style>
  <w:style w:type="paragraph" w:customStyle="1" w:styleId="213">
    <w:name w:val="日期1"/>
    <w:basedOn w:val="1"/>
    <w:next w:val="1"/>
    <w:autoRedefine/>
    <w:qFormat/>
    <w:uiPriority w:val="0"/>
    <w:pPr>
      <w:ind w:left="100" w:leftChars="2500"/>
    </w:pPr>
    <w:rPr>
      <w:rFonts w:ascii="Times New Roman" w:hAnsi="Times New Roman" w:eastAsia="宋体" w:cs="Times New Roman"/>
      <w:sz w:val="24"/>
      <w:szCs w:val="24"/>
    </w:rPr>
  </w:style>
  <w:style w:type="paragraph" w:customStyle="1" w:styleId="214">
    <w:name w:val="正文首行缩进 21"/>
    <w:basedOn w:val="1"/>
    <w:autoRedefine/>
    <w:qFormat/>
    <w:uiPriority w:val="0"/>
    <w:pPr>
      <w:spacing w:after="120"/>
      <w:ind w:left="420" w:leftChars="200" w:firstLine="420" w:firstLineChars="200"/>
    </w:pPr>
    <w:rPr>
      <w:rFonts w:ascii="Times New Roman" w:hAnsi="Times New Roman" w:eastAsia="宋体" w:cs="Times New Roman"/>
      <w:kern w:val="0"/>
      <w:sz w:val="28"/>
    </w:rPr>
  </w:style>
  <w:style w:type="character" w:customStyle="1" w:styleId="215">
    <w:name w:val="font81"/>
    <w:basedOn w:val="56"/>
    <w:autoRedefine/>
    <w:qFormat/>
    <w:uiPriority w:val="0"/>
    <w:rPr>
      <w:rFonts w:ascii="宋体" w:hAnsi="宋体" w:eastAsia="宋体" w:cs="宋体"/>
      <w:color w:val="000000"/>
      <w:sz w:val="20"/>
      <w:szCs w:val="20"/>
      <w:u w:val="none"/>
    </w:rPr>
  </w:style>
  <w:style w:type="character" w:customStyle="1" w:styleId="216">
    <w:name w:val="font91"/>
    <w:basedOn w:val="56"/>
    <w:autoRedefine/>
    <w:qFormat/>
    <w:uiPriority w:val="0"/>
    <w:rPr>
      <w:rFonts w:ascii="Arial" w:hAnsi="Arial" w:cs="Arial"/>
      <w:color w:val="000000"/>
      <w:sz w:val="20"/>
      <w:szCs w:val="20"/>
      <w:u w:val="none"/>
    </w:rPr>
  </w:style>
  <w:style w:type="character" w:customStyle="1" w:styleId="217">
    <w:name w:val="font61"/>
    <w:basedOn w:val="56"/>
    <w:autoRedefine/>
    <w:qFormat/>
    <w:uiPriority w:val="0"/>
    <w:rPr>
      <w:rFonts w:hint="eastAsia" w:ascii="宋体" w:hAnsi="宋体" w:eastAsia="宋体" w:cs="宋体"/>
      <w:color w:val="000000"/>
      <w:sz w:val="20"/>
      <w:szCs w:val="20"/>
      <w:u w:val="none"/>
    </w:rPr>
  </w:style>
  <w:style w:type="paragraph" w:customStyle="1" w:styleId="218">
    <w:name w:val="目录文字"/>
    <w:basedOn w:val="1"/>
    <w:autoRedefine/>
    <w:qFormat/>
    <w:uiPriority w:val="99"/>
    <w:pPr>
      <w:widowControl/>
      <w:spacing w:line="480" w:lineRule="auto"/>
      <w:jc w:val="left"/>
    </w:pPr>
    <w:rPr>
      <w:rFonts w:ascii="宋体" w:hAnsi="宋体" w:cs="宋体"/>
      <w:kern w:val="0"/>
      <w:sz w:val="24"/>
      <w:szCs w:val="24"/>
    </w:rPr>
  </w:style>
  <w:style w:type="table" w:customStyle="1" w:styleId="219">
    <w:name w:val="Table Normal"/>
    <w:autoRedefine/>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220">
    <w:name w:val="Table Paragraph"/>
    <w:basedOn w:val="1"/>
    <w:autoRedefine/>
    <w:qFormat/>
    <w:uiPriority w:val="1"/>
    <w:pPr>
      <w:jc w:val="left"/>
    </w:pPr>
    <w:rPr>
      <w:kern w:val="0"/>
      <w:sz w:val="22"/>
      <w:lang w:eastAsia="en-US"/>
    </w:rPr>
  </w:style>
  <w:style w:type="paragraph" w:customStyle="1" w:styleId="221">
    <w:name w:val="null3"/>
    <w:autoRedefine/>
    <w:hidden/>
    <w:qFormat/>
    <w:uiPriority w:val="0"/>
    <w:rPr>
      <w:rFonts w:hint="eastAsia" w:asciiTheme="minorHAnsi" w:hAnsiTheme="minorHAnsi" w:eastAsiaTheme="minorEastAsia" w:cstheme="minorBidi"/>
      <w:lang w:val="en-US" w:eastAsia="zh-Hans"/>
    </w:rPr>
  </w:style>
  <w:style w:type="character" w:customStyle="1" w:styleId="222">
    <w:name w:val="font21"/>
    <w:basedOn w:val="56"/>
    <w:qFormat/>
    <w:uiPriority w:val="0"/>
    <w:rPr>
      <w:rFonts w:hint="eastAsia" w:ascii="宋体" w:hAnsi="宋体" w:eastAsia="宋体" w:cs="宋体"/>
      <w:color w:val="000000"/>
      <w:sz w:val="22"/>
      <w:szCs w:val="22"/>
      <w:u w:val="none"/>
    </w:rPr>
  </w:style>
  <w:style w:type="character" w:customStyle="1" w:styleId="223">
    <w:name w:val="font01"/>
    <w:basedOn w:val="56"/>
    <w:qFormat/>
    <w:uiPriority w:val="0"/>
    <w:rPr>
      <w:rFonts w:hint="eastAsia" w:ascii="宋体" w:hAnsi="宋体" w:eastAsia="宋体" w:cs="宋体"/>
      <w:color w:val="000000"/>
      <w:sz w:val="22"/>
      <w:szCs w:val="22"/>
      <w:u w:val="none"/>
    </w:rPr>
  </w:style>
  <w:style w:type="character" w:customStyle="1" w:styleId="224">
    <w:name w:val="font141"/>
    <w:basedOn w:val="56"/>
    <w:qFormat/>
    <w:uiPriority w:val="0"/>
    <w:rPr>
      <w:rFonts w:hint="eastAsia" w:ascii="宋体" w:hAnsi="宋体" w:eastAsia="宋体" w:cs="宋体"/>
      <w:color w:val="000000"/>
      <w:sz w:val="22"/>
      <w:szCs w:val="22"/>
      <w:u w:val="none"/>
      <w:vertAlign w:val="subscript"/>
    </w:rPr>
  </w:style>
  <w:style w:type="character" w:customStyle="1" w:styleId="225">
    <w:name w:val="font151"/>
    <w:basedOn w:val="56"/>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27237</Words>
  <Characters>33332</Characters>
  <Lines>134</Lines>
  <Paragraphs>37</Paragraphs>
  <TotalTime>71</TotalTime>
  <ScaleCrop>false</ScaleCrop>
  <LinksUpToDate>false</LinksUpToDate>
  <CharactersWithSpaces>35016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2022-05-30T08:17:00Z</dcterms:created>
  <dc:creator>Administrator</dc:creator>
  <cp:lastModifiedBy>大大大巧 </cp:lastModifiedBy>
  <cp:lastPrinted>2024-03-07T06:40:00Z</cp:lastPrinted>
  <dcterms:modified xsi:type="dcterms:W3CDTF">2024-06-28T01:09:11Z</dcterms:modified>
  <dc:title>云南玉溪国家粮食储备库大修及功能提升项目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835751B35C0346659332F4DD523DC68D_13</vt:lpwstr>
  </property>
</Properties>
</file>