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C279F">
      <w:pPr>
        <w:jc w:val="center"/>
        <w:rPr>
          <w:rFonts w:ascii="宋体" w:hAnsi="宋体" w:cs="宋体"/>
          <w:b/>
          <w:bCs/>
          <w:kern w:val="0"/>
          <w:szCs w:val="28"/>
        </w:rPr>
      </w:pPr>
      <w:r>
        <w:rPr>
          <w:rFonts w:hint="eastAsia" w:ascii="宋体" w:hAnsi="宋体" w:cs="宋体"/>
          <w:b/>
          <w:bCs/>
          <w:kern w:val="0"/>
          <w:szCs w:val="28"/>
        </w:rPr>
        <w:t>评审标准</w:t>
      </w:r>
    </w:p>
    <w:tbl>
      <w:tblPr>
        <w:tblStyle w:val="2"/>
        <w:tblpPr w:leftFromText="180" w:rightFromText="180" w:vertAnchor="text" w:horzAnchor="page" w:tblpX="1293" w:tblpY="317"/>
        <w:tblOverlap w:val="never"/>
        <w:tblW w:w="932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8"/>
        <w:gridCol w:w="1218"/>
        <w:gridCol w:w="886"/>
        <w:gridCol w:w="5141"/>
        <w:gridCol w:w="1566"/>
      </w:tblGrid>
      <w:tr w14:paraId="0CA7D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329" w:type="dxa"/>
            <w:gridSpan w:val="5"/>
            <w:tcBorders>
              <w:top w:val="single" w:color="auto" w:sz="4" w:space="0"/>
              <w:left w:val="single" w:color="auto" w:sz="4" w:space="0"/>
              <w:bottom w:val="single" w:color="auto" w:sz="4" w:space="0"/>
              <w:right w:val="single" w:color="auto" w:sz="4" w:space="0"/>
            </w:tcBorders>
            <w:vAlign w:val="center"/>
          </w:tcPr>
          <w:p w14:paraId="1D90F924">
            <w:pPr>
              <w:spacing w:beforeLines="10" w:afterLines="10"/>
              <w:jc w:val="center"/>
              <w:rPr>
                <w:rFonts w:ascii="宋体" w:hAnsi="宋体" w:cs="宋体"/>
                <w:b/>
                <w:bCs/>
                <w:sz w:val="24"/>
                <w:szCs w:val="24"/>
              </w:rPr>
            </w:pPr>
            <w:r>
              <w:rPr>
                <w:rFonts w:hint="eastAsia" w:ascii="宋体" w:hAnsi="宋体" w:cs="宋体"/>
                <w:b/>
                <w:bCs/>
                <w:sz w:val="24"/>
                <w:szCs w:val="24"/>
              </w:rPr>
              <w:t>评分办法</w:t>
            </w:r>
          </w:p>
        </w:tc>
      </w:tr>
      <w:tr w14:paraId="44E6E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18" w:type="dxa"/>
            <w:tcBorders>
              <w:top w:val="single" w:color="auto" w:sz="4" w:space="0"/>
              <w:left w:val="single" w:color="auto" w:sz="4" w:space="0"/>
              <w:bottom w:val="single" w:color="auto" w:sz="4" w:space="0"/>
              <w:right w:val="single" w:color="auto" w:sz="4" w:space="0"/>
            </w:tcBorders>
            <w:vAlign w:val="center"/>
          </w:tcPr>
          <w:p w14:paraId="5E774C93">
            <w:pPr>
              <w:spacing w:beforeLines="10" w:afterLines="10"/>
              <w:jc w:val="center"/>
              <w:rPr>
                <w:rFonts w:ascii="宋体" w:hAnsi="宋体" w:cs="宋体"/>
                <w:b/>
                <w:bCs/>
                <w:sz w:val="24"/>
                <w:szCs w:val="24"/>
              </w:rPr>
            </w:pPr>
            <w:r>
              <w:rPr>
                <w:rFonts w:hint="eastAsia" w:ascii="宋体" w:hAnsi="宋体" w:cs="宋体"/>
                <w:b/>
                <w:bCs/>
                <w:sz w:val="24"/>
                <w:szCs w:val="24"/>
              </w:rPr>
              <w:t>序号</w:t>
            </w:r>
          </w:p>
        </w:tc>
        <w:tc>
          <w:tcPr>
            <w:tcW w:w="1218" w:type="dxa"/>
            <w:tcBorders>
              <w:top w:val="single" w:color="auto" w:sz="4" w:space="0"/>
              <w:left w:val="single" w:color="auto" w:sz="4" w:space="0"/>
              <w:bottom w:val="single" w:color="auto" w:sz="4" w:space="0"/>
              <w:right w:val="single" w:color="auto" w:sz="4" w:space="0"/>
            </w:tcBorders>
            <w:vAlign w:val="center"/>
          </w:tcPr>
          <w:p w14:paraId="0293E5B7">
            <w:pPr>
              <w:spacing w:beforeLines="10" w:afterLines="10"/>
              <w:ind w:right="-90" w:rightChars="-32"/>
              <w:jc w:val="center"/>
              <w:rPr>
                <w:rFonts w:ascii="宋体" w:hAnsi="宋体" w:cs="宋体"/>
                <w:b/>
                <w:bCs/>
                <w:sz w:val="24"/>
                <w:szCs w:val="24"/>
              </w:rPr>
            </w:pPr>
            <w:r>
              <w:rPr>
                <w:rFonts w:hint="eastAsia" w:ascii="宋体" w:hAnsi="宋体" w:cs="宋体"/>
                <w:b/>
                <w:bCs/>
                <w:sz w:val="24"/>
                <w:szCs w:val="24"/>
              </w:rPr>
              <w:t>评分因素</w:t>
            </w:r>
          </w:p>
          <w:p w14:paraId="205DCAE2">
            <w:pPr>
              <w:spacing w:beforeLines="10" w:afterLines="10"/>
              <w:jc w:val="center"/>
              <w:rPr>
                <w:rFonts w:ascii="宋体" w:hAnsi="宋体" w:cs="宋体"/>
                <w:b/>
                <w:bCs/>
                <w:sz w:val="24"/>
                <w:szCs w:val="24"/>
              </w:rPr>
            </w:pPr>
            <w:r>
              <w:rPr>
                <w:rFonts w:hint="eastAsia" w:ascii="宋体" w:hAnsi="宋体" w:cs="宋体"/>
                <w:b/>
                <w:bCs/>
                <w:sz w:val="24"/>
                <w:szCs w:val="24"/>
              </w:rPr>
              <w:t>及权重</w:t>
            </w:r>
          </w:p>
        </w:tc>
        <w:tc>
          <w:tcPr>
            <w:tcW w:w="886" w:type="dxa"/>
            <w:tcBorders>
              <w:top w:val="single" w:color="auto" w:sz="4" w:space="0"/>
              <w:left w:val="single" w:color="auto" w:sz="4" w:space="0"/>
              <w:bottom w:val="single" w:color="auto" w:sz="4" w:space="0"/>
              <w:right w:val="single" w:color="auto" w:sz="4" w:space="0"/>
            </w:tcBorders>
            <w:vAlign w:val="center"/>
          </w:tcPr>
          <w:p w14:paraId="4669A6CB">
            <w:pPr>
              <w:spacing w:beforeLines="10" w:afterLines="10"/>
              <w:ind w:left="-60" w:right="-107"/>
              <w:jc w:val="center"/>
              <w:rPr>
                <w:rFonts w:ascii="宋体" w:hAnsi="宋体" w:cs="宋体"/>
                <w:b/>
                <w:bCs/>
                <w:sz w:val="24"/>
                <w:szCs w:val="24"/>
              </w:rPr>
            </w:pPr>
            <w:r>
              <w:rPr>
                <w:rFonts w:hint="eastAsia" w:ascii="宋体" w:hAnsi="宋体" w:cs="宋体"/>
                <w:b/>
                <w:bCs/>
                <w:sz w:val="24"/>
                <w:szCs w:val="24"/>
              </w:rPr>
              <w:t>分值</w:t>
            </w:r>
          </w:p>
        </w:tc>
        <w:tc>
          <w:tcPr>
            <w:tcW w:w="5141" w:type="dxa"/>
            <w:tcBorders>
              <w:top w:val="single" w:color="auto" w:sz="4" w:space="0"/>
              <w:left w:val="single" w:color="auto" w:sz="4" w:space="0"/>
              <w:bottom w:val="single" w:color="auto" w:sz="4" w:space="0"/>
              <w:right w:val="single" w:color="auto" w:sz="4" w:space="0"/>
            </w:tcBorders>
            <w:vAlign w:val="center"/>
          </w:tcPr>
          <w:p w14:paraId="65D6B8DF">
            <w:pPr>
              <w:spacing w:beforeLines="10" w:afterLines="10"/>
              <w:ind w:right="231"/>
              <w:jc w:val="center"/>
              <w:rPr>
                <w:rFonts w:ascii="宋体" w:hAnsi="宋体" w:cs="宋体"/>
                <w:b/>
                <w:bCs/>
                <w:sz w:val="24"/>
                <w:szCs w:val="24"/>
              </w:rPr>
            </w:pPr>
            <w:r>
              <w:rPr>
                <w:rFonts w:hint="eastAsia" w:ascii="宋体" w:hAnsi="宋体" w:cs="宋体"/>
                <w:b/>
                <w:bCs/>
                <w:sz w:val="24"/>
                <w:szCs w:val="24"/>
              </w:rPr>
              <w:t>评分标准</w:t>
            </w:r>
          </w:p>
        </w:tc>
        <w:tc>
          <w:tcPr>
            <w:tcW w:w="1566" w:type="dxa"/>
            <w:tcBorders>
              <w:top w:val="single" w:color="auto" w:sz="4" w:space="0"/>
              <w:left w:val="single" w:color="auto" w:sz="4" w:space="0"/>
              <w:bottom w:val="single" w:color="auto" w:sz="4" w:space="0"/>
              <w:right w:val="single" w:color="auto" w:sz="4" w:space="0"/>
            </w:tcBorders>
            <w:vAlign w:val="center"/>
          </w:tcPr>
          <w:p w14:paraId="18A93F74">
            <w:pPr>
              <w:spacing w:beforeLines="10" w:afterLines="10"/>
              <w:jc w:val="center"/>
              <w:rPr>
                <w:rFonts w:ascii="宋体" w:hAnsi="宋体" w:cs="宋体"/>
                <w:b/>
                <w:bCs/>
                <w:sz w:val="24"/>
                <w:szCs w:val="24"/>
              </w:rPr>
            </w:pPr>
            <w:r>
              <w:rPr>
                <w:rFonts w:hint="eastAsia" w:ascii="宋体" w:hAnsi="宋体" w:cs="宋体"/>
                <w:b/>
                <w:bCs/>
                <w:sz w:val="24"/>
                <w:szCs w:val="24"/>
              </w:rPr>
              <w:t>备注</w:t>
            </w:r>
          </w:p>
        </w:tc>
      </w:tr>
      <w:tr w14:paraId="56747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9329" w:type="dxa"/>
            <w:gridSpan w:val="5"/>
            <w:tcBorders>
              <w:top w:val="single" w:color="auto" w:sz="4" w:space="0"/>
              <w:left w:val="single" w:color="auto" w:sz="4" w:space="0"/>
              <w:bottom w:val="single" w:color="auto" w:sz="4" w:space="0"/>
              <w:right w:val="single" w:color="auto" w:sz="4" w:space="0"/>
            </w:tcBorders>
            <w:vAlign w:val="center"/>
          </w:tcPr>
          <w:p w14:paraId="5B2E73CD">
            <w:pPr>
              <w:spacing w:beforeLines="10" w:afterLines="10"/>
              <w:rPr>
                <w:rFonts w:ascii="宋体" w:hAnsi="宋体" w:cs="宋体"/>
                <w:sz w:val="24"/>
                <w:szCs w:val="24"/>
              </w:rPr>
            </w:pPr>
            <w:r>
              <w:rPr>
                <w:rFonts w:hint="eastAsia" w:ascii="宋体" w:hAnsi="宋体" w:cs="宋体"/>
                <w:b/>
                <w:bCs/>
                <w:sz w:val="24"/>
                <w:szCs w:val="24"/>
              </w:rPr>
              <w:t>一、</w:t>
            </w:r>
            <w:r>
              <w:rPr>
                <w:rFonts w:hint="eastAsia" w:ascii="宋体" w:hAnsi="宋体" w:cs="宋体"/>
                <w:b/>
                <w:bCs/>
                <w:sz w:val="24"/>
                <w:szCs w:val="24"/>
                <w:lang w:val="en-US" w:eastAsia="zh-CN"/>
              </w:rPr>
              <w:t>服务方案</w:t>
            </w:r>
            <w:r>
              <w:rPr>
                <w:rFonts w:hint="eastAsia" w:ascii="宋体" w:hAnsi="宋体" w:cs="宋体"/>
                <w:b/>
                <w:bCs/>
                <w:sz w:val="24"/>
                <w:szCs w:val="24"/>
              </w:rPr>
              <w:t>（50分）</w:t>
            </w:r>
          </w:p>
        </w:tc>
      </w:tr>
      <w:tr w14:paraId="34565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7" w:hRule="atLeast"/>
        </w:trPr>
        <w:tc>
          <w:tcPr>
            <w:tcW w:w="518" w:type="dxa"/>
            <w:tcBorders>
              <w:top w:val="single" w:color="auto" w:sz="4" w:space="0"/>
              <w:left w:val="single" w:color="auto" w:sz="4" w:space="0"/>
              <w:right w:val="single" w:color="auto" w:sz="4" w:space="0"/>
            </w:tcBorders>
            <w:vAlign w:val="center"/>
          </w:tcPr>
          <w:p w14:paraId="0AE743D1">
            <w:pPr>
              <w:spacing w:beforeLines="10" w:afterLines="10"/>
              <w:jc w:val="center"/>
              <w:rPr>
                <w:rFonts w:ascii="宋体" w:hAnsi="宋体" w:cs="宋体"/>
                <w:sz w:val="24"/>
                <w:szCs w:val="24"/>
              </w:rPr>
            </w:pPr>
            <w:r>
              <w:rPr>
                <w:rFonts w:hint="eastAsia" w:ascii="宋体" w:hAnsi="宋体" w:cs="宋体"/>
                <w:sz w:val="24"/>
                <w:szCs w:val="24"/>
              </w:rPr>
              <w:t>1</w:t>
            </w:r>
          </w:p>
        </w:tc>
        <w:tc>
          <w:tcPr>
            <w:tcW w:w="1218" w:type="dxa"/>
            <w:tcBorders>
              <w:top w:val="single" w:color="auto" w:sz="4" w:space="0"/>
              <w:left w:val="single" w:color="auto" w:sz="4" w:space="0"/>
              <w:right w:val="single" w:color="auto" w:sz="4" w:space="0"/>
            </w:tcBorders>
            <w:vAlign w:val="center"/>
          </w:tcPr>
          <w:p w14:paraId="660585C8">
            <w:pPr>
              <w:pStyle w:val="4"/>
              <w:widowControl w:val="0"/>
              <w:autoSpaceDE w:val="0"/>
              <w:autoSpaceDN w:val="0"/>
              <w:adjustRightInd w:val="0"/>
              <w:spacing w:before="0" w:after="0"/>
              <w:jc w:val="left"/>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项目实施方案</w:t>
            </w:r>
          </w:p>
        </w:tc>
        <w:tc>
          <w:tcPr>
            <w:tcW w:w="886" w:type="dxa"/>
            <w:tcBorders>
              <w:top w:val="single" w:color="auto" w:sz="4" w:space="0"/>
              <w:left w:val="single" w:color="auto" w:sz="4" w:space="0"/>
              <w:right w:val="single" w:color="auto" w:sz="4" w:space="0"/>
            </w:tcBorders>
            <w:vAlign w:val="center"/>
          </w:tcPr>
          <w:p w14:paraId="561FC2B6">
            <w:pPr>
              <w:pStyle w:val="4"/>
              <w:widowControl w:val="0"/>
              <w:autoSpaceDE w:val="0"/>
              <w:autoSpaceDN w:val="0"/>
              <w:adjustRightInd w:val="0"/>
              <w:spacing w:before="0" w:after="0"/>
              <w:jc w:val="left"/>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25</w:t>
            </w:r>
          </w:p>
        </w:tc>
        <w:tc>
          <w:tcPr>
            <w:tcW w:w="5141" w:type="dxa"/>
            <w:tcBorders>
              <w:top w:val="single" w:color="auto" w:sz="4" w:space="0"/>
              <w:left w:val="single" w:color="auto" w:sz="4" w:space="0"/>
              <w:bottom w:val="single" w:color="auto" w:sz="4" w:space="0"/>
              <w:right w:val="single" w:color="auto" w:sz="4" w:space="0"/>
            </w:tcBorders>
          </w:tcPr>
          <w:p w14:paraId="26C79A53">
            <w:pPr>
              <w:pStyle w:val="4"/>
              <w:widowControl w:val="0"/>
              <w:autoSpaceDE w:val="0"/>
              <w:autoSpaceDN w:val="0"/>
              <w:adjustRightInd w:val="0"/>
              <w:spacing w:before="0" w:after="0"/>
              <w:jc w:val="left"/>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供应商需提供针对本项目的项目实施方案,包含但不限于：①公众号运营流程；②公众号运营思想；③公众号运营关键要点；④项目组织机构；</w:t>
            </w:r>
            <w:r>
              <w:rPr>
                <w:rFonts w:hint="eastAsia" w:ascii="宋体" w:hAnsi="宋体" w:eastAsia="宋体" w:cs="宋体"/>
                <w:kern w:val="2"/>
                <w:sz w:val="24"/>
                <w:szCs w:val="24"/>
                <w:lang w:val="en-US" w:eastAsia="zh-CN"/>
              </w:rPr>
              <w:fldChar w:fldCharType="begin"/>
            </w:r>
            <w:r>
              <w:rPr>
                <w:rFonts w:hint="eastAsia" w:ascii="宋体" w:hAnsi="宋体" w:eastAsia="宋体" w:cs="宋体"/>
                <w:kern w:val="2"/>
                <w:sz w:val="24"/>
                <w:szCs w:val="24"/>
                <w:lang w:val="en-US" w:eastAsia="zh-CN"/>
              </w:rPr>
              <w:instrText xml:space="preserve"> = 5 \* GB3 \* MERGEFORMAT </w:instrText>
            </w:r>
            <w:r>
              <w:rPr>
                <w:rFonts w:hint="eastAsia" w:ascii="宋体" w:hAnsi="宋体" w:eastAsia="宋体" w:cs="宋体"/>
                <w:kern w:val="2"/>
                <w:sz w:val="24"/>
                <w:szCs w:val="24"/>
                <w:lang w:val="en-US" w:eastAsia="zh-CN"/>
              </w:rPr>
              <w:fldChar w:fldCharType="separate"/>
            </w:r>
            <w:r>
              <w:rPr>
                <w:rFonts w:hint="eastAsia" w:ascii="宋体" w:hAnsi="宋体" w:eastAsia="宋体" w:cs="宋体"/>
                <w:kern w:val="2"/>
                <w:sz w:val="24"/>
                <w:szCs w:val="24"/>
                <w:lang w:val="en-US" w:eastAsia="zh-CN"/>
              </w:rPr>
              <w:t>⑤</w:t>
            </w:r>
            <w:r>
              <w:rPr>
                <w:rFonts w:hint="eastAsia" w:ascii="宋体" w:hAnsi="宋体" w:eastAsia="宋体" w:cs="宋体"/>
                <w:kern w:val="2"/>
                <w:sz w:val="24"/>
                <w:szCs w:val="24"/>
                <w:lang w:val="en-US" w:eastAsia="zh-CN"/>
              </w:rPr>
              <w:fldChar w:fldCharType="end"/>
            </w:r>
            <w:r>
              <w:rPr>
                <w:rFonts w:hint="eastAsia" w:ascii="宋体" w:hAnsi="宋体" w:eastAsia="宋体" w:cs="宋体"/>
                <w:kern w:val="2"/>
                <w:sz w:val="24"/>
                <w:szCs w:val="24"/>
                <w:lang w:val="en-US" w:eastAsia="zh-CN"/>
              </w:rPr>
              <w:t>项目管理制度，共5项。方案齐全且无缺陷的得25分，每缺少一项内容的扣5分；每项中每有一处缺陷的扣0.5分，每项关于内容缺陷最多扣5分。</w:t>
            </w:r>
          </w:p>
          <w:p w14:paraId="021E9BFB">
            <w:pPr>
              <w:pStyle w:val="4"/>
              <w:widowControl w:val="0"/>
              <w:autoSpaceDE w:val="0"/>
              <w:autoSpaceDN w:val="0"/>
              <w:adjustRightInd w:val="0"/>
              <w:spacing w:before="0" w:after="0"/>
              <w:jc w:val="left"/>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c>
          <w:tcPr>
            <w:tcW w:w="1566" w:type="dxa"/>
            <w:tcBorders>
              <w:top w:val="single" w:color="auto" w:sz="4" w:space="0"/>
              <w:left w:val="single" w:color="auto" w:sz="4" w:space="0"/>
              <w:bottom w:val="single" w:color="auto" w:sz="4" w:space="0"/>
              <w:right w:val="single" w:color="auto" w:sz="4" w:space="0"/>
            </w:tcBorders>
            <w:vAlign w:val="center"/>
          </w:tcPr>
          <w:p w14:paraId="4D700EFE">
            <w:pPr>
              <w:spacing w:beforeLines="10" w:afterLines="10"/>
              <w:jc w:val="left"/>
              <w:rPr>
                <w:rFonts w:ascii="宋体" w:hAnsi="宋体" w:cs="宋体"/>
                <w:sz w:val="24"/>
                <w:szCs w:val="24"/>
              </w:rPr>
            </w:pPr>
            <w:r>
              <w:rPr>
                <w:rFonts w:hint="eastAsia" w:ascii="宋体" w:hAnsi="宋体" w:cs="宋体"/>
                <w:sz w:val="24"/>
                <w:szCs w:val="24"/>
              </w:rPr>
              <w:t>采购人会根据采购服务要求为标准，对各供应商提供的书面方案进行横向比较评分。</w:t>
            </w:r>
          </w:p>
        </w:tc>
      </w:tr>
      <w:tr w14:paraId="2C98D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7" w:hRule="atLeast"/>
        </w:trPr>
        <w:tc>
          <w:tcPr>
            <w:tcW w:w="518" w:type="dxa"/>
            <w:tcBorders>
              <w:top w:val="single" w:color="auto" w:sz="4" w:space="0"/>
              <w:left w:val="single" w:color="auto" w:sz="4" w:space="0"/>
              <w:right w:val="single" w:color="auto" w:sz="4" w:space="0"/>
            </w:tcBorders>
            <w:vAlign w:val="center"/>
          </w:tcPr>
          <w:p w14:paraId="43996A7B">
            <w:pPr>
              <w:spacing w:beforeLines="10" w:afterLines="10"/>
              <w:jc w:val="center"/>
              <w:rPr>
                <w:rFonts w:ascii="宋体" w:hAnsi="宋体" w:cs="宋体"/>
                <w:sz w:val="24"/>
                <w:szCs w:val="24"/>
              </w:rPr>
            </w:pPr>
            <w:r>
              <w:rPr>
                <w:rFonts w:hint="eastAsia" w:ascii="宋体" w:hAnsi="宋体" w:cs="宋体"/>
                <w:sz w:val="24"/>
                <w:szCs w:val="24"/>
              </w:rPr>
              <w:t>2</w:t>
            </w:r>
          </w:p>
        </w:tc>
        <w:tc>
          <w:tcPr>
            <w:tcW w:w="1218" w:type="dxa"/>
            <w:tcBorders>
              <w:top w:val="single" w:color="auto" w:sz="4" w:space="0"/>
              <w:left w:val="single" w:color="auto" w:sz="4" w:space="0"/>
              <w:right w:val="single" w:color="auto" w:sz="4" w:space="0"/>
            </w:tcBorders>
            <w:vAlign w:val="center"/>
          </w:tcPr>
          <w:p w14:paraId="380C124F">
            <w:pPr>
              <w:pStyle w:val="4"/>
              <w:widowControl w:val="0"/>
              <w:autoSpaceDE w:val="0"/>
              <w:autoSpaceDN w:val="0"/>
              <w:adjustRightInd w:val="0"/>
              <w:spacing w:before="0" w:after="0"/>
              <w:jc w:val="left"/>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项目保障、应急方案</w:t>
            </w:r>
          </w:p>
        </w:tc>
        <w:tc>
          <w:tcPr>
            <w:tcW w:w="886" w:type="dxa"/>
            <w:tcBorders>
              <w:top w:val="single" w:color="auto" w:sz="4" w:space="0"/>
              <w:left w:val="single" w:color="auto" w:sz="4" w:space="0"/>
              <w:right w:val="single" w:color="auto" w:sz="4" w:space="0"/>
            </w:tcBorders>
            <w:vAlign w:val="center"/>
          </w:tcPr>
          <w:p w14:paraId="0E0A1496">
            <w:pPr>
              <w:pStyle w:val="4"/>
              <w:widowControl w:val="0"/>
              <w:autoSpaceDE w:val="0"/>
              <w:autoSpaceDN w:val="0"/>
              <w:adjustRightInd w:val="0"/>
              <w:spacing w:before="0" w:after="0"/>
              <w:jc w:val="left"/>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25</w:t>
            </w:r>
          </w:p>
        </w:tc>
        <w:tc>
          <w:tcPr>
            <w:tcW w:w="5141" w:type="dxa"/>
            <w:tcBorders>
              <w:top w:val="single" w:color="auto" w:sz="4" w:space="0"/>
              <w:left w:val="single" w:color="auto" w:sz="4" w:space="0"/>
              <w:bottom w:val="single" w:color="auto" w:sz="4" w:space="0"/>
              <w:right w:val="single" w:color="auto" w:sz="4" w:space="0"/>
            </w:tcBorders>
          </w:tcPr>
          <w:p w14:paraId="327C5CC7">
            <w:pPr>
              <w:pStyle w:val="4"/>
              <w:widowControl w:val="0"/>
              <w:autoSpaceDE w:val="0"/>
              <w:autoSpaceDN w:val="0"/>
              <w:adjustRightInd w:val="0"/>
              <w:spacing w:before="0" w:after="0"/>
              <w:jc w:val="left"/>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供应商需提供针对本项目的提供的项目保障、应急方案，包括但不限于：①人员保障方案、②设备保障方案、③网络舆情应急预案、④公众号安全应急预案、⑤设备故障应急预案等，共5项。方案齐全且无缺陷的得25分，每缺少一项内容的扣5分；每项中每有一处缺陷的扣0.5分，每项关于内容缺陷最多扣5分。</w:t>
            </w:r>
          </w:p>
          <w:p w14:paraId="061EE898">
            <w:pPr>
              <w:pStyle w:val="4"/>
              <w:widowControl w:val="0"/>
              <w:autoSpaceDE w:val="0"/>
              <w:autoSpaceDN w:val="0"/>
              <w:adjustRightInd w:val="0"/>
              <w:spacing w:before="0" w:after="0"/>
              <w:jc w:val="left"/>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注：缺陷指：方案内容与项目实际情况不符或与相对应评分标准不符、套用其他项目方案或存在明显与本项目无关的文字内容、内容前后矛盾或存在逻辑错误或表述错误或科学原理错误或涉及的规范及标准错误、存在不可能实现的情形等任意一种情形。</w:t>
            </w:r>
          </w:p>
        </w:tc>
        <w:tc>
          <w:tcPr>
            <w:tcW w:w="1566" w:type="dxa"/>
            <w:tcBorders>
              <w:top w:val="single" w:color="auto" w:sz="4" w:space="0"/>
              <w:left w:val="single" w:color="auto" w:sz="4" w:space="0"/>
              <w:bottom w:val="single" w:color="auto" w:sz="4" w:space="0"/>
              <w:right w:val="single" w:color="auto" w:sz="4" w:space="0"/>
            </w:tcBorders>
            <w:vAlign w:val="center"/>
          </w:tcPr>
          <w:p w14:paraId="1163110A">
            <w:pPr>
              <w:spacing w:beforeLines="10" w:afterLines="10"/>
              <w:jc w:val="left"/>
              <w:rPr>
                <w:rFonts w:ascii="宋体" w:hAnsi="宋体" w:cs="宋体"/>
                <w:sz w:val="24"/>
                <w:szCs w:val="24"/>
              </w:rPr>
            </w:pPr>
            <w:r>
              <w:rPr>
                <w:rFonts w:hint="eastAsia" w:ascii="宋体" w:hAnsi="宋体" w:cs="宋体"/>
                <w:sz w:val="24"/>
                <w:szCs w:val="24"/>
              </w:rPr>
              <w:t>采购人会根据采购服务要求为标准，对各供应商提供的书面方案进行横向比较评分。</w:t>
            </w:r>
          </w:p>
        </w:tc>
      </w:tr>
      <w:tr w14:paraId="47376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4" w:hRule="atLeast"/>
        </w:trPr>
        <w:tc>
          <w:tcPr>
            <w:tcW w:w="9329" w:type="dxa"/>
            <w:gridSpan w:val="5"/>
            <w:tcBorders>
              <w:top w:val="single" w:color="auto" w:sz="4" w:space="0"/>
              <w:left w:val="single" w:color="auto" w:sz="4" w:space="0"/>
              <w:bottom w:val="single" w:color="auto" w:sz="4" w:space="0"/>
              <w:right w:val="single" w:color="auto" w:sz="4" w:space="0"/>
            </w:tcBorders>
            <w:vAlign w:val="center"/>
          </w:tcPr>
          <w:p w14:paraId="52420CFE">
            <w:pPr>
              <w:spacing w:beforeLines="10" w:afterLines="10"/>
              <w:jc w:val="left"/>
              <w:rPr>
                <w:rFonts w:ascii="宋体" w:hAnsi="宋体" w:cs="宋体"/>
                <w:sz w:val="24"/>
                <w:szCs w:val="24"/>
              </w:rPr>
            </w:pPr>
            <w:r>
              <w:rPr>
                <w:rFonts w:hint="eastAsia" w:ascii="宋体" w:hAnsi="宋体" w:cs="宋体"/>
                <w:b/>
                <w:bCs/>
                <w:sz w:val="24"/>
                <w:szCs w:val="24"/>
              </w:rPr>
              <w:t>二、商务部分（30分）</w:t>
            </w:r>
          </w:p>
        </w:tc>
      </w:tr>
      <w:tr w14:paraId="0EE1B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9" w:hRule="atLeast"/>
        </w:trPr>
        <w:tc>
          <w:tcPr>
            <w:tcW w:w="518" w:type="dxa"/>
            <w:tcBorders>
              <w:top w:val="single" w:color="auto" w:sz="4" w:space="0"/>
              <w:left w:val="single" w:color="auto" w:sz="4" w:space="0"/>
              <w:bottom w:val="single" w:color="auto" w:sz="4" w:space="0"/>
              <w:right w:val="single" w:color="auto" w:sz="4" w:space="0"/>
            </w:tcBorders>
            <w:vAlign w:val="center"/>
          </w:tcPr>
          <w:p w14:paraId="25034194">
            <w:pPr>
              <w:spacing w:beforeLines="10" w:afterLines="10"/>
              <w:jc w:val="center"/>
              <w:rPr>
                <w:rFonts w:ascii="宋体" w:hAnsi="宋体" w:cs="宋体"/>
                <w:sz w:val="24"/>
                <w:szCs w:val="24"/>
              </w:rPr>
            </w:pPr>
            <w:r>
              <w:rPr>
                <w:rFonts w:hint="eastAsia" w:ascii="宋体" w:hAnsi="宋体" w:cs="宋体"/>
                <w:sz w:val="24"/>
                <w:szCs w:val="24"/>
              </w:rPr>
              <w:t>1</w:t>
            </w:r>
          </w:p>
        </w:tc>
        <w:tc>
          <w:tcPr>
            <w:tcW w:w="1218" w:type="dxa"/>
            <w:tcBorders>
              <w:top w:val="single" w:color="auto" w:sz="4" w:space="0"/>
              <w:left w:val="single" w:color="auto" w:sz="4" w:space="0"/>
              <w:bottom w:val="single" w:color="auto" w:sz="4" w:space="0"/>
              <w:right w:val="single" w:color="auto" w:sz="4" w:space="0"/>
            </w:tcBorders>
            <w:vAlign w:val="center"/>
          </w:tcPr>
          <w:p w14:paraId="1EABC7B3">
            <w:pPr>
              <w:pStyle w:val="4"/>
              <w:widowControl w:val="0"/>
              <w:autoSpaceDE w:val="0"/>
              <w:autoSpaceDN w:val="0"/>
              <w:adjustRightInd w:val="0"/>
              <w:spacing w:before="0" w:after="0"/>
              <w:jc w:val="left"/>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业绩证明</w:t>
            </w:r>
          </w:p>
        </w:tc>
        <w:tc>
          <w:tcPr>
            <w:tcW w:w="886" w:type="dxa"/>
            <w:tcBorders>
              <w:top w:val="single" w:color="auto" w:sz="4" w:space="0"/>
              <w:left w:val="single" w:color="auto" w:sz="4" w:space="0"/>
              <w:bottom w:val="single" w:color="auto" w:sz="4" w:space="0"/>
              <w:right w:val="single" w:color="auto" w:sz="4" w:space="0"/>
            </w:tcBorders>
            <w:vAlign w:val="center"/>
          </w:tcPr>
          <w:p w14:paraId="0FDBB7BB">
            <w:pPr>
              <w:pStyle w:val="4"/>
              <w:widowControl w:val="0"/>
              <w:autoSpaceDE w:val="0"/>
              <w:autoSpaceDN w:val="0"/>
              <w:adjustRightInd w:val="0"/>
              <w:spacing w:before="0" w:after="0"/>
              <w:jc w:val="left"/>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30</w:t>
            </w:r>
          </w:p>
        </w:tc>
        <w:tc>
          <w:tcPr>
            <w:tcW w:w="5141" w:type="dxa"/>
            <w:tcBorders>
              <w:top w:val="single" w:color="auto" w:sz="4" w:space="0"/>
              <w:left w:val="single" w:color="auto" w:sz="4" w:space="0"/>
              <w:bottom w:val="single" w:color="auto" w:sz="4" w:space="0"/>
              <w:right w:val="single" w:color="auto" w:sz="4" w:space="0"/>
            </w:tcBorders>
            <w:vAlign w:val="center"/>
          </w:tcPr>
          <w:p w14:paraId="4E8FC695">
            <w:pPr>
              <w:pStyle w:val="4"/>
              <w:widowControl w:val="0"/>
              <w:autoSpaceDE w:val="0"/>
              <w:autoSpaceDN w:val="0"/>
              <w:adjustRightInd w:val="0"/>
              <w:spacing w:before="0" w:after="0"/>
              <w:jc w:val="left"/>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供应商自2021年1月1日起在全国范围内提供过服务的，每提供1份合同或其他有效证明文件得5分，最高得30分。</w:t>
            </w:r>
          </w:p>
        </w:tc>
        <w:tc>
          <w:tcPr>
            <w:tcW w:w="1566" w:type="dxa"/>
            <w:tcBorders>
              <w:top w:val="single" w:color="auto" w:sz="4" w:space="0"/>
              <w:left w:val="single" w:color="auto" w:sz="4" w:space="0"/>
              <w:bottom w:val="single" w:color="auto" w:sz="4" w:space="0"/>
              <w:right w:val="single" w:color="auto" w:sz="4" w:space="0"/>
            </w:tcBorders>
            <w:vAlign w:val="center"/>
          </w:tcPr>
          <w:p w14:paraId="541C91D8">
            <w:pPr>
              <w:spacing w:beforeLines="10" w:afterLines="10"/>
              <w:jc w:val="left"/>
              <w:rPr>
                <w:rFonts w:ascii="宋体" w:hAnsi="宋体" w:cs="宋体"/>
                <w:sz w:val="24"/>
                <w:szCs w:val="24"/>
              </w:rPr>
            </w:pPr>
            <w:r>
              <w:rPr>
                <w:rFonts w:hint="eastAsia" w:ascii="宋体" w:hAnsi="宋体" w:cs="宋体"/>
                <w:sz w:val="24"/>
                <w:szCs w:val="24"/>
              </w:rPr>
              <w:t>提供合同或其他有效证明文件扫描件，原件备查。</w:t>
            </w:r>
          </w:p>
        </w:tc>
      </w:tr>
      <w:tr w14:paraId="07DE3B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9329" w:type="dxa"/>
            <w:gridSpan w:val="5"/>
            <w:tcBorders>
              <w:top w:val="single" w:color="auto" w:sz="4" w:space="0"/>
              <w:left w:val="single" w:color="auto" w:sz="4" w:space="0"/>
              <w:bottom w:val="single" w:color="auto" w:sz="4" w:space="0"/>
              <w:right w:val="single" w:color="auto" w:sz="4" w:space="0"/>
            </w:tcBorders>
            <w:vAlign w:val="center"/>
          </w:tcPr>
          <w:p w14:paraId="3F3C21ED">
            <w:pPr>
              <w:spacing w:beforeLines="10" w:afterLines="10"/>
              <w:jc w:val="left"/>
              <w:rPr>
                <w:rFonts w:ascii="宋体" w:hAnsi="宋体" w:cs="宋体"/>
                <w:sz w:val="24"/>
                <w:szCs w:val="24"/>
              </w:rPr>
            </w:pPr>
            <w:r>
              <w:rPr>
                <w:rFonts w:hint="eastAsia" w:ascii="宋体" w:hAnsi="宋体" w:cs="宋体"/>
                <w:b/>
                <w:bCs/>
                <w:sz w:val="24"/>
                <w:szCs w:val="24"/>
              </w:rPr>
              <w:t>三、报价部分（20分）</w:t>
            </w:r>
          </w:p>
        </w:tc>
      </w:tr>
      <w:tr w14:paraId="4B5CD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17" w:hRule="atLeast"/>
        </w:trPr>
        <w:tc>
          <w:tcPr>
            <w:tcW w:w="518" w:type="dxa"/>
            <w:tcBorders>
              <w:top w:val="single" w:color="auto" w:sz="4" w:space="0"/>
              <w:left w:val="single" w:color="auto" w:sz="4" w:space="0"/>
              <w:bottom w:val="single" w:color="auto" w:sz="4" w:space="0"/>
              <w:right w:val="single" w:color="auto" w:sz="4" w:space="0"/>
            </w:tcBorders>
            <w:vAlign w:val="center"/>
          </w:tcPr>
          <w:p w14:paraId="092C2172">
            <w:pPr>
              <w:spacing w:beforeLines="10" w:afterLines="10"/>
              <w:jc w:val="center"/>
              <w:rPr>
                <w:rFonts w:ascii="宋体" w:hAnsi="宋体" w:cs="宋体"/>
                <w:sz w:val="24"/>
                <w:szCs w:val="24"/>
              </w:rPr>
            </w:pPr>
            <w:r>
              <w:rPr>
                <w:rFonts w:hint="eastAsia" w:ascii="宋体" w:hAnsi="宋体" w:cs="宋体"/>
                <w:sz w:val="24"/>
                <w:szCs w:val="24"/>
              </w:rPr>
              <w:t>1</w:t>
            </w:r>
          </w:p>
        </w:tc>
        <w:tc>
          <w:tcPr>
            <w:tcW w:w="1218" w:type="dxa"/>
            <w:tcBorders>
              <w:top w:val="single" w:color="auto" w:sz="4" w:space="0"/>
              <w:left w:val="single" w:color="auto" w:sz="4" w:space="0"/>
              <w:bottom w:val="single" w:color="auto" w:sz="4" w:space="0"/>
              <w:right w:val="single" w:color="auto" w:sz="4" w:space="0"/>
            </w:tcBorders>
            <w:vAlign w:val="center"/>
          </w:tcPr>
          <w:p w14:paraId="7E45E9C3">
            <w:pPr>
              <w:pStyle w:val="4"/>
              <w:widowControl w:val="0"/>
              <w:autoSpaceDE w:val="0"/>
              <w:autoSpaceDN w:val="0"/>
              <w:adjustRightInd w:val="0"/>
              <w:spacing w:before="0" w:after="0"/>
              <w:jc w:val="left"/>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报价</w:t>
            </w:r>
          </w:p>
        </w:tc>
        <w:tc>
          <w:tcPr>
            <w:tcW w:w="886" w:type="dxa"/>
            <w:tcBorders>
              <w:top w:val="single" w:color="auto" w:sz="4" w:space="0"/>
              <w:left w:val="single" w:color="auto" w:sz="4" w:space="0"/>
              <w:bottom w:val="single" w:color="auto" w:sz="4" w:space="0"/>
              <w:right w:val="single" w:color="auto" w:sz="4" w:space="0"/>
            </w:tcBorders>
            <w:vAlign w:val="center"/>
          </w:tcPr>
          <w:p w14:paraId="6687B888">
            <w:pPr>
              <w:pStyle w:val="4"/>
              <w:widowControl w:val="0"/>
              <w:autoSpaceDE w:val="0"/>
              <w:autoSpaceDN w:val="0"/>
              <w:adjustRightInd w:val="0"/>
              <w:spacing w:before="0" w:after="0"/>
              <w:jc w:val="left"/>
              <w:rPr>
                <w:rFonts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20</w:t>
            </w:r>
          </w:p>
        </w:tc>
        <w:tc>
          <w:tcPr>
            <w:tcW w:w="5141" w:type="dxa"/>
            <w:tcBorders>
              <w:top w:val="single" w:color="auto" w:sz="4" w:space="0"/>
              <w:left w:val="single" w:color="auto" w:sz="4" w:space="0"/>
              <w:bottom w:val="single" w:color="auto" w:sz="4" w:space="0"/>
              <w:right w:val="single" w:color="auto" w:sz="4" w:space="0"/>
            </w:tcBorders>
            <w:vAlign w:val="center"/>
          </w:tcPr>
          <w:p w14:paraId="152BC6F0">
            <w:pPr>
              <w:spacing w:line="300" w:lineRule="exact"/>
              <w:outlineLvl w:val="2"/>
              <w:rPr>
                <w:rFonts w:ascii="宋体" w:hAnsi="宋体"/>
                <w:sz w:val="24"/>
              </w:rPr>
            </w:pPr>
            <w:r>
              <w:rPr>
                <w:rFonts w:hint="eastAsia" w:ascii="宋体" w:hAnsi="宋体"/>
                <w:sz w:val="24"/>
              </w:rPr>
              <w:t>有效的投标报价中的最低价为评标基准价，按照下列公式计算每个投标人的投标价格得分。</w:t>
            </w:r>
          </w:p>
          <w:p w14:paraId="168B3657">
            <w:pPr>
              <w:spacing w:line="300" w:lineRule="exact"/>
              <w:outlineLvl w:val="2"/>
              <w:rPr>
                <w:rFonts w:ascii="宋体" w:hAnsi="宋体" w:cs="宋体"/>
                <w:sz w:val="24"/>
                <w:szCs w:val="24"/>
              </w:rPr>
            </w:pPr>
            <w:r>
              <w:rPr>
                <w:rFonts w:hint="eastAsia" w:ascii="宋体" w:hAnsi="宋体"/>
                <w:sz w:val="24"/>
              </w:rPr>
              <w:t>投标报价得分＝（评标基准价/投标报价）×价格权重×100。</w:t>
            </w:r>
          </w:p>
        </w:tc>
        <w:tc>
          <w:tcPr>
            <w:tcW w:w="1566" w:type="dxa"/>
            <w:tcBorders>
              <w:top w:val="single" w:color="auto" w:sz="4" w:space="0"/>
              <w:left w:val="single" w:color="auto" w:sz="4" w:space="0"/>
              <w:bottom w:val="single" w:color="auto" w:sz="4" w:space="0"/>
              <w:right w:val="single" w:color="auto" w:sz="4" w:space="0"/>
            </w:tcBorders>
            <w:vAlign w:val="center"/>
          </w:tcPr>
          <w:p w14:paraId="55A9706F">
            <w:pPr>
              <w:spacing w:beforeLines="10" w:afterLines="10"/>
              <w:jc w:val="center"/>
              <w:rPr>
                <w:rFonts w:ascii="宋体" w:hAnsi="宋体" w:cs="宋体"/>
                <w:sz w:val="24"/>
                <w:szCs w:val="24"/>
              </w:rPr>
            </w:pPr>
            <w:r>
              <w:rPr>
                <w:rFonts w:hint="eastAsia" w:ascii="宋体" w:hAnsi="宋体"/>
                <w:sz w:val="24"/>
              </w:rPr>
              <w:t>高于预算价为无效报价</w:t>
            </w:r>
          </w:p>
        </w:tc>
      </w:tr>
    </w:tbl>
    <w:p w14:paraId="78B729B2">
      <w:pPr>
        <w:rPr>
          <w:rFonts w:ascii="宋体" w:hAnsi="宋体" w:cs="宋体"/>
          <w:b/>
          <w:sz w:val="32"/>
          <w:szCs w:val="32"/>
        </w:rPr>
      </w:pPr>
    </w:p>
    <w:p w14:paraId="540DB02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WZjOWU4OWViMWJkZjFhMzkyYzljZGYxYmZjMjIifQ=="/>
  </w:docVars>
  <w:rsids>
    <w:rsidRoot w:val="13CA209B"/>
    <w:rsid w:val="13CA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rmal_39"/>
    <w:autoRedefine/>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2024-06-19T03:36:00Z</dcterms:created>
  <dc:creator>WPS_1657190221</dc:creator>
  <cp:lastModifiedBy>WPS_1657190221</cp:lastModifiedBy>
  <dcterms:modified xsi:type="dcterms:W3CDTF">2024-06-19T03:36:30Z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2F9876BA0A9746EC87E01AE996265EFD_11</vt:lpwstr>
  </property>
</Properties>
</file>