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b/>
          <w:sz w:val="30"/>
          <w:szCs w:val="30"/>
        </w:rPr>
      </w:pPr>
      <w:r>
        <w:rPr>
          <w:rFonts w:hint="eastAsia" w:ascii="黑体" w:hAnsi="黑体" w:eastAsia="黑体"/>
          <w:sz w:val="36"/>
          <w:szCs w:val="30"/>
        </w:rPr>
        <w:t>项目名称：</w:t>
      </w:r>
      <w:r>
        <w:rPr>
          <w:rFonts w:hint="eastAsia" w:ascii="黑体" w:hAnsi="黑体" w:eastAsia="黑体"/>
          <w:sz w:val="36"/>
          <w:szCs w:val="30"/>
          <w:lang w:eastAsia="zh-CN"/>
        </w:rPr>
        <w:t>边坝县党建展厅加装彩色LED显示屏项目</w:t>
      </w: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440" w:firstLineChars="400"/>
        <w:rPr>
          <w:rFonts w:ascii="黑体" w:hAnsi="黑体" w:eastAsia="黑体"/>
          <w:sz w:val="36"/>
          <w:szCs w:val="30"/>
        </w:rPr>
      </w:pPr>
      <w:r>
        <w:rPr>
          <w:rFonts w:hint="eastAsia" w:ascii="黑体" w:hAnsi="黑体" w:eastAsia="黑体"/>
          <w:sz w:val="36"/>
          <w:szCs w:val="30"/>
        </w:rPr>
        <w:t>采   购   人：</w:t>
      </w:r>
      <w:r>
        <w:rPr>
          <w:rFonts w:hint="eastAsia" w:ascii="黑体" w:hAnsi="黑体" w:eastAsia="黑体"/>
          <w:sz w:val="36"/>
          <w:szCs w:val="30"/>
          <w:lang w:eastAsia="zh-CN"/>
        </w:rPr>
        <w:t>中国共产党边坝县委员会组织部</w:t>
      </w:r>
    </w:p>
    <w:p>
      <w:pPr>
        <w:spacing w:line="700" w:lineRule="exact"/>
        <w:ind w:firstLine="1749" w:firstLineChars="486"/>
        <w:rPr>
          <w:rFonts w:ascii="黑体" w:hAnsi="黑体" w:eastAsia="黑体"/>
          <w:sz w:val="36"/>
          <w:szCs w:val="30"/>
        </w:rPr>
      </w:pPr>
    </w:p>
    <w:p>
      <w:pPr>
        <w:spacing w:line="720" w:lineRule="exact"/>
        <w:jc w:val="center"/>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六</w:t>
      </w:r>
      <w:r>
        <w:rPr>
          <w:rFonts w:hint="eastAsia" w:ascii="黑体" w:hAnsi="黑体" w:eastAsia="黑体"/>
          <w:color w:val="000000" w:themeColor="text1"/>
          <w:sz w:val="48"/>
          <w:szCs w:val="32"/>
          <w14:textFill>
            <w14:solidFill>
              <w14:schemeClr w14:val="tx1"/>
            </w14:solidFill>
          </w14:textFill>
        </w:rPr>
        <w:t>月</w:t>
      </w:r>
    </w:p>
    <w:p>
      <w:pPr>
        <w:spacing w:line="480" w:lineRule="exact"/>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ascii="宋体" w:hAnsi="宋体" w:cs="宋体"/>
          <w:sz w:val="24"/>
          <w:szCs w:val="24"/>
        </w:rPr>
      </w:pPr>
      <w:bookmarkStart w:id="0" w:name="_Toc313893526"/>
      <w:bookmarkStart w:id="1" w:name="_Toc18159"/>
      <w:bookmarkStart w:id="2" w:name="_Toc3463"/>
      <w:bookmarkStart w:id="3" w:name="_Toc7625"/>
      <w:bookmarkStart w:id="4" w:name="_Toc317775175"/>
      <w:bookmarkStart w:id="5" w:name="_Toc25458"/>
      <w:bookmarkStart w:id="6" w:name="_Toc18881"/>
      <w:bookmarkStart w:id="7" w:name="_Toc26820"/>
      <w:bookmarkStart w:id="8" w:name="_Toc1280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9" w:name="_Toc22399"/>
            <w:bookmarkStart w:id="10" w:name="_Toc15576"/>
            <w:bookmarkStart w:id="11" w:name="_Toc25190"/>
            <w:bookmarkStart w:id="12" w:name="_Toc6462"/>
            <w:bookmarkStart w:id="13" w:name="_Toc15727"/>
            <w:bookmarkStart w:id="14" w:name="_Toc19437"/>
            <w:bookmarkStart w:id="15" w:name="_Toc1790"/>
            <w:bookmarkStart w:id="16" w:name="_Toc317775178"/>
            <w:bookmarkStart w:id="17" w:name="_Toc373860293"/>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color w:val="FF0000"/>
                <w:kern w:val="0"/>
                <w:sz w:val="21"/>
                <w:szCs w:val="24"/>
              </w:rPr>
            </w:pPr>
            <w:bookmarkStart w:id="18" w:name="_Hlk344477914"/>
            <w:r>
              <w:rPr>
                <w:rFonts w:hint="eastAsia" w:ascii="宋体" w:hAnsi="宋体" w:cs="宋体"/>
                <w:color w:val="000000"/>
                <w:kern w:val="0"/>
                <w:sz w:val="21"/>
                <w:szCs w:val="24"/>
                <w:lang w:eastAsia="zh-CN"/>
              </w:rPr>
              <w:t>边坝县党建展厅加装彩色LED显示屏项目</w:t>
            </w:r>
          </w:p>
        </w:tc>
        <w:tc>
          <w:tcPr>
            <w:tcW w:w="1560"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000000"/>
                <w:kern w:val="0"/>
                <w:sz w:val="21"/>
                <w:szCs w:val="24"/>
                <w:lang w:val="en-US"/>
              </w:rPr>
            </w:pPr>
            <w:r>
              <w:rPr>
                <w:rFonts w:hint="eastAsia" w:ascii="宋体" w:hAnsi="宋体" w:cs="宋体"/>
                <w:color w:val="000000"/>
                <w:kern w:val="0"/>
                <w:sz w:val="21"/>
                <w:szCs w:val="24"/>
                <w:lang w:val="en-US" w:eastAsia="zh-CN"/>
              </w:rPr>
              <w:t>1171</w:t>
            </w:r>
            <w:bookmarkStart w:id="36" w:name="_GoBack"/>
            <w:bookmarkEnd w:id="36"/>
            <w:r>
              <w:rPr>
                <w:rFonts w:hint="eastAsia" w:ascii="宋体" w:hAnsi="宋体" w:cs="宋体"/>
                <w:color w:val="000000"/>
                <w:kern w:val="0"/>
                <w:sz w:val="21"/>
                <w:szCs w:val="24"/>
                <w:lang w:val="en-US" w:eastAsia="zh-CN"/>
              </w:rPr>
              <w:t>70</w:t>
            </w:r>
          </w:p>
        </w:tc>
        <w:tc>
          <w:tcPr>
            <w:tcW w:w="1700"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100" w:type="dxa"/>
            <w:tcBorders>
              <w:top w:val="single" w:color="auto" w:sz="4" w:space="0"/>
              <w:left w:val="single" w:color="auto" w:sz="4" w:space="0"/>
              <w:right w:val="single" w:color="auto" w:sz="4" w:space="0"/>
            </w:tcBorders>
            <w:vAlign w:val="center"/>
          </w:tcPr>
          <w:p>
            <w:pPr>
              <w:widowControl/>
              <w:jc w:val="center"/>
              <w:rPr>
                <w:rFonts w:hint="default" w:ascii="宋体" w:hAnsi="宋体"/>
                <w:b/>
                <w:sz w:val="21"/>
                <w:szCs w:val="21"/>
                <w:lang w:val="en-US"/>
              </w:rPr>
            </w:pPr>
            <w:r>
              <w:rPr>
                <w:rFonts w:hint="eastAsia" w:ascii="宋体" w:hAnsi="宋体" w:cs="宋体"/>
                <w:color w:val="000000"/>
                <w:kern w:val="0"/>
                <w:sz w:val="21"/>
                <w:szCs w:val="24"/>
                <w:lang w:eastAsia="zh-CN"/>
              </w:rPr>
              <w:t>县委组织部2024年党建活动经费</w:t>
            </w:r>
          </w:p>
        </w:tc>
        <w:tc>
          <w:tcPr>
            <w:tcW w:w="1100" w:type="dxa"/>
            <w:tcBorders>
              <w:top w:val="single" w:color="auto" w:sz="4" w:space="0"/>
              <w:left w:val="single" w:color="auto" w:sz="4" w:space="0"/>
              <w:right w:val="single" w:color="auto" w:sz="4" w:space="0"/>
            </w:tcBorders>
            <w:vAlign w:val="center"/>
          </w:tcPr>
          <w:p>
            <w:pPr>
              <w:rPr>
                <w:rFonts w:ascii="宋体" w:hAnsi="宋体"/>
                <w:b/>
                <w:sz w:val="21"/>
                <w:szCs w:val="21"/>
              </w:rPr>
            </w:pPr>
          </w:p>
        </w:tc>
      </w:tr>
      <w:bookmarkEnd w:id="18"/>
    </w:tbl>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outlineLvl w:val="2"/>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0" w:firstLineChars="200"/>
        <w:rPr>
          <w:rFonts w:hint="eastAsia" w:ascii="宋体" w:hAnsi="宋体" w:cs="宋体"/>
          <w:sz w:val="24"/>
          <w:szCs w:val="24"/>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由供应商自行提供承诺说明，加盖公章</w:t>
      </w:r>
    </w:p>
    <w:p>
      <w:pPr>
        <w:spacing w:line="312" w:lineRule="auto"/>
        <w:ind w:firstLine="482" w:firstLineChars="200"/>
        <w:outlineLvl w:val="2"/>
        <w:rPr>
          <w:rFonts w:ascii="宋体" w:hAnsi="宋体" w:cs="宋体"/>
          <w:b/>
          <w:bCs/>
          <w:sz w:val="24"/>
          <w:szCs w:val="24"/>
        </w:rPr>
      </w:pPr>
      <w:r>
        <w:rPr>
          <w:rFonts w:hint="eastAsia" w:ascii="宋体" w:hAnsi="宋体" w:cs="宋体"/>
          <w:b/>
          <w:bCs/>
          <w:sz w:val="24"/>
          <w:szCs w:val="24"/>
        </w:rPr>
        <w:t>（二）特定资格条件</w:t>
      </w:r>
    </w:p>
    <w:bookmarkEnd w:id="16"/>
    <w:bookmarkEnd w:id="17"/>
    <w:p>
      <w:pPr>
        <w:spacing w:line="312" w:lineRule="auto"/>
        <w:ind w:firstLine="480" w:firstLineChars="200"/>
        <w:rPr>
          <w:rFonts w:ascii="宋体" w:hAnsi="宋体" w:cs="宋体"/>
          <w:sz w:val="24"/>
          <w:szCs w:val="24"/>
        </w:rPr>
      </w:pPr>
      <w:r>
        <w:rPr>
          <w:rFonts w:hint="eastAsia" w:ascii="宋体" w:hAnsi="宋体" w:cs="宋体"/>
          <w:sz w:val="24"/>
          <w:szCs w:val="24"/>
          <w:lang w:val="en-US" w:eastAsia="zh-CN"/>
        </w:rPr>
        <w:t>无</w:t>
      </w:r>
      <w:r>
        <w:rPr>
          <w:rFonts w:hint="eastAsia" w:ascii="宋体" w:hAnsi="宋体" w:cs="宋体"/>
          <w:sz w:val="24"/>
          <w:szCs w:val="24"/>
        </w:rPr>
        <w:t>。</w:t>
      </w:r>
    </w:p>
    <w:p>
      <w:pPr>
        <w:snapToGrid w:val="0"/>
        <w:spacing w:line="360" w:lineRule="auto"/>
        <w:outlineLvl w:val="1"/>
        <w:rPr>
          <w:rFonts w:ascii="宋体" w:hAnsi="宋体" w:cs="宋体"/>
          <w:b/>
          <w:bCs/>
          <w:sz w:val="24"/>
          <w:szCs w:val="24"/>
        </w:rPr>
      </w:pPr>
      <w:r>
        <w:rPr>
          <w:rFonts w:hint="eastAsia" w:ascii="宋体" w:hAnsi="宋体" w:cs="宋体"/>
          <w:b/>
          <w:bCs/>
          <w:sz w:val="24"/>
          <w:szCs w:val="24"/>
        </w:rPr>
        <w:t>三、采购服务内容</w:t>
      </w:r>
    </w:p>
    <w:tbl>
      <w:tblPr>
        <w:tblW w:w="1002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3"/>
        <w:gridCol w:w="2717"/>
        <w:gridCol w:w="3214"/>
        <w:gridCol w:w="919"/>
        <w:gridCol w:w="1125"/>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8"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32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2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152" w:line="225" w:lineRule="auto"/>
              <w:ind w:left="660" w:leftChars="0" w:right="110" w:rightChars="0" w:hanging="539" w:firstLineChars="0"/>
              <w:jc w:val="center"/>
              <w:rPr>
                <w:rFonts w:hint="eastAsia" w:ascii="宋体" w:hAnsi="宋体" w:eastAsia="宋体" w:cs="宋体"/>
                <w:i w:val="0"/>
                <w:iCs w:val="0"/>
                <w:color w:val="000000"/>
                <w:sz w:val="22"/>
                <w:szCs w:val="22"/>
                <w:u w:val="none"/>
              </w:rPr>
            </w:pPr>
            <w:r>
              <w:rPr>
                <w:spacing w:val="3"/>
                <w:sz w:val="24"/>
                <w:szCs w:val="24"/>
              </w:rPr>
              <w:t>全彩</w:t>
            </w:r>
            <w:r>
              <w:rPr>
                <w:sz w:val="24"/>
                <w:szCs w:val="24"/>
              </w:rPr>
              <w:t>LED</w:t>
            </w:r>
            <w:r>
              <w:rPr>
                <w:spacing w:val="3"/>
                <w:sz w:val="24"/>
                <w:szCs w:val="24"/>
              </w:rPr>
              <w:t>显示屏</w:t>
            </w:r>
            <w:r>
              <w:rPr>
                <w:spacing w:val="5"/>
                <w:sz w:val="24"/>
                <w:szCs w:val="24"/>
              </w:rPr>
              <w:t>屏体</w:t>
            </w:r>
          </w:p>
        </w:tc>
        <w:tc>
          <w:tcPr>
            <w:tcW w:w="3214" w:type="dxa"/>
            <w:tcBorders>
              <w:top w:val="single" w:color="000000" w:sz="4" w:space="0"/>
              <w:left w:val="single" w:color="000000" w:sz="4" w:space="0"/>
              <w:bottom w:val="single" w:color="000000" w:sz="4" w:space="0"/>
              <w:right w:val="single" w:color="000000" w:sz="4" w:space="0"/>
            </w:tcBorders>
            <w:shd w:val="clear"/>
            <w:noWrap/>
            <w:vAlign w:val="top"/>
          </w:tcPr>
          <w:p>
            <w:pPr>
              <w:spacing w:line="271" w:lineRule="auto"/>
              <w:rPr>
                <w:rFonts w:ascii="Arial"/>
                <w:sz w:val="21"/>
              </w:rPr>
            </w:pPr>
          </w:p>
          <w:p>
            <w:pPr>
              <w:pStyle w:val="15"/>
              <w:spacing w:before="78" w:line="184" w:lineRule="auto"/>
              <w:ind w:left="103" w:leftChars="0"/>
              <w:rPr>
                <w:rFonts w:hint="eastAsia" w:ascii="宋体" w:hAnsi="宋体" w:eastAsia="宋体" w:cs="宋体"/>
                <w:i w:val="0"/>
                <w:iCs w:val="0"/>
                <w:color w:val="000000"/>
                <w:sz w:val="22"/>
                <w:szCs w:val="22"/>
                <w:u w:val="none"/>
              </w:rPr>
            </w:pPr>
            <w:r>
              <w:rPr>
                <w:rFonts w:hint="eastAsia"/>
                <w:spacing w:val="-2"/>
                <w:sz w:val="24"/>
                <w:szCs w:val="24"/>
              </w:rPr>
              <w:t>海峡彩亮P3</w:t>
            </w:r>
            <w:r>
              <w:rPr>
                <w:rFonts w:hint="eastAsia"/>
                <w:spacing w:val="-2"/>
                <w:sz w:val="24"/>
                <w:szCs w:val="24"/>
                <w:lang w:val="en-US" w:eastAsia="zh-CN"/>
              </w:rPr>
              <w:t xml:space="preserve">  </w:t>
            </w:r>
            <w:r>
              <w:rPr>
                <w:spacing w:val="-2"/>
                <w:sz w:val="24"/>
                <w:szCs w:val="24"/>
              </w:rPr>
              <w:t>3.8*1.92</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3" w:lineRule="auto"/>
              <w:jc w:val="both"/>
              <w:rPr>
                <w:rFonts w:hint="eastAsia" w:ascii="宋体" w:hAnsi="宋体" w:eastAsia="宋体" w:cs="宋体"/>
                <w:i w:val="0"/>
                <w:iCs w:val="0"/>
                <w:color w:val="000000"/>
                <w:sz w:val="22"/>
                <w:szCs w:val="22"/>
                <w:u w:val="none"/>
              </w:rPr>
            </w:pPr>
            <w:r>
              <w:rPr>
                <w:spacing w:val="-3"/>
                <w:sz w:val="24"/>
                <w:szCs w:val="24"/>
              </w:rPr>
              <w:t>8.5</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247" w:type="dxa"/>
            <w:vMerge w:val="restart"/>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cs="宋体"/>
                <w:sz w:val="24"/>
                <w:szCs w:val="24"/>
                <w:vertAlign w:val="baseline"/>
                <w:lang w:val="en-US" w:eastAsia="zh-CN"/>
              </w:rPr>
              <w:t>包含人工费，税费等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2" w:line="219" w:lineRule="auto"/>
              <w:jc w:val="center"/>
              <w:rPr>
                <w:rFonts w:hint="eastAsia" w:ascii="宋体" w:hAnsi="宋体" w:eastAsia="宋体" w:cs="宋体"/>
                <w:i w:val="0"/>
                <w:iCs w:val="0"/>
                <w:color w:val="000000"/>
                <w:sz w:val="22"/>
                <w:szCs w:val="22"/>
                <w:u w:val="none"/>
              </w:rPr>
            </w:pPr>
            <w:r>
              <w:rPr>
                <w:spacing w:val="3"/>
                <w:sz w:val="24"/>
                <w:szCs w:val="24"/>
              </w:rPr>
              <w:t>曲面框架</w:t>
            </w:r>
          </w:p>
        </w:tc>
        <w:tc>
          <w:tcPr>
            <w:tcW w:w="3214"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2" w:line="220" w:lineRule="auto"/>
              <w:ind w:left="343" w:leftChars="0"/>
              <w:jc w:val="center"/>
              <w:rPr>
                <w:rFonts w:hint="eastAsia" w:ascii="宋体" w:hAnsi="宋体" w:eastAsia="宋体" w:cs="宋体"/>
                <w:i w:val="0"/>
                <w:iCs w:val="0"/>
                <w:color w:val="000000"/>
                <w:sz w:val="22"/>
                <w:szCs w:val="22"/>
                <w:u w:val="none"/>
              </w:rPr>
            </w:pPr>
            <w:r>
              <w:rPr>
                <w:spacing w:val="10"/>
                <w:sz w:val="24"/>
                <w:szCs w:val="24"/>
              </w:rPr>
              <w:t>钢制</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2" w:line="220" w:lineRule="auto"/>
              <w:ind w:left="365" w:leftChars="0"/>
              <w:rPr>
                <w:rFonts w:hint="eastAsia" w:ascii="宋体" w:hAnsi="宋体" w:eastAsia="宋体" w:cs="宋体"/>
                <w:i w:val="0"/>
                <w:iCs w:val="0"/>
                <w:color w:val="000000"/>
                <w:sz w:val="22"/>
                <w:szCs w:val="22"/>
                <w:u w:val="none"/>
              </w:rPr>
            </w:pPr>
            <w:r>
              <w:rPr>
                <w:sz w:val="24"/>
                <w:szCs w:val="24"/>
              </w:rPr>
              <w:t>套</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3" w:line="219" w:lineRule="auto"/>
              <w:jc w:val="center"/>
              <w:rPr>
                <w:rFonts w:hint="eastAsia" w:ascii="宋体" w:hAnsi="宋体" w:eastAsia="宋体" w:cs="宋体"/>
                <w:i w:val="0"/>
                <w:iCs w:val="0"/>
                <w:color w:val="000000"/>
                <w:sz w:val="22"/>
                <w:szCs w:val="22"/>
                <w:u w:val="none"/>
              </w:rPr>
            </w:pPr>
            <w:r>
              <w:rPr>
                <w:spacing w:val="4"/>
                <w:sz w:val="24"/>
                <w:szCs w:val="24"/>
              </w:rPr>
              <w:t>接收卡</w:t>
            </w:r>
          </w:p>
        </w:tc>
        <w:tc>
          <w:tcPr>
            <w:tcW w:w="321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凯视达R12</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pacing w:val="-7"/>
                <w:sz w:val="24"/>
                <w:szCs w:val="24"/>
              </w:rPr>
              <w:t>11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6" w:line="221" w:lineRule="auto"/>
              <w:ind w:left="365" w:leftChars="0"/>
              <w:rPr>
                <w:rFonts w:hint="eastAsia" w:ascii="宋体" w:hAnsi="宋体" w:eastAsia="宋体" w:cs="宋体"/>
                <w:i w:val="0"/>
                <w:iCs w:val="0"/>
                <w:color w:val="000000"/>
                <w:sz w:val="22"/>
                <w:szCs w:val="22"/>
                <w:u w:val="none"/>
              </w:rPr>
            </w:pPr>
            <w:r>
              <w:rPr>
                <w:sz w:val="24"/>
                <w:szCs w:val="24"/>
              </w:rPr>
              <w:t>张</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8" w:line="224" w:lineRule="auto"/>
              <w:jc w:val="center"/>
              <w:rPr>
                <w:rFonts w:hint="eastAsia" w:ascii="宋体" w:hAnsi="宋体" w:eastAsia="宋体" w:cs="宋体"/>
                <w:i w:val="0"/>
                <w:iCs w:val="0"/>
                <w:color w:val="000000"/>
                <w:sz w:val="22"/>
                <w:szCs w:val="22"/>
                <w:u w:val="none"/>
              </w:rPr>
            </w:pPr>
            <w:r>
              <w:rPr>
                <w:spacing w:val="3"/>
                <w:sz w:val="24"/>
                <w:szCs w:val="24"/>
              </w:rPr>
              <w:t>处理器</w:t>
            </w:r>
          </w:p>
        </w:tc>
        <w:tc>
          <w:tcPr>
            <w:tcW w:w="321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凯视达KSV2U</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7" w:line="221" w:lineRule="auto"/>
              <w:ind w:left="365" w:leftChars="0"/>
              <w:rPr>
                <w:rFonts w:hint="eastAsia" w:ascii="宋体" w:hAnsi="宋体" w:eastAsia="宋体" w:cs="宋体"/>
                <w:i w:val="0"/>
                <w:iCs w:val="0"/>
                <w:color w:val="000000"/>
                <w:sz w:val="22"/>
                <w:szCs w:val="22"/>
                <w:u w:val="none"/>
              </w:rPr>
            </w:pPr>
            <w:r>
              <w:rPr>
                <w:sz w:val="24"/>
                <w:szCs w:val="24"/>
              </w:rPr>
              <w:t>台</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8" w:line="221" w:lineRule="auto"/>
              <w:jc w:val="center"/>
              <w:rPr>
                <w:rFonts w:hint="eastAsia" w:ascii="宋体" w:hAnsi="宋体" w:eastAsia="宋体" w:cs="宋体"/>
                <w:i w:val="0"/>
                <w:iCs w:val="0"/>
                <w:color w:val="000000"/>
                <w:sz w:val="22"/>
                <w:szCs w:val="22"/>
                <w:u w:val="none"/>
              </w:rPr>
            </w:pPr>
            <w:r>
              <w:rPr>
                <w:spacing w:val="9"/>
                <w:sz w:val="24"/>
                <w:szCs w:val="24"/>
              </w:rPr>
              <w:t>音响</w:t>
            </w:r>
          </w:p>
        </w:tc>
        <w:tc>
          <w:tcPr>
            <w:tcW w:w="3214"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kern w:val="2"/>
                <w:sz w:val="24"/>
                <w:szCs w:val="24"/>
                <w:lang w:val="en-US" w:eastAsia="en-US" w:bidi="ar-SA"/>
              </w:rPr>
            </w:pP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5" w:line="220" w:lineRule="auto"/>
              <w:ind w:left="365" w:leftChars="0"/>
              <w:rPr>
                <w:rFonts w:hint="eastAsia" w:ascii="宋体" w:hAnsi="宋体" w:eastAsia="宋体" w:cs="宋体"/>
                <w:i w:val="0"/>
                <w:iCs w:val="0"/>
                <w:color w:val="000000"/>
                <w:sz w:val="22"/>
                <w:szCs w:val="22"/>
                <w:u w:val="none"/>
              </w:rPr>
            </w:pPr>
            <w:r>
              <w:rPr>
                <w:sz w:val="24"/>
                <w:szCs w:val="24"/>
              </w:rPr>
              <w:t>套</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174" w:line="219" w:lineRule="auto"/>
              <w:ind w:left="121"/>
              <w:jc w:val="center"/>
              <w:rPr>
                <w:rFonts w:hint="eastAsia" w:ascii="宋体" w:hAnsi="宋体" w:eastAsia="宋体" w:cs="宋体"/>
                <w:i w:val="0"/>
                <w:iCs w:val="0"/>
                <w:color w:val="000000"/>
                <w:sz w:val="22"/>
                <w:szCs w:val="22"/>
                <w:u w:val="none"/>
              </w:rPr>
            </w:pPr>
            <w:r>
              <w:rPr>
                <w:spacing w:val="3"/>
                <w:sz w:val="24"/>
                <w:szCs w:val="24"/>
              </w:rPr>
              <w:t>辅材(电线、网</w:t>
            </w:r>
            <w:r>
              <w:rPr>
                <w:spacing w:val="-7"/>
                <w:sz w:val="24"/>
                <w:szCs w:val="24"/>
              </w:rPr>
              <w:t>线</w:t>
            </w:r>
            <w:r>
              <w:rPr>
                <w:spacing w:val="-45"/>
                <w:sz w:val="24"/>
                <w:szCs w:val="24"/>
              </w:rPr>
              <w:t xml:space="preserve"> </w:t>
            </w:r>
            <w:r>
              <w:rPr>
                <w:spacing w:val="-7"/>
                <w:sz w:val="24"/>
                <w:szCs w:val="24"/>
              </w:rPr>
              <w:t>)</w:t>
            </w:r>
          </w:p>
        </w:tc>
        <w:tc>
          <w:tcPr>
            <w:tcW w:w="3214"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人工、电线、网线、线管等</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6" w:line="220" w:lineRule="auto"/>
              <w:ind w:left="365" w:leftChars="0"/>
              <w:rPr>
                <w:rFonts w:hint="eastAsia" w:ascii="宋体" w:hAnsi="宋体" w:eastAsia="宋体" w:cs="宋体"/>
                <w:i w:val="0"/>
                <w:iCs w:val="0"/>
                <w:color w:val="000000"/>
                <w:sz w:val="22"/>
                <w:szCs w:val="22"/>
                <w:u w:val="none"/>
              </w:rPr>
            </w:pPr>
            <w:r>
              <w:rPr>
                <w:sz w:val="24"/>
                <w:szCs w:val="24"/>
              </w:rPr>
              <w:t>项</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8"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8" w:line="221" w:lineRule="auto"/>
              <w:jc w:val="center"/>
              <w:rPr>
                <w:rFonts w:hint="eastAsia" w:ascii="宋体" w:hAnsi="宋体" w:eastAsia="宋体" w:cs="宋体"/>
                <w:i w:val="0"/>
                <w:iCs w:val="0"/>
                <w:color w:val="000000"/>
                <w:sz w:val="22"/>
                <w:szCs w:val="22"/>
                <w:u w:val="none"/>
              </w:rPr>
            </w:pPr>
            <w:r>
              <w:rPr>
                <w:spacing w:val="5"/>
                <w:sz w:val="24"/>
                <w:szCs w:val="24"/>
              </w:rPr>
              <w:t>电脑</w:t>
            </w:r>
          </w:p>
        </w:tc>
        <w:tc>
          <w:tcPr>
            <w:tcW w:w="3214" w:type="dxa"/>
            <w:tcBorders>
              <w:top w:val="single" w:color="000000" w:sz="4" w:space="0"/>
              <w:left w:val="single" w:color="000000" w:sz="4" w:space="0"/>
              <w:bottom w:val="single" w:color="000000" w:sz="4" w:space="0"/>
              <w:right w:val="single" w:color="000000" w:sz="4" w:space="0"/>
            </w:tcBorders>
            <w:shd w:val="clear"/>
            <w:vAlign w:val="top"/>
          </w:tcPr>
          <w:p>
            <w:pPr>
              <w:rPr>
                <w:rFonts w:hint="eastAsia" w:ascii="宋体" w:hAnsi="宋体" w:eastAsia="宋体" w:cs="宋体"/>
                <w:i w:val="0"/>
                <w:iCs w:val="0"/>
                <w:color w:val="000000"/>
                <w:sz w:val="22"/>
                <w:szCs w:val="22"/>
                <w:u w:val="none"/>
              </w:rPr>
            </w:pPr>
            <w:r>
              <w:rPr>
                <w:rFonts w:hint="eastAsia"/>
                <w:spacing w:val="-2"/>
                <w:sz w:val="24"/>
                <w:szCs w:val="24"/>
              </w:rPr>
              <w:t>联想启天M650 I5-13500/16G/512G+1T机械 加配/w11 + 27 寸显示器</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300" w:line="221" w:lineRule="auto"/>
              <w:ind w:left="365" w:leftChars="0"/>
              <w:rPr>
                <w:rFonts w:hint="eastAsia" w:ascii="宋体" w:hAnsi="宋体" w:eastAsia="宋体" w:cs="宋体"/>
                <w:i w:val="0"/>
                <w:iCs w:val="0"/>
                <w:color w:val="000000"/>
                <w:sz w:val="22"/>
                <w:szCs w:val="22"/>
                <w:u w:val="none"/>
              </w:rPr>
            </w:pPr>
            <w:r>
              <w:rPr>
                <w:sz w:val="24"/>
                <w:szCs w:val="24"/>
              </w:rPr>
              <w:t>台</w:t>
            </w:r>
          </w:p>
        </w:tc>
        <w:tc>
          <w:tcPr>
            <w:tcW w:w="1247" w:type="dxa"/>
            <w:vMerge w:val="continue"/>
            <w:tcBorders>
              <w:left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298" w:line="219" w:lineRule="auto"/>
              <w:jc w:val="center"/>
              <w:rPr>
                <w:rFonts w:hint="eastAsia" w:ascii="宋体" w:hAnsi="宋体" w:eastAsia="宋体" w:cs="宋体"/>
                <w:i w:val="0"/>
                <w:iCs w:val="0"/>
                <w:color w:val="000000"/>
                <w:sz w:val="22"/>
                <w:szCs w:val="22"/>
                <w:u w:val="none"/>
              </w:rPr>
            </w:pPr>
            <w:r>
              <w:rPr>
                <w:spacing w:val="2"/>
                <w:sz w:val="24"/>
                <w:szCs w:val="24"/>
              </w:rPr>
              <w:t>安装运输</w:t>
            </w:r>
          </w:p>
        </w:tc>
        <w:tc>
          <w:tcPr>
            <w:tcW w:w="3214" w:type="dxa"/>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pPr>
              <w:pStyle w:val="15"/>
              <w:spacing w:before="78" w:line="184" w:lineRule="auto"/>
              <w:jc w:val="both"/>
              <w:rPr>
                <w:rFonts w:hint="eastAsia" w:ascii="宋体" w:hAnsi="宋体" w:eastAsia="宋体" w:cs="宋体"/>
                <w:i w:val="0"/>
                <w:iCs w:val="0"/>
                <w:color w:val="000000"/>
                <w:sz w:val="22"/>
                <w:szCs w:val="22"/>
                <w:u w:val="none"/>
              </w:rPr>
            </w:pPr>
            <w:r>
              <w:rPr>
                <w:sz w:val="24"/>
                <w:szCs w:val="24"/>
              </w:rPr>
              <w:t>1</w:t>
            </w:r>
          </w:p>
        </w:tc>
        <w:tc>
          <w:tcPr>
            <w:tcW w:w="1125" w:type="dxa"/>
            <w:tcBorders>
              <w:top w:val="single" w:color="000000" w:sz="4" w:space="0"/>
              <w:left w:val="single" w:color="000000" w:sz="4" w:space="0"/>
              <w:bottom w:val="single" w:color="000000" w:sz="4" w:space="0"/>
              <w:right w:val="single" w:color="000000" w:sz="4" w:space="0"/>
            </w:tcBorders>
            <w:shd w:val="clear"/>
            <w:noWrap/>
            <w:vAlign w:val="top"/>
          </w:tcPr>
          <w:p>
            <w:pPr>
              <w:pStyle w:val="15"/>
              <w:spacing w:before="298" w:line="220" w:lineRule="auto"/>
              <w:ind w:left="365" w:leftChars="0"/>
              <w:rPr>
                <w:rFonts w:hint="eastAsia" w:ascii="宋体" w:hAnsi="宋体" w:eastAsia="宋体" w:cs="宋体"/>
                <w:i w:val="0"/>
                <w:iCs w:val="0"/>
                <w:color w:val="000000"/>
                <w:sz w:val="22"/>
                <w:szCs w:val="22"/>
                <w:u w:val="none"/>
              </w:rPr>
            </w:pPr>
            <w:r>
              <w:rPr>
                <w:sz w:val="24"/>
                <w:szCs w:val="24"/>
              </w:rPr>
              <w:t>项</w:t>
            </w:r>
          </w:p>
        </w:tc>
        <w:tc>
          <w:tcPr>
            <w:tcW w:w="1247" w:type="dxa"/>
            <w:vMerge w:val="continue"/>
            <w:tcBorders>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bl>
    <w:p>
      <w:pPr>
        <w:spacing w:line="312" w:lineRule="auto"/>
        <w:ind w:firstLine="480" w:firstLineChars="200"/>
        <w:rPr>
          <w:rFonts w:hint="eastAsia" w:ascii="宋体" w:hAnsi="宋体" w:cs="宋体"/>
          <w:sz w:val="24"/>
          <w:szCs w:val="24"/>
        </w:rPr>
      </w:pPr>
    </w:p>
    <w:p>
      <w:pPr>
        <w:snapToGrid w:val="0"/>
        <w:spacing w:line="360" w:lineRule="auto"/>
        <w:outlineLvl w:val="1"/>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sz w:val="24"/>
          <w:szCs w:val="24"/>
        </w:rPr>
      </w:pPr>
      <w:r>
        <w:rPr>
          <w:rFonts w:hint="eastAsia" w:ascii="宋体" w:hAnsi="宋体" w:cs="宋体"/>
          <w:color w:val="auto"/>
          <w:sz w:val="24"/>
          <w:szCs w:val="24"/>
          <w:lang w:val="en-US" w:eastAsia="zh-CN"/>
        </w:rPr>
        <w:t>以</w:t>
      </w:r>
      <w:r>
        <w:rPr>
          <w:rFonts w:hint="eastAsia" w:ascii="宋体" w:hAnsi="宋体" w:cs="宋体"/>
          <w:color w:val="auto"/>
          <w:sz w:val="24"/>
          <w:szCs w:val="24"/>
        </w:rPr>
        <w:t>合同签订</w:t>
      </w:r>
      <w:r>
        <w:rPr>
          <w:rFonts w:hint="eastAsia" w:ascii="宋体" w:hAnsi="宋体" w:cs="宋体"/>
          <w:color w:val="auto"/>
          <w:sz w:val="24"/>
          <w:szCs w:val="24"/>
          <w:lang w:val="en-US" w:eastAsia="zh-CN"/>
        </w:rPr>
        <w:t>时间为准</w:t>
      </w:r>
      <w:r>
        <w:rPr>
          <w:rFonts w:hint="eastAsia" w:ascii="宋体" w:hAnsi="宋体" w:cs="宋体"/>
          <w:sz w:val="24"/>
          <w:szCs w:val="24"/>
        </w:rPr>
        <w:t>。</w:t>
      </w:r>
    </w:p>
    <w:p>
      <w:pPr>
        <w:snapToGrid w:val="0"/>
        <w:spacing w:line="360" w:lineRule="auto"/>
        <w:outlineLvl w:val="1"/>
        <w:rPr>
          <w:rFonts w:ascii="宋体" w:hAnsi="宋体" w:cs="宋体"/>
          <w:b/>
          <w:bCs/>
          <w:sz w:val="24"/>
          <w:szCs w:val="24"/>
        </w:rPr>
      </w:pPr>
      <w:r>
        <w:rPr>
          <w:rFonts w:hint="eastAsia" w:ascii="宋体" w:hAnsi="宋体" w:cs="宋体"/>
          <w:b/>
          <w:bCs/>
          <w:sz w:val="24"/>
          <w:szCs w:val="24"/>
        </w:rPr>
        <w:t>五、付款方式</w:t>
      </w:r>
    </w:p>
    <w:p>
      <w:pPr>
        <w:spacing w:line="312" w:lineRule="auto"/>
        <w:ind w:firstLine="480" w:firstLineChars="200"/>
        <w:rPr>
          <w:rFonts w:ascii="宋体" w:hAnsi="宋体" w:cs="宋体"/>
          <w:sz w:val="24"/>
          <w:szCs w:val="24"/>
        </w:rPr>
      </w:pPr>
      <w:r>
        <w:rPr>
          <w:rFonts w:hint="eastAsia" w:ascii="宋体" w:hAnsi="宋体" w:cs="宋体"/>
          <w:sz w:val="24"/>
          <w:szCs w:val="24"/>
          <w:lang w:val="en-US" w:eastAsia="zh-CN"/>
        </w:rPr>
        <w:t>本项目付款方式经甲乙双方协商后再合同专用条款中具体约定</w:t>
      </w:r>
      <w:r>
        <w:rPr>
          <w:rFonts w:hint="eastAsia" w:ascii="宋体" w:hAnsi="宋体" w:cs="宋体"/>
          <w:sz w:val="24"/>
          <w:szCs w:val="24"/>
        </w:rPr>
        <w:t>。</w:t>
      </w:r>
    </w:p>
    <w:p>
      <w:pPr>
        <w:pStyle w:val="2"/>
        <w:spacing w:before="0" w:after="0" w:line="312" w:lineRule="auto"/>
        <w:rPr>
          <w:rFonts w:ascii="宋体" w:hAnsi="宋体" w:cs="宋体"/>
          <w:sz w:val="24"/>
          <w:szCs w:val="24"/>
        </w:rPr>
      </w:pPr>
      <w:bookmarkStart w:id="19" w:name="_Toc5085"/>
      <w:bookmarkStart w:id="20" w:name="_Toc3475"/>
      <w:bookmarkStart w:id="21" w:name="_Toc20778"/>
      <w:bookmarkStart w:id="22" w:name="_Toc25886"/>
      <w:bookmarkStart w:id="23" w:name="_Toc27955"/>
      <w:bookmarkStart w:id="24" w:name="_Toc11828"/>
      <w:bookmarkStart w:id="25" w:name="_Toc9654"/>
      <w:bookmarkStart w:id="26" w:name="_Toc13969"/>
      <w:bookmarkStart w:id="27" w:name="_Toc19730"/>
      <w:bookmarkStart w:id="28" w:name="_Toc31315"/>
      <w:bookmarkStart w:id="29" w:name="_Toc25516"/>
      <w:bookmarkStart w:id="30" w:name="_Toc9027"/>
      <w:bookmarkStart w:id="31" w:name="_Toc15478"/>
      <w:bookmarkStart w:id="32" w:name="_Toc14778"/>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w:t>
      </w:r>
      <w:r>
        <w:rPr>
          <w:rFonts w:hint="eastAsia" w:ascii="宋体" w:hAnsi="宋体" w:cs="宋体"/>
          <w:color w:val="auto"/>
          <w:sz w:val="24"/>
          <w:szCs w:val="24"/>
          <w:lang w:val="en" w:eastAsia="zh-CN"/>
        </w:rPr>
        <w:t>中国共产党边坝县委员会组织部</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唐先生</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18108958601</w:t>
      </w:r>
    </w:p>
    <w:p>
      <w:pPr>
        <w:pStyle w:val="2"/>
        <w:keepNext w:val="0"/>
        <w:spacing w:before="0" w:after="0" w:line="312" w:lineRule="auto"/>
        <w:ind w:firstLine="480" w:firstLine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rPr>
        <w:t>地  址：</w:t>
      </w:r>
      <w:r>
        <w:rPr>
          <w:rFonts w:hint="eastAsia" w:ascii="宋体" w:hAnsi="宋体" w:cs="宋体"/>
          <w:b w:val="0"/>
          <w:bCs/>
          <w:color w:val="auto"/>
          <w:sz w:val="24"/>
          <w:szCs w:val="24"/>
          <w:lang w:val="en-US" w:eastAsia="zh-CN"/>
        </w:rPr>
        <w:t>边坝县滨河西路人民政府院内</w:t>
      </w: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outlineLvl w:val="1"/>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240" w:lineRule="auto"/>
        <w:ind w:firstLine="480" w:firstLineChars="200"/>
        <w:rPr>
          <w:rFonts w:ascii="宋体" w:hAnsi="宋体" w:cs="宋体"/>
          <w:sz w:val="24"/>
          <w:szCs w:val="24"/>
        </w:rPr>
      </w:pPr>
      <w:r>
        <w:rPr>
          <w:rFonts w:hint="eastAsia" w:ascii="宋体" w:hAnsi="宋体" w:cs="宋体"/>
          <w:sz w:val="24"/>
          <w:szCs w:val="24"/>
        </w:rPr>
        <w:t>如供应商得分相同，采取随机抽取的方式确定</w:t>
      </w:r>
    </w:p>
    <w:p>
      <w:pPr>
        <w:spacing w:line="500" w:lineRule="exact"/>
        <w:outlineLvl w:val="1"/>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outlineLvl w:val="1"/>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outlineLvl w:val="1"/>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jc w:val="center"/>
        <w:rPr>
          <w:rFonts w:ascii="宋体" w:hAnsi="宋体" w:cs="宋体"/>
          <w:b/>
          <w:bCs/>
          <w:szCs w:val="28"/>
        </w:rPr>
      </w:pPr>
      <w:bookmarkStart w:id="33" w:name="_Hlk27399823"/>
    </w:p>
    <w:p>
      <w:pPr>
        <w:pStyle w:val="4"/>
        <w:jc w:val="both"/>
        <w:rPr>
          <w:rFonts w:hint="eastAsia" w:ascii="宋体" w:hAnsi="宋体" w:eastAsia="宋体" w:cs="宋体"/>
          <w:b/>
          <w:bCs/>
          <w:sz w:val="32"/>
          <w:szCs w:val="32"/>
          <w:lang w:eastAsia="zh-CN"/>
        </w:rPr>
      </w:pPr>
    </w:p>
    <w:p>
      <w:pPr>
        <w:pStyle w:val="4"/>
        <w:jc w:val="center"/>
        <w:rPr>
          <w:rFonts w:hint="eastAsia" w:ascii="宋体" w:hAnsi="宋体" w:eastAsia="宋体" w:cs="宋体"/>
          <w:b/>
          <w:bCs/>
          <w:sz w:val="32"/>
          <w:szCs w:val="32"/>
        </w:rPr>
      </w:pPr>
      <w:r>
        <w:rPr>
          <w:rFonts w:hint="eastAsia" w:ascii="宋体" w:hAnsi="宋体" w:eastAsia="宋体" w:cs="宋体"/>
          <w:b/>
          <w:bCs/>
          <w:sz w:val="32"/>
          <w:szCs w:val="32"/>
          <w:lang w:eastAsia="zh-CN"/>
        </w:rPr>
        <w:t>资格</w:t>
      </w:r>
      <w:r>
        <w:rPr>
          <w:rFonts w:hint="eastAsia" w:ascii="宋体" w:hAnsi="宋体" w:eastAsia="宋体" w:cs="宋体"/>
          <w:b/>
          <w:bCs/>
          <w:sz w:val="32"/>
          <w:szCs w:val="32"/>
        </w:rPr>
        <w:t>审查</w:t>
      </w:r>
    </w:p>
    <w:tbl>
      <w:tblPr>
        <w:tblStyle w:val="10"/>
        <w:tblW w:w="5068" w:type="pct"/>
        <w:tblInd w:w="0" w:type="dxa"/>
        <w:tblLayout w:type="autofit"/>
        <w:tblCellMar>
          <w:top w:w="0" w:type="dxa"/>
          <w:left w:w="108" w:type="dxa"/>
          <w:bottom w:w="0" w:type="dxa"/>
          <w:right w:w="108" w:type="dxa"/>
        </w:tblCellMar>
      </w:tblPr>
      <w:tblGrid>
        <w:gridCol w:w="863"/>
        <w:gridCol w:w="2572"/>
        <w:gridCol w:w="6324"/>
      </w:tblGrid>
      <w:tr>
        <w:tblPrEx>
          <w:tblCellMar>
            <w:top w:w="0" w:type="dxa"/>
            <w:left w:w="108" w:type="dxa"/>
            <w:bottom w:w="0" w:type="dxa"/>
            <w:right w:w="108" w:type="dxa"/>
          </w:tblCellMar>
        </w:tblPrEx>
        <w:trPr>
          <w:trHeight w:val="52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b/>
                <w:bCs/>
                <w:kern w:val="0"/>
                <w:sz w:val="24"/>
                <w:szCs w:val="24"/>
                <w:lang w:val="ru-RU" w:eastAsia="zh-CN" w:bidi="ar-SA"/>
              </w:rPr>
            </w:pPr>
            <w:r>
              <w:rPr>
                <w:rFonts w:hint="eastAsia" w:ascii="宋体" w:hAnsi="宋体" w:eastAsia="宋体" w:cs="宋体"/>
                <w:b/>
                <w:bCs/>
                <w:kern w:val="0"/>
                <w:sz w:val="24"/>
                <w:szCs w:val="24"/>
                <w:lang w:val="ru-RU" w:eastAsia="zh-CN" w:bidi="ar-SA"/>
              </w:rPr>
              <w:t>序号</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b/>
                <w:bCs/>
                <w:kern w:val="0"/>
                <w:sz w:val="24"/>
                <w:szCs w:val="24"/>
                <w:lang w:val="ru-RU" w:eastAsia="zh-CN" w:bidi="ar-SA"/>
              </w:rPr>
            </w:pPr>
            <w:r>
              <w:rPr>
                <w:rFonts w:hint="eastAsia" w:ascii="宋体" w:hAnsi="宋体" w:eastAsia="宋体" w:cs="宋体"/>
                <w:b/>
                <w:bCs/>
                <w:kern w:val="0"/>
                <w:sz w:val="24"/>
                <w:szCs w:val="24"/>
                <w:lang w:val="ru-RU" w:eastAsia="zh-CN" w:bidi="ar-SA"/>
              </w:rPr>
              <w:t>评审内容</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b/>
                <w:bCs/>
                <w:kern w:val="0"/>
                <w:sz w:val="24"/>
                <w:szCs w:val="24"/>
                <w:lang w:val="ru-RU" w:eastAsia="zh-CN" w:bidi="ar-SA"/>
              </w:rPr>
            </w:pPr>
            <w:r>
              <w:rPr>
                <w:rFonts w:hint="eastAsia" w:ascii="宋体" w:hAnsi="宋体" w:eastAsia="宋体" w:cs="宋体"/>
                <w:b/>
                <w:bCs/>
                <w:kern w:val="0"/>
                <w:sz w:val="24"/>
                <w:szCs w:val="24"/>
                <w:lang w:val="ru-RU" w:eastAsia="zh-CN" w:bidi="ar-SA"/>
              </w:rPr>
              <w:t>评审标准</w:t>
            </w:r>
          </w:p>
        </w:tc>
      </w:tr>
      <w:tr>
        <w:tblPrEx>
          <w:tblCellMar>
            <w:top w:w="0" w:type="dxa"/>
            <w:left w:w="108" w:type="dxa"/>
            <w:bottom w:w="0" w:type="dxa"/>
            <w:right w:w="108" w:type="dxa"/>
          </w:tblCellMar>
        </w:tblPrEx>
        <w:trPr>
          <w:trHeight w:val="62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1</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营业执照</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979"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2</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具有良好的商业信誉和健全的财务会计制度</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提供承诺书，格式自拟</w:t>
            </w:r>
          </w:p>
        </w:tc>
      </w:tr>
      <w:tr>
        <w:tblPrEx>
          <w:tblCellMar>
            <w:top w:w="0" w:type="dxa"/>
            <w:left w:w="108" w:type="dxa"/>
            <w:bottom w:w="0" w:type="dxa"/>
            <w:right w:w="108" w:type="dxa"/>
          </w:tblCellMar>
        </w:tblPrEx>
        <w:trPr>
          <w:trHeight w:val="1113"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3</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具有依法缴纳税收和社会保障资金的良好记录</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jc w:val="both"/>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提供承诺书，格式自拟</w:t>
            </w:r>
          </w:p>
        </w:tc>
      </w:tr>
      <w:tr>
        <w:tblPrEx>
          <w:tblCellMar>
            <w:top w:w="0" w:type="dxa"/>
            <w:left w:w="108" w:type="dxa"/>
            <w:bottom w:w="0" w:type="dxa"/>
            <w:right w:w="108" w:type="dxa"/>
          </w:tblCellMar>
        </w:tblPrEx>
        <w:trPr>
          <w:trHeight w:val="867"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4</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网站截图</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提供“国家企业信用信息公示系统”、“信用中国”等网站查询截图并加盖供应商单位公章</w:t>
            </w:r>
            <w:r>
              <w:rPr>
                <w:rFonts w:hint="eastAsia" w:ascii="宋体" w:hAnsi="宋体" w:cs="宋体"/>
                <w:kern w:val="0"/>
                <w:sz w:val="24"/>
                <w:szCs w:val="24"/>
                <w:lang w:val="ru-RU" w:eastAsia="zh-CN" w:bidi="ar-SA"/>
              </w:rPr>
              <w:t>；</w:t>
            </w:r>
          </w:p>
        </w:tc>
      </w:tr>
      <w:tr>
        <w:tblPrEx>
          <w:tblCellMar>
            <w:top w:w="0" w:type="dxa"/>
            <w:left w:w="108" w:type="dxa"/>
            <w:bottom w:w="0" w:type="dxa"/>
            <w:right w:w="108" w:type="dxa"/>
          </w:tblCellMar>
        </w:tblPrEx>
        <w:trPr>
          <w:trHeight w:val="578"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5</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申请文件上传</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是否符合要求的时间前上传</w:t>
            </w:r>
          </w:p>
        </w:tc>
      </w:tr>
      <w:tr>
        <w:tblPrEx>
          <w:tblCellMar>
            <w:top w:w="0" w:type="dxa"/>
            <w:left w:w="108" w:type="dxa"/>
            <w:bottom w:w="0" w:type="dxa"/>
            <w:right w:w="108" w:type="dxa"/>
          </w:tblCellMar>
        </w:tblPrEx>
        <w:trPr>
          <w:trHeight w:val="578"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en-US" w:eastAsia="zh-CN" w:bidi="ar-SA"/>
              </w:rPr>
              <w:t>6</w:t>
            </w:r>
          </w:p>
        </w:tc>
        <w:tc>
          <w:tcPr>
            <w:tcW w:w="1318" w:type="pct"/>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申请文件签字和加盖供应商公司鲜章</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是否按</w:t>
            </w: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ru-RU" w:eastAsia="zh-CN" w:bidi="ar-SA"/>
              </w:rPr>
              <w:t>文件要求签字和加盖供应商公司章</w:t>
            </w:r>
          </w:p>
        </w:tc>
      </w:tr>
      <w:tr>
        <w:tblPrEx>
          <w:tblCellMar>
            <w:top w:w="0" w:type="dxa"/>
            <w:left w:w="108" w:type="dxa"/>
            <w:bottom w:w="0" w:type="dxa"/>
            <w:right w:w="108" w:type="dxa"/>
          </w:tblCellMar>
        </w:tblPrEx>
        <w:trPr>
          <w:trHeight w:val="510"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申请书内容</w:t>
            </w:r>
          </w:p>
        </w:tc>
        <w:tc>
          <w:tcPr>
            <w:tcW w:w="32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比选申请书内容是否完整响应比选文件</w:t>
            </w:r>
          </w:p>
        </w:tc>
      </w:tr>
      <w:tr>
        <w:tblPrEx>
          <w:tblCellMar>
            <w:top w:w="0" w:type="dxa"/>
            <w:left w:w="108" w:type="dxa"/>
            <w:bottom w:w="0" w:type="dxa"/>
            <w:right w:w="108" w:type="dxa"/>
          </w:tblCellMar>
        </w:tblPrEx>
        <w:trPr>
          <w:trHeight w:val="869"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说明：1.合格打“√”, 不合格打“×”。</w:t>
            </w:r>
          </w:p>
          <w:p>
            <w:pPr>
              <w:widowControl/>
              <w:spacing w:line="240" w:lineRule="auto"/>
              <w:ind w:firstLine="720" w:firstLineChars="30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2.有一项内容不合格，综合评定为不合格。</w:t>
            </w:r>
          </w:p>
        </w:tc>
      </w:tr>
    </w:tbl>
    <w:p>
      <w:pPr>
        <w:spacing w:line="312" w:lineRule="auto"/>
        <w:jc w:val="both"/>
        <w:outlineLvl w:val="1"/>
        <w:rPr>
          <w:rFonts w:hint="eastAsia" w:ascii="宋体" w:hAnsi="宋体" w:cs="宋体"/>
          <w:b/>
          <w:bCs/>
          <w:szCs w:val="28"/>
        </w:rPr>
      </w:pPr>
    </w:p>
    <w:p>
      <w:pPr>
        <w:spacing w:line="312" w:lineRule="auto"/>
        <w:jc w:val="center"/>
        <w:outlineLvl w:val="1"/>
        <w:rPr>
          <w:rFonts w:hint="eastAsia" w:ascii="宋体" w:hAnsi="宋体" w:cs="宋体"/>
          <w:b/>
          <w:bCs/>
          <w:szCs w:val="28"/>
        </w:rPr>
      </w:pPr>
    </w:p>
    <w:p>
      <w:pPr>
        <w:spacing w:line="312" w:lineRule="auto"/>
        <w:jc w:val="center"/>
        <w:outlineLvl w:val="1"/>
        <w:rPr>
          <w:rFonts w:hint="eastAsia" w:ascii="宋体" w:hAnsi="宋体" w:cs="宋体"/>
          <w:b/>
          <w:bCs/>
          <w:szCs w:val="28"/>
        </w:rPr>
      </w:pPr>
    </w:p>
    <w:p>
      <w:pPr>
        <w:spacing w:line="312" w:lineRule="auto"/>
        <w:jc w:val="center"/>
        <w:outlineLvl w:val="1"/>
        <w:rPr>
          <w:rFonts w:hint="eastAsia" w:ascii="宋体" w:hAnsi="宋体" w:cs="宋体"/>
          <w:b/>
          <w:bCs/>
          <w:szCs w:val="28"/>
        </w:rPr>
      </w:pPr>
    </w:p>
    <w:p>
      <w:pPr>
        <w:spacing w:line="312" w:lineRule="auto"/>
        <w:jc w:val="center"/>
        <w:outlineLvl w:val="1"/>
        <w:rPr>
          <w:rFonts w:ascii="宋体" w:hAnsi="宋体" w:cs="宋体"/>
          <w:b/>
          <w:bCs/>
          <w:szCs w:val="28"/>
        </w:rPr>
      </w:pPr>
      <w:r>
        <w:rPr>
          <w:rFonts w:hint="eastAsia" w:ascii="宋体" w:hAnsi="宋体" w:cs="宋体"/>
          <w:b/>
          <w:bCs/>
          <w:szCs w:val="28"/>
        </w:rPr>
        <w:t>评审标准</w:t>
      </w:r>
    </w:p>
    <w:tbl>
      <w:tblPr>
        <w:tblStyle w:val="10"/>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5" w:type="dxa"/>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1269"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955" w:type="dxa"/>
            <w:vAlign w:val="center"/>
          </w:tcPr>
          <w:p>
            <w:pPr>
              <w:spacing w:line="440" w:lineRule="exact"/>
              <w:jc w:val="center"/>
              <w:rPr>
                <w:rFonts w:ascii="宋体" w:hAnsi="宋体" w:cs="宋体"/>
                <w:b/>
                <w:sz w:val="24"/>
                <w:szCs w:val="24"/>
              </w:rPr>
            </w:pPr>
            <w:r>
              <w:rPr>
                <w:rFonts w:hint="eastAsia" w:ascii="宋体" w:hAnsi="宋体" w:cs="宋体"/>
                <w:b/>
                <w:sz w:val="24"/>
                <w:szCs w:val="24"/>
              </w:rPr>
              <w:t>分值</w:t>
            </w:r>
          </w:p>
        </w:tc>
        <w:tc>
          <w:tcPr>
            <w:tcW w:w="5997"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评分标准（以下评分标准为举例）</w:t>
            </w:r>
          </w:p>
        </w:tc>
        <w:tc>
          <w:tcPr>
            <w:tcW w:w="1404" w:type="dxa"/>
            <w:vAlign w:val="center"/>
          </w:tcPr>
          <w:p>
            <w:pPr>
              <w:pStyle w:val="14"/>
              <w:spacing w:before="0" w:after="0" w:line="440" w:lineRule="exact"/>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1</w:t>
            </w:r>
          </w:p>
        </w:tc>
        <w:tc>
          <w:tcPr>
            <w:tcW w:w="1269" w:type="dxa"/>
            <w:vAlign w:val="center"/>
          </w:tcPr>
          <w:p>
            <w:pPr>
              <w:spacing w:line="360" w:lineRule="exact"/>
              <w:rPr>
                <w:rFonts w:ascii="宋体" w:hAnsi="宋体" w:cs="方正仿宋_GBK"/>
                <w:sz w:val="24"/>
                <w:szCs w:val="24"/>
              </w:rPr>
            </w:pPr>
            <w:r>
              <w:rPr>
                <w:rFonts w:hint="eastAsia" w:ascii="宋体" w:hAnsi="宋体" w:cs="方正仿宋_GBK"/>
                <w:sz w:val="24"/>
                <w:szCs w:val="24"/>
              </w:rPr>
              <w:t>投标报价</w:t>
            </w:r>
          </w:p>
        </w:tc>
        <w:tc>
          <w:tcPr>
            <w:tcW w:w="955"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30</w:t>
            </w:r>
          </w:p>
        </w:tc>
        <w:tc>
          <w:tcPr>
            <w:tcW w:w="5997"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sz w:val="24"/>
                <w:szCs w:val="24"/>
              </w:rPr>
            </w:pPr>
            <w:r>
              <w:rPr>
                <w:rFonts w:hint="eastAsia" w:ascii="宋体" w:hAnsi="宋体" w:cs="宋体"/>
                <w:sz w:val="24"/>
                <w:szCs w:val="24"/>
              </w:rPr>
              <w:t>投标报价得分＝（评标基准价/投标报价）×价格权重×100。</w:t>
            </w:r>
          </w:p>
        </w:tc>
        <w:tc>
          <w:tcPr>
            <w:tcW w:w="1404" w:type="dxa"/>
            <w:vAlign w:val="center"/>
          </w:tcPr>
          <w:p>
            <w:pPr>
              <w:spacing w:line="360" w:lineRule="exact"/>
              <w:rPr>
                <w:rFonts w:ascii="宋体" w:hAnsi="宋体" w:cs="方正仿宋_GBK"/>
                <w:sz w:val="24"/>
                <w:szCs w:val="24"/>
              </w:rPr>
            </w:pPr>
            <w:r>
              <w:rPr>
                <w:rFonts w:hint="eastAsia" w:ascii="宋体" w:hAnsi="宋体" w:cs="宋体"/>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705"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2</w:t>
            </w:r>
          </w:p>
        </w:tc>
        <w:tc>
          <w:tcPr>
            <w:tcW w:w="1269"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服务部分</w:t>
            </w:r>
          </w:p>
        </w:tc>
        <w:tc>
          <w:tcPr>
            <w:tcW w:w="955" w:type="dxa"/>
            <w:vAlign w:val="center"/>
          </w:tcPr>
          <w:p>
            <w:pPr>
              <w:spacing w:line="240" w:lineRule="exact"/>
              <w:jc w:val="center"/>
              <w:rPr>
                <w:rFonts w:ascii="宋体" w:hAnsi="宋体" w:eastAsia="微软雅黑" w:cs="方正仿宋_GBK"/>
                <w:sz w:val="24"/>
                <w:szCs w:val="24"/>
              </w:rPr>
            </w:pPr>
            <w:r>
              <w:rPr>
                <w:rFonts w:hint="eastAsia" w:ascii="宋体" w:hAnsi="宋体" w:cs="方正仿宋_GBK"/>
                <w:sz w:val="24"/>
                <w:szCs w:val="24"/>
              </w:rPr>
              <w:t>50</w:t>
            </w:r>
          </w:p>
        </w:tc>
        <w:tc>
          <w:tcPr>
            <w:tcW w:w="5997"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服务需求内容提供书面方案。</w:t>
            </w:r>
          </w:p>
          <w:p>
            <w:pPr>
              <w:widowControl/>
              <w:spacing w:line="300" w:lineRule="exact"/>
              <w:outlineLvl w:val="2"/>
              <w:rPr>
                <w:rFonts w:ascii="宋体" w:hAnsi="宋体" w:cs="宋体"/>
                <w:sz w:val="24"/>
                <w:szCs w:val="24"/>
              </w:rPr>
            </w:pPr>
            <w:r>
              <w:rPr>
                <w:rFonts w:hint="eastAsia" w:ascii="宋体" w:hAnsi="宋体" w:cs="宋体"/>
                <w:sz w:val="24"/>
                <w:szCs w:val="24"/>
              </w:rPr>
              <w:t>1、服务管理方案。（15分）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①方案描述清晰，完整可行，得15分。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②方案描述较清晰，较可行，得8-14分。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③方案描述不够清晰，可行性一般，得1-7分。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p>
          <w:p>
            <w:pPr>
              <w:widowControl/>
              <w:spacing w:line="300" w:lineRule="exact"/>
              <w:outlineLvl w:val="2"/>
              <w:rPr>
                <w:rFonts w:ascii="宋体" w:hAnsi="宋体" w:cs="宋体"/>
                <w:sz w:val="24"/>
                <w:szCs w:val="24"/>
              </w:rPr>
            </w:pPr>
            <w:r>
              <w:rPr>
                <w:rFonts w:hint="eastAsia" w:ascii="宋体" w:hAnsi="宋体" w:cs="宋体"/>
                <w:sz w:val="24"/>
                <w:szCs w:val="24"/>
              </w:rPr>
              <w:t>2、服务实施方案。（15分）</w:t>
            </w:r>
          </w:p>
          <w:p>
            <w:pPr>
              <w:widowControl/>
              <w:spacing w:line="300" w:lineRule="exact"/>
              <w:outlineLvl w:val="2"/>
              <w:rPr>
                <w:rFonts w:ascii="宋体" w:hAnsi="宋体" w:cs="宋体"/>
                <w:sz w:val="24"/>
                <w:szCs w:val="24"/>
              </w:rPr>
            </w:pPr>
            <w:r>
              <w:rPr>
                <w:rFonts w:hint="eastAsia" w:ascii="宋体" w:hAnsi="宋体" w:cs="宋体"/>
                <w:sz w:val="24"/>
                <w:szCs w:val="24"/>
              </w:rPr>
              <w:t>①方案完整、详细、与本项目相适应，得15分。</w:t>
            </w:r>
          </w:p>
          <w:p>
            <w:pPr>
              <w:widowControl/>
              <w:spacing w:line="300" w:lineRule="exact"/>
              <w:outlineLvl w:val="2"/>
              <w:rPr>
                <w:rFonts w:ascii="宋体" w:hAnsi="宋体" w:cs="宋体"/>
                <w:sz w:val="24"/>
                <w:szCs w:val="24"/>
              </w:rPr>
            </w:pPr>
            <w:r>
              <w:rPr>
                <w:rFonts w:hint="eastAsia" w:ascii="宋体" w:hAnsi="宋体" w:cs="宋体"/>
                <w:sz w:val="24"/>
                <w:szCs w:val="24"/>
              </w:rPr>
              <w:t>②方案较完整、详细、与本项目较相适，得8-14分。</w:t>
            </w:r>
          </w:p>
          <w:p>
            <w:pPr>
              <w:widowControl/>
              <w:spacing w:line="300" w:lineRule="exact"/>
              <w:outlineLvl w:val="2"/>
              <w:rPr>
                <w:rFonts w:ascii="宋体" w:hAnsi="宋体" w:cs="宋体"/>
                <w:sz w:val="24"/>
                <w:szCs w:val="24"/>
              </w:rPr>
            </w:pPr>
            <w:r>
              <w:rPr>
                <w:rFonts w:hint="eastAsia" w:ascii="宋体" w:hAnsi="宋体" w:cs="宋体"/>
                <w:sz w:val="24"/>
                <w:szCs w:val="24"/>
              </w:rPr>
              <w:t>③方案不够完整、详细，与本项目不太相适，得1-7分。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p>
          <w:p>
            <w:pPr>
              <w:widowControl/>
              <w:spacing w:line="300" w:lineRule="exact"/>
              <w:outlineLvl w:val="2"/>
              <w:rPr>
                <w:rFonts w:ascii="宋体" w:hAnsi="宋体" w:cs="宋体"/>
                <w:sz w:val="24"/>
                <w:szCs w:val="24"/>
              </w:rPr>
            </w:pPr>
            <w:r>
              <w:rPr>
                <w:rFonts w:hint="eastAsia" w:ascii="宋体" w:hAnsi="宋体" w:cs="宋体"/>
                <w:sz w:val="24"/>
                <w:szCs w:val="24"/>
              </w:rPr>
              <w:t>3、服务质量保障方案。（10分）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p>
          <w:p>
            <w:pPr>
              <w:widowControl/>
              <w:spacing w:line="300" w:lineRule="exact"/>
              <w:outlineLvl w:val="2"/>
              <w:rPr>
                <w:rFonts w:ascii="宋体" w:hAnsi="宋体" w:cs="宋体"/>
                <w:sz w:val="24"/>
                <w:szCs w:val="24"/>
              </w:rPr>
            </w:pPr>
            <w:r>
              <w:rPr>
                <w:rFonts w:hint="eastAsia" w:ascii="宋体" w:hAnsi="宋体" w:cs="宋体"/>
                <w:sz w:val="24"/>
                <w:szCs w:val="24"/>
              </w:rPr>
              <w:t>4、服务承诺（10分）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tc>
        <w:tc>
          <w:tcPr>
            <w:tcW w:w="1404" w:type="dxa"/>
            <w:vAlign w:val="center"/>
          </w:tcPr>
          <w:p>
            <w:pPr>
              <w:spacing w:line="360" w:lineRule="exact"/>
              <w:rPr>
                <w:rFonts w:hint="default" w:ascii="宋体" w:hAnsi="宋体" w:eastAsia="宋体" w:cs="方正仿宋_GBK"/>
                <w:sz w:val="24"/>
                <w:szCs w:val="24"/>
                <w:lang w:val="en-US" w:eastAsia="zh-CN"/>
              </w:rPr>
            </w:pPr>
            <w:r>
              <w:rPr>
                <w:rFonts w:hint="eastAsia" w:ascii="宋体" w:hAnsi="宋体" w:cs="宋体"/>
                <w:sz w:val="24"/>
                <w:szCs w:val="24"/>
              </w:rPr>
              <w:t>根据采购服务要求为标准，对各供应商提供的书面方案进行横向比较评分。</w:t>
            </w:r>
            <w:r>
              <w:rPr>
                <w:rFonts w:hint="eastAsia" w:ascii="宋体" w:hAnsi="宋体" w:cs="宋体"/>
                <w:sz w:val="24"/>
                <w:szCs w:val="24"/>
                <w:lang w:val="en-US" w:eastAsia="zh-CN"/>
              </w:rPr>
              <w:t>服务内容应精简，篇幅不超过100页（含100页）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05"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3</w:t>
            </w:r>
          </w:p>
        </w:tc>
        <w:tc>
          <w:tcPr>
            <w:tcW w:w="1269"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商务部分</w:t>
            </w:r>
          </w:p>
        </w:tc>
        <w:tc>
          <w:tcPr>
            <w:tcW w:w="955" w:type="dxa"/>
            <w:vAlign w:val="center"/>
          </w:tcPr>
          <w:p>
            <w:pPr>
              <w:widowControl/>
              <w:spacing w:line="300" w:lineRule="exact"/>
              <w:jc w:val="center"/>
              <w:outlineLvl w:val="2"/>
              <w:rPr>
                <w:rFonts w:ascii="宋体" w:hAnsi="宋体" w:cs="宋体"/>
                <w:sz w:val="24"/>
                <w:szCs w:val="24"/>
              </w:rPr>
            </w:pPr>
            <w:r>
              <w:rPr>
                <w:rFonts w:hint="eastAsia" w:ascii="宋体" w:hAnsi="宋体" w:cs="宋体"/>
                <w:sz w:val="24"/>
                <w:szCs w:val="24"/>
              </w:rPr>
              <w:t>20</w:t>
            </w:r>
          </w:p>
        </w:tc>
        <w:tc>
          <w:tcPr>
            <w:tcW w:w="5997"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供应商自20</w:t>
            </w:r>
            <w:r>
              <w:rPr>
                <w:rFonts w:hint="eastAsia" w:ascii="宋体" w:hAnsi="宋体" w:cs="宋体"/>
                <w:sz w:val="24"/>
                <w:szCs w:val="24"/>
                <w:lang w:val="en-US" w:eastAsia="zh-CN"/>
              </w:rPr>
              <w:t>21</w:t>
            </w:r>
            <w:r>
              <w:rPr>
                <w:rFonts w:hint="eastAsia" w:ascii="宋体" w:hAnsi="宋体" w:cs="宋体"/>
                <w:sz w:val="24"/>
                <w:szCs w:val="24"/>
              </w:rPr>
              <w:t>年1月1日起在全国范围内提供过类似服务的，每提供1份合同或其他有效证明文件得</w:t>
            </w:r>
            <w:r>
              <w:rPr>
                <w:rFonts w:hint="eastAsia" w:ascii="宋体" w:hAnsi="宋体" w:cs="宋体"/>
                <w:sz w:val="24"/>
                <w:szCs w:val="24"/>
                <w:lang w:val="en-US" w:eastAsia="zh-CN"/>
              </w:rPr>
              <w:t>5</w:t>
            </w:r>
            <w:r>
              <w:rPr>
                <w:rFonts w:hint="eastAsia" w:ascii="宋体" w:hAnsi="宋体" w:cs="宋体"/>
                <w:sz w:val="24"/>
                <w:szCs w:val="24"/>
              </w:rPr>
              <w:t>分，最高得</w:t>
            </w:r>
            <w:r>
              <w:rPr>
                <w:rFonts w:hint="eastAsia" w:ascii="宋体" w:hAnsi="宋体" w:cs="宋体"/>
                <w:sz w:val="24"/>
                <w:szCs w:val="24"/>
                <w:lang w:val="en-US" w:eastAsia="zh-CN"/>
              </w:rPr>
              <w:t>20</w:t>
            </w:r>
            <w:r>
              <w:rPr>
                <w:rFonts w:hint="eastAsia" w:ascii="宋体" w:hAnsi="宋体" w:cs="宋体"/>
                <w:sz w:val="24"/>
                <w:szCs w:val="24"/>
              </w:rPr>
              <w:t>分；</w:t>
            </w:r>
          </w:p>
          <w:p>
            <w:pPr>
              <w:widowControl/>
              <w:spacing w:line="300" w:lineRule="exact"/>
              <w:outlineLvl w:val="2"/>
              <w:rPr>
                <w:rFonts w:ascii="宋体" w:hAnsi="宋体" w:cs="宋体"/>
                <w:color w:val="FF0000"/>
                <w:sz w:val="24"/>
                <w:szCs w:val="24"/>
              </w:rPr>
            </w:pPr>
          </w:p>
        </w:tc>
        <w:tc>
          <w:tcPr>
            <w:tcW w:w="1404" w:type="dxa"/>
            <w:vAlign w:val="center"/>
          </w:tcPr>
          <w:p>
            <w:pPr>
              <w:spacing w:line="320" w:lineRule="exact"/>
              <w:rPr>
                <w:rFonts w:ascii="宋体" w:hAnsi="宋体" w:cs="方正仿宋_GBK"/>
                <w:sz w:val="24"/>
                <w:szCs w:val="24"/>
              </w:rPr>
            </w:pPr>
            <w:r>
              <w:rPr>
                <w:rFonts w:hint="eastAsia" w:ascii="宋体" w:hAnsi="宋体" w:cs="宋体"/>
                <w:sz w:val="24"/>
                <w:szCs w:val="24"/>
              </w:rPr>
              <w:t>提供合同或其他有效证明文件扫描件</w:t>
            </w:r>
            <w:r>
              <w:rPr>
                <w:rFonts w:hint="eastAsia" w:ascii="宋体" w:hAnsi="宋体" w:cs="方正仿宋_GBK"/>
                <w:color w:val="auto"/>
                <w:sz w:val="24"/>
                <w:szCs w:val="24"/>
                <w:lang w:val="en-US" w:eastAsia="zh-CN"/>
              </w:rPr>
              <w:t>加盖公章</w:t>
            </w:r>
            <w:r>
              <w:rPr>
                <w:rFonts w:hint="eastAsia" w:ascii="宋体" w:hAnsi="宋体" w:cs="宋体"/>
                <w:sz w:val="24"/>
                <w:szCs w:val="24"/>
              </w:rPr>
              <w:t>，原件备查。</w:t>
            </w:r>
          </w:p>
        </w:tc>
      </w:tr>
      <w:bookmarkEnd w:id="33"/>
    </w:tbl>
    <w:p>
      <w:pPr>
        <w:rPr>
          <w:rFonts w:ascii="宋体" w:hAnsi="宋体" w:cs="宋体"/>
          <w:color w:val="FF0000"/>
          <w:sz w:val="24"/>
          <w:szCs w:val="24"/>
        </w:rPr>
      </w:pPr>
    </w:p>
    <w:p>
      <w:pPr>
        <w:rPr>
          <w:rFonts w:ascii="宋体" w:hAnsi="宋体" w:cs="宋体"/>
          <w:b/>
          <w:szCs w:val="28"/>
        </w:rPr>
      </w:pPr>
      <w:r>
        <w:rPr>
          <w:rFonts w:hint="eastAsia" w:ascii="宋体" w:hAnsi="宋体" w:cs="宋体"/>
          <w:b/>
          <w:szCs w:val="28"/>
        </w:rPr>
        <w:br w:type="page"/>
      </w:r>
    </w:p>
    <w:p>
      <w:pPr>
        <w:spacing w:line="312" w:lineRule="auto"/>
        <w:jc w:val="center"/>
        <w:outlineLvl w:val="1"/>
        <w:rPr>
          <w:rFonts w:ascii="宋体" w:hAnsi="宋体" w:cs="宋体"/>
          <w:b/>
          <w:szCs w:val="28"/>
        </w:rPr>
      </w:pPr>
      <w:r>
        <w:rPr>
          <w:rFonts w:hint="eastAsia" w:ascii="宋体" w:hAnsi="宋体" w:cs="宋体"/>
          <w:b/>
          <w:szCs w:val="28"/>
        </w:rPr>
        <w:t>供应商编制响应文件要求</w:t>
      </w:r>
    </w:p>
    <w:p>
      <w:pPr>
        <w:numPr>
          <w:ilvl w:val="0"/>
          <w:numId w:val="1"/>
        </w:numPr>
        <w:spacing w:line="312" w:lineRule="auto"/>
        <w:outlineLvl w:val="1"/>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outlineLvl w:val="1"/>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outlineLvl w:val="1"/>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0"/>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9"/>
        <w:spacing w:line="312" w:lineRule="auto"/>
        <w:ind w:firstLine="480"/>
        <w:rPr>
          <w:rFonts w:ascii="宋体" w:hAnsi="宋体" w:cs="宋体"/>
          <w:sz w:val="24"/>
          <w:szCs w:val="24"/>
        </w:rPr>
      </w:pPr>
    </w:p>
    <w:p>
      <w:pPr>
        <w:pStyle w:val="9"/>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8"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outlineLvl w:val="1"/>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numPr>
          <w:ilvl w:val="0"/>
          <w:numId w:val="1"/>
        </w:numPr>
        <w:spacing w:line="360" w:lineRule="auto"/>
        <w:jc w:val="left"/>
        <w:rPr>
          <w:rFonts w:ascii="宋体" w:hAnsi="宋体" w:cs="宋体"/>
          <w:b/>
          <w:bCs/>
          <w:sz w:val="24"/>
          <w:szCs w:val="24"/>
        </w:rPr>
      </w:pPr>
      <w:r>
        <w:rPr>
          <w:rFonts w:hint="eastAsia" w:ascii="宋体" w:hAnsi="宋体" w:cs="宋体"/>
          <w:b/>
          <w:bCs/>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2"/>
        <w:spacing w:before="0" w:after="0" w:line="312" w:lineRule="auto"/>
        <w:rPr>
          <w:rFonts w:ascii="宋体" w:hAnsi="宋体" w:cs="宋体"/>
          <w:sz w:val="24"/>
          <w:szCs w:val="24"/>
        </w:rPr>
      </w:pPr>
    </w:p>
    <w:p>
      <w:pPr>
        <w:rPr>
          <w:rFonts w:ascii="宋体" w:hAnsi="宋体" w:cs="宋体"/>
          <w:sz w:val="24"/>
          <w:szCs w:val="24"/>
        </w:rPr>
      </w:pPr>
    </w:p>
    <w:p>
      <w:pPr>
        <w:pStyle w:val="4"/>
        <w:rPr>
          <w:rFonts w:ascii="宋体" w:hAnsi="宋体" w:cs="宋体"/>
          <w:sz w:val="24"/>
          <w:szCs w:val="24"/>
        </w:rPr>
      </w:pPr>
    </w:p>
    <w:p>
      <w:pPr>
        <w:pStyle w:val="6"/>
        <w:rPr>
          <w:rFonts w:ascii="宋体" w:hAnsi="宋体" w:cs="宋体"/>
          <w:sz w:val="24"/>
          <w:szCs w:val="24"/>
        </w:rPr>
      </w:pPr>
    </w:p>
    <w:p>
      <w:pPr>
        <w:rPr>
          <w:rFonts w:ascii="宋体" w:hAnsi="宋体" w:cs="宋体"/>
          <w:sz w:val="24"/>
          <w:szCs w:val="24"/>
        </w:rPr>
      </w:pPr>
    </w:p>
    <w:p>
      <w:pPr>
        <w:pStyle w:val="4"/>
      </w:pPr>
    </w:p>
    <w:p>
      <w:pPr>
        <w:tabs>
          <w:tab w:val="left" w:pos="0"/>
          <w:tab w:val="left" w:pos="210"/>
          <w:tab w:val="left" w:pos="420"/>
        </w:tabs>
        <w:spacing w:line="312" w:lineRule="auto"/>
        <w:rPr>
          <w:rFonts w:ascii="宋体" w:hAnsi="宋体" w:cs="宋体"/>
          <w:b/>
          <w:bCs/>
          <w:sz w:val="24"/>
          <w:szCs w:val="24"/>
        </w:rPr>
      </w:pPr>
      <w:r>
        <w:rPr>
          <w:rFonts w:hint="eastAsia" w:ascii="宋体" w:hAnsi="宋体" w:cs="宋体"/>
          <w:b/>
          <w:bCs/>
          <w:sz w:val="24"/>
          <w:szCs w:val="24"/>
        </w:rPr>
        <w:t>四、其他应提供的资料</w:t>
      </w:r>
    </w:p>
    <w:p>
      <w:pPr>
        <w:tabs>
          <w:tab w:val="left" w:pos="6300"/>
        </w:tabs>
        <w:snapToGrid w:val="0"/>
        <w:spacing w:line="312" w:lineRule="auto"/>
        <w:outlineLvl w:val="2"/>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outlineLvl w:val="1"/>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pPr>
      <w:r>
        <w:rPr>
          <w:rFonts w:hint="eastAsia" w:ascii="宋体" w:hAnsi="宋体" w:cs="宋体"/>
          <w:sz w:val="24"/>
          <w:szCs w:val="24"/>
        </w:rPr>
        <w:t>（结束）</w:t>
      </w:r>
      <w:bookmarkEnd w:id="35"/>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2VkNDc4ZmI2NWM2Y2FjMDc5YjVmZDZjODRlMjQifQ=="/>
  </w:docVars>
  <w:rsids>
    <w:rsidRoot w:val="693D54F0"/>
    <w:rsid w:val="000002C3"/>
    <w:rsid w:val="00072D1D"/>
    <w:rsid w:val="000943D6"/>
    <w:rsid w:val="001139E9"/>
    <w:rsid w:val="001F2AC0"/>
    <w:rsid w:val="00206CC8"/>
    <w:rsid w:val="002A5B46"/>
    <w:rsid w:val="00353597"/>
    <w:rsid w:val="00380601"/>
    <w:rsid w:val="003A5DE0"/>
    <w:rsid w:val="00432379"/>
    <w:rsid w:val="00441154"/>
    <w:rsid w:val="0048524C"/>
    <w:rsid w:val="004C6D4F"/>
    <w:rsid w:val="004E0C8C"/>
    <w:rsid w:val="00627E56"/>
    <w:rsid w:val="006A0051"/>
    <w:rsid w:val="006C177C"/>
    <w:rsid w:val="006D4BA3"/>
    <w:rsid w:val="007A169D"/>
    <w:rsid w:val="00820B59"/>
    <w:rsid w:val="008E16A4"/>
    <w:rsid w:val="00917B0D"/>
    <w:rsid w:val="00925E95"/>
    <w:rsid w:val="00A1775E"/>
    <w:rsid w:val="00A80FFC"/>
    <w:rsid w:val="00AC244B"/>
    <w:rsid w:val="00B65E4F"/>
    <w:rsid w:val="00B73340"/>
    <w:rsid w:val="00B862A7"/>
    <w:rsid w:val="00BF0545"/>
    <w:rsid w:val="00CB4BDA"/>
    <w:rsid w:val="00D245EB"/>
    <w:rsid w:val="00D255BD"/>
    <w:rsid w:val="00D80BCD"/>
    <w:rsid w:val="00E26FEA"/>
    <w:rsid w:val="00E81ED6"/>
    <w:rsid w:val="00EA1B26"/>
    <w:rsid w:val="00EA5BA0"/>
    <w:rsid w:val="00EF5434"/>
    <w:rsid w:val="00F81E02"/>
    <w:rsid w:val="00FA1F27"/>
    <w:rsid w:val="00FB4CC3"/>
    <w:rsid w:val="0D992A86"/>
    <w:rsid w:val="1C335EBC"/>
    <w:rsid w:val="1F890BD9"/>
    <w:rsid w:val="22F45247"/>
    <w:rsid w:val="23A777BF"/>
    <w:rsid w:val="26D94B49"/>
    <w:rsid w:val="299F1A8A"/>
    <w:rsid w:val="36B966AC"/>
    <w:rsid w:val="3AD274CD"/>
    <w:rsid w:val="41DE4646"/>
    <w:rsid w:val="4E814E6D"/>
    <w:rsid w:val="5CD91C08"/>
    <w:rsid w:val="5DEE4078"/>
    <w:rsid w:val="5FB82E15"/>
    <w:rsid w:val="5FFB7AE9"/>
    <w:rsid w:val="693D54F0"/>
    <w:rsid w:val="6BB6155D"/>
    <w:rsid w:val="72A318FD"/>
    <w:rsid w:val="74165F4F"/>
    <w:rsid w:val="754C227B"/>
    <w:rsid w:val="77833C4D"/>
    <w:rsid w:val="7C9219F0"/>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qFormat/>
    <w:uiPriority w:val="1"/>
    <w:rPr>
      <w:rFonts w:ascii="宋体" w:hAnsi="宋体" w:cs="宋体"/>
      <w:sz w:val="24"/>
      <w:szCs w:val="24"/>
      <w:lang w:val="zh-CN" w:bidi="zh-CN"/>
    </w:rPr>
  </w:style>
  <w:style w:type="paragraph" w:styleId="5">
    <w:name w:val="Body Text Indent"/>
    <w:basedOn w:val="1"/>
    <w:autoRedefine/>
    <w:qFormat/>
    <w:uiPriority w:val="0"/>
    <w:pPr>
      <w:spacing w:line="700" w:lineRule="exact"/>
      <w:ind w:left="960"/>
    </w:pPr>
    <w:rPr>
      <w:sz w:val="44"/>
    </w:rPr>
  </w:style>
  <w:style w:type="paragraph" w:styleId="6">
    <w:name w:val="toc 3"/>
    <w:basedOn w:val="1"/>
    <w:next w:val="1"/>
    <w:autoRedefine/>
    <w:qFormat/>
    <w:uiPriority w:val="39"/>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autoRedefine/>
    <w:qFormat/>
    <w:uiPriority w:val="0"/>
    <w:pPr>
      <w:spacing w:line="180" w:lineRule="auto"/>
      <w:jc w:val="center"/>
    </w:pPr>
    <w:rPr>
      <w:sz w:val="30"/>
    </w:rPr>
  </w:style>
  <w:style w:type="table" w:styleId="11">
    <w:name w:val="Table Grid"/>
    <w:basedOn w:val="10"/>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图例"/>
    <w:basedOn w:val="1"/>
    <w:autoRedefine/>
    <w:qFormat/>
    <w:uiPriority w:val="0"/>
    <w:pPr>
      <w:spacing w:before="120" w:after="120" w:line="360" w:lineRule="auto"/>
      <w:jc w:val="center"/>
    </w:pPr>
    <w:rPr>
      <w:rFonts w:eastAsia="仿宋_GB2312"/>
      <w:b/>
      <w:sz w:val="24"/>
    </w:rPr>
  </w:style>
  <w:style w:type="paragraph" w:customStyle="1" w:styleId="15">
    <w:name w:val="Table Text"/>
    <w:basedOn w:val="1"/>
    <w:autoRedefine/>
    <w:semiHidden/>
    <w:qFormat/>
    <w:uiPriority w:val="0"/>
    <w:rPr>
      <w:rFonts w:ascii="宋体" w:hAnsi="宋体" w:eastAsia="宋体" w:cs="宋体"/>
      <w:sz w:val="26"/>
      <w:szCs w:val="26"/>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692</Words>
  <Characters>3949</Characters>
  <Lines>32</Lines>
  <Paragraphs>9</Paragraphs>
  <TotalTime>1</TotalTime>
  <ScaleCrop>false</ScaleCrop>
  <LinksUpToDate>false</LinksUpToDate>
  <CharactersWithSpaces>4632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2023-10-24T02:27:00Z</dcterms:created>
  <dc:creator>Administrator</dc:creator>
  <cp:lastModifiedBy>佳</cp:lastModifiedBy>
  <dcterms:modified xsi:type="dcterms:W3CDTF">2024-06-13T08:49:47Z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8F6C2E5FC2D54554BAC0B55BB888885C_13</vt:lpwstr>
  </property>
</Properties>
</file>