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spacing w:line="312" w:lineRule="auto"/>
        <w:ind w:firstLine="4096" w:firstLineChars="1700"/>
        <w:jc w:val="both"/>
        <w:rPr>
          <w:rFonts w:ascii="宋体" w:hAnsi="宋体" w:cs="宋体"/>
          <w:b/>
          <w:bCs/>
          <w:color w:val="auto"/>
          <w:sz w:val="24"/>
          <w:szCs w:val="36"/>
        </w:rPr>
      </w:pPr>
      <w:r>
        <w:rPr>
          <w:rFonts w:hint="eastAsia" w:ascii="宋体" w:hAnsi="宋体" w:cs="宋体"/>
          <w:b/>
          <w:bCs/>
          <w:color w:val="auto"/>
          <w:sz w:val="24"/>
          <w:szCs w:val="36"/>
        </w:rPr>
        <w:t>评审标准</w:t>
      </w:r>
    </w:p>
    <w:p>
      <w:pPr>
        <w:rPr>
          <w:rFonts w:ascii="宋体" w:hAnsi="宋体" w:cs="宋体"/>
          <w:color w:val="auto"/>
          <w:sz w:val="24"/>
        </w:rPr>
      </w:pPr>
    </w:p>
    <w:tbl>
      <w:tblPr>
        <w:tblStyle w:val="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75"/>
        <w:gridCol w:w="2108"/>
        <w:gridCol w:w="395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21" w:type="dxa"/>
            <w:noWrap/>
            <w:vAlign w:val="center"/>
          </w:tcPr>
          <w:p>
            <w:pPr>
              <w:autoSpaceDE w:val="0"/>
              <w:autoSpaceDN w:val="0"/>
              <w:spacing w:line="40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1375" w:type="dxa"/>
            <w:noWrap/>
            <w:vAlign w:val="center"/>
          </w:tcPr>
          <w:p>
            <w:pPr>
              <w:autoSpaceDE w:val="0"/>
              <w:autoSpaceDN w:val="0"/>
              <w:spacing w:line="400" w:lineRule="exact"/>
              <w:jc w:val="center"/>
              <w:rPr>
                <w:rFonts w:ascii="宋体" w:hAnsi="宋体" w:cs="宋体"/>
                <w:b/>
                <w:color w:val="auto"/>
                <w:kern w:val="0"/>
                <w:sz w:val="24"/>
              </w:rPr>
            </w:pPr>
            <w:r>
              <w:rPr>
                <w:rFonts w:hint="eastAsia" w:ascii="宋体" w:hAnsi="宋体" w:cs="宋体"/>
                <w:b/>
                <w:color w:val="auto"/>
                <w:kern w:val="0"/>
                <w:sz w:val="24"/>
              </w:rPr>
              <w:t>评分因素及分值</w:t>
            </w:r>
          </w:p>
        </w:tc>
        <w:tc>
          <w:tcPr>
            <w:tcW w:w="6060" w:type="dxa"/>
            <w:gridSpan w:val="2"/>
            <w:noWrap/>
            <w:vAlign w:val="center"/>
          </w:tcPr>
          <w:p>
            <w:pPr>
              <w:autoSpaceDE w:val="0"/>
              <w:autoSpaceDN w:val="0"/>
              <w:spacing w:line="400" w:lineRule="exact"/>
              <w:jc w:val="center"/>
              <w:rPr>
                <w:rFonts w:ascii="宋体" w:hAnsi="宋体" w:cs="宋体"/>
                <w:b/>
                <w:color w:val="auto"/>
                <w:kern w:val="0"/>
                <w:sz w:val="24"/>
              </w:rPr>
            </w:pPr>
            <w:r>
              <w:rPr>
                <w:rFonts w:hint="eastAsia" w:ascii="宋体" w:hAnsi="宋体" w:cs="宋体"/>
                <w:b/>
                <w:color w:val="auto"/>
                <w:kern w:val="0"/>
                <w:sz w:val="24"/>
              </w:rPr>
              <w:t>评分标准</w:t>
            </w:r>
          </w:p>
        </w:tc>
        <w:tc>
          <w:tcPr>
            <w:tcW w:w="1542" w:type="dxa"/>
            <w:noWrap/>
            <w:vAlign w:val="center"/>
          </w:tcPr>
          <w:p>
            <w:pPr>
              <w:pStyle w:val="6"/>
              <w:spacing w:before="0" w:after="0" w:line="440" w:lineRule="exact"/>
              <w:rPr>
                <w:rFonts w:ascii="宋体" w:hAnsi="宋体" w:eastAsia="宋体" w:cs="宋体"/>
                <w:color w:val="auto"/>
                <w:kern w:val="0"/>
              </w:rPr>
            </w:pPr>
            <w:r>
              <w:rPr>
                <w:rFonts w:hint="eastAsia" w:ascii="宋体" w:hAnsi="宋体" w:eastAsia="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821" w:type="dxa"/>
            <w:noWrap/>
            <w:vAlign w:val="center"/>
          </w:tcPr>
          <w:p>
            <w:pPr>
              <w:autoSpaceDE w:val="0"/>
              <w:autoSpaceDN w:val="0"/>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75" w:type="dxa"/>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报价部分</w:t>
            </w:r>
          </w:p>
          <w:p>
            <w:pPr>
              <w:spacing w:line="400" w:lineRule="exact"/>
              <w:jc w:val="center"/>
              <w:rPr>
                <w:rFonts w:ascii="宋体" w:hAnsi="宋体" w:cs="宋体"/>
                <w:color w:val="auto"/>
                <w:sz w:val="24"/>
                <w:szCs w:val="24"/>
              </w:rPr>
            </w:pPr>
            <w:r>
              <w:rPr>
                <w:rFonts w:hint="eastAsia" w:ascii="宋体" w:hAnsi="宋体" w:cs="宋体"/>
                <w:color w:val="auto"/>
                <w:sz w:val="24"/>
                <w:szCs w:val="24"/>
              </w:rPr>
              <w:t>评分标准</w:t>
            </w:r>
          </w:p>
          <w:p>
            <w:pPr>
              <w:spacing w:line="400" w:lineRule="exact"/>
              <w:jc w:val="center"/>
              <w:rPr>
                <w:rFonts w:ascii="宋体" w:hAnsi="宋体" w:cs="宋体"/>
                <w:color w:val="auto"/>
                <w:sz w:val="24"/>
                <w:szCs w:val="24"/>
              </w:rPr>
            </w:pPr>
            <w:r>
              <w:rPr>
                <w:rFonts w:hint="eastAsia" w:ascii="宋体" w:hAnsi="宋体" w:cs="宋体"/>
                <w:color w:val="auto"/>
                <w:sz w:val="24"/>
                <w:szCs w:val="24"/>
              </w:rPr>
              <w:t>（30分）</w:t>
            </w:r>
          </w:p>
        </w:tc>
        <w:tc>
          <w:tcPr>
            <w:tcW w:w="6060" w:type="dxa"/>
            <w:gridSpan w:val="2"/>
            <w:noWrap/>
            <w:vAlign w:val="center"/>
          </w:tcPr>
          <w:p>
            <w:pPr>
              <w:spacing w:line="400" w:lineRule="exact"/>
              <w:rPr>
                <w:rFonts w:ascii="宋体" w:hAnsi="宋体" w:cs="宋体"/>
                <w:color w:val="auto"/>
                <w:sz w:val="24"/>
                <w:szCs w:val="24"/>
              </w:rPr>
            </w:pPr>
            <w:r>
              <w:rPr>
                <w:rFonts w:hint="eastAsia" w:ascii="宋体" w:hAnsi="宋体" w:cs="宋体"/>
                <w:color w:val="auto"/>
                <w:sz w:val="24"/>
                <w:szCs w:val="24"/>
              </w:rPr>
              <w:t>满足谈判文件要求且最后报价最低的供应商报价为谈判基准价，其报价得分为满分。其他供应商的价格得分统一按照下列公式计算：谈判报价得分=(谈判基准价／最后谈判报价)×30（小数点后保留2位小数）</w:t>
            </w:r>
          </w:p>
        </w:tc>
        <w:tc>
          <w:tcPr>
            <w:tcW w:w="1542" w:type="dxa"/>
            <w:noWrap/>
            <w:vAlign w:val="center"/>
          </w:tcPr>
          <w:p>
            <w:pPr>
              <w:spacing w:line="360" w:lineRule="exact"/>
              <w:rPr>
                <w:rFonts w:ascii="宋体" w:hAnsi="宋体" w:cs="宋体"/>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21" w:type="dxa"/>
            <w:vMerge w:val="restart"/>
            <w:noWrap/>
            <w:vAlign w:val="center"/>
          </w:tcPr>
          <w:p>
            <w:pPr>
              <w:autoSpaceDE w:val="0"/>
              <w:autoSpaceDN w:val="0"/>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375" w:type="dxa"/>
            <w:vMerge w:val="restart"/>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技术部分</w:t>
            </w:r>
          </w:p>
          <w:p>
            <w:pPr>
              <w:spacing w:line="400" w:lineRule="exact"/>
              <w:jc w:val="center"/>
              <w:rPr>
                <w:rFonts w:ascii="宋体" w:hAnsi="宋体" w:cs="宋体"/>
                <w:color w:val="auto"/>
                <w:sz w:val="24"/>
                <w:szCs w:val="24"/>
              </w:rPr>
            </w:pPr>
            <w:r>
              <w:rPr>
                <w:rFonts w:hint="eastAsia" w:ascii="宋体" w:hAnsi="宋体" w:cs="宋体"/>
                <w:color w:val="auto"/>
                <w:sz w:val="24"/>
                <w:szCs w:val="24"/>
              </w:rPr>
              <w:t>（40分）</w:t>
            </w:r>
          </w:p>
        </w:tc>
        <w:tc>
          <w:tcPr>
            <w:tcW w:w="6060" w:type="dxa"/>
            <w:gridSpan w:val="2"/>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审查内容</w:t>
            </w:r>
          </w:p>
        </w:tc>
        <w:tc>
          <w:tcPr>
            <w:tcW w:w="1542" w:type="dxa"/>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施工方案和技术措施</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质量管理体系与措施</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安全管理体系与措施</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环境保护及除尘管理体系与措施</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工程进度计划与措施</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rPr>
                <w:rFonts w:ascii="宋体" w:hAnsi="宋体" w:cs="宋体"/>
                <w:color w:val="auto"/>
                <w:sz w:val="24"/>
                <w:szCs w:val="24"/>
              </w:rPr>
            </w:pPr>
            <w:r>
              <w:rPr>
                <w:rFonts w:hint="eastAsia" w:ascii="宋体" w:hAnsi="宋体" w:cs="宋体"/>
                <w:color w:val="auto"/>
                <w:sz w:val="24"/>
                <w:szCs w:val="24"/>
              </w:rPr>
              <w:t>资源配备计划</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rPr>
                <w:rFonts w:ascii="宋体" w:hAnsi="宋体" w:cs="宋体"/>
                <w:color w:val="auto"/>
                <w:sz w:val="24"/>
                <w:szCs w:val="24"/>
              </w:rPr>
            </w:pPr>
            <w:r>
              <w:rPr>
                <w:rFonts w:hint="eastAsia" w:ascii="宋体" w:hAnsi="宋体" w:cs="宋体"/>
                <w:color w:val="auto"/>
                <w:sz w:val="24"/>
                <w:szCs w:val="24"/>
              </w:rPr>
              <w:t>施工现场扬尘防治措施与方法</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rPr>
                <w:rFonts w:ascii="宋体" w:hAnsi="宋体" w:cs="宋体"/>
                <w:color w:val="auto"/>
                <w:sz w:val="24"/>
                <w:szCs w:val="24"/>
              </w:rPr>
            </w:pPr>
            <w:r>
              <w:rPr>
                <w:rFonts w:hint="eastAsia" w:ascii="宋体" w:hAnsi="宋体" w:cs="宋体"/>
                <w:color w:val="auto"/>
                <w:sz w:val="24"/>
                <w:szCs w:val="24"/>
              </w:rPr>
              <w:t>紧急情况的处理措施、应急预案及风险控制</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rPr>
                <w:rFonts w:ascii="宋体" w:hAnsi="宋体" w:cs="宋体"/>
                <w:color w:val="auto"/>
                <w:sz w:val="24"/>
                <w:szCs w:val="24"/>
              </w:rPr>
            </w:pPr>
            <w:r>
              <w:rPr>
                <w:rFonts w:hint="eastAsia" w:ascii="宋体" w:hAnsi="宋体" w:cs="宋体"/>
                <w:color w:val="auto"/>
                <w:sz w:val="24"/>
                <w:szCs w:val="24"/>
              </w:rPr>
              <w:t>施工总进度表或工期网络图</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rPr>
                <w:rFonts w:ascii="宋体" w:hAnsi="宋体" w:cs="宋体"/>
                <w:color w:val="auto"/>
                <w:sz w:val="24"/>
                <w:szCs w:val="24"/>
              </w:rPr>
            </w:pPr>
            <w:r>
              <w:rPr>
                <w:rFonts w:hint="eastAsia" w:ascii="宋体" w:hAnsi="宋体" w:cs="宋体"/>
                <w:color w:val="auto"/>
                <w:sz w:val="24"/>
                <w:szCs w:val="24"/>
              </w:rPr>
              <w:t>施工总平面布置图</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6060" w:type="dxa"/>
            <w:gridSpan w:val="2"/>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施工组织设计内容完整性和编制水平</w:t>
            </w:r>
          </w:p>
        </w:tc>
        <w:tc>
          <w:tcPr>
            <w:tcW w:w="1542" w:type="dxa"/>
            <w:noWrap/>
            <w:vAlign w:val="center"/>
          </w:tcPr>
          <w:p>
            <w:pPr>
              <w:widowControl/>
              <w:spacing w:line="400" w:lineRule="exact"/>
              <w:jc w:val="center"/>
              <w:textAlignment w:val="center"/>
              <w:rPr>
                <w:rFonts w:ascii="宋体" w:hAnsi="宋体" w:cs="宋体"/>
                <w:color w:val="auto"/>
                <w:sz w:val="24"/>
                <w:szCs w:val="24"/>
              </w:rPr>
            </w:pPr>
            <w:r>
              <w:rPr>
                <w:rFonts w:hint="eastAsia" w:ascii="宋体" w:hAnsi="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8977" w:type="dxa"/>
            <w:gridSpan w:val="4"/>
            <w:noWrap/>
            <w:vAlign w:val="center"/>
          </w:tcPr>
          <w:p>
            <w:pPr>
              <w:spacing w:line="400" w:lineRule="exact"/>
              <w:rPr>
                <w:rFonts w:ascii="宋体" w:hAnsi="宋体" w:cs="宋体"/>
                <w:color w:val="auto"/>
                <w:sz w:val="24"/>
                <w:szCs w:val="24"/>
              </w:rPr>
            </w:pPr>
            <w:r>
              <w:rPr>
                <w:rFonts w:hint="eastAsia" w:ascii="宋体" w:hAnsi="宋体" w:cs="宋体"/>
                <w:color w:val="auto"/>
                <w:sz w:val="24"/>
                <w:szCs w:val="24"/>
              </w:rPr>
              <w:t>备注：以上项目若有缺项或不能满足施工要求或与该工程要求不相符，该项为0分；得分=所有评委计分后算术平均值。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restart"/>
            <w:noWrap/>
            <w:vAlign w:val="center"/>
          </w:tcPr>
          <w:p>
            <w:pPr>
              <w:autoSpaceDE w:val="0"/>
              <w:autoSpaceDN w:val="0"/>
              <w:spacing w:line="320" w:lineRule="exact"/>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375" w:type="dxa"/>
            <w:vMerge w:val="restart"/>
            <w:noWrap/>
            <w:vAlign w:val="center"/>
          </w:tcPr>
          <w:p>
            <w:pPr>
              <w:spacing w:line="320" w:lineRule="exact"/>
              <w:rPr>
                <w:rFonts w:ascii="宋体" w:hAnsi="宋体" w:cs="宋体"/>
                <w:color w:val="auto"/>
                <w:sz w:val="24"/>
                <w:szCs w:val="24"/>
              </w:rPr>
            </w:pPr>
            <w:r>
              <w:rPr>
                <w:rFonts w:hint="eastAsia" w:ascii="宋体" w:hAnsi="宋体" w:cs="宋体"/>
                <w:color w:val="auto"/>
                <w:sz w:val="24"/>
                <w:szCs w:val="24"/>
              </w:rPr>
              <w:t>综合标评标分值（30分）</w:t>
            </w:r>
          </w:p>
        </w:tc>
        <w:tc>
          <w:tcPr>
            <w:tcW w:w="2108" w:type="dxa"/>
            <w:noWrap/>
            <w:vAlign w:val="center"/>
          </w:tcPr>
          <w:p>
            <w:pPr>
              <w:spacing w:line="400" w:lineRule="exact"/>
              <w:ind w:firstLine="720" w:firstLineChars="300"/>
              <w:rPr>
                <w:rFonts w:ascii="宋体" w:hAnsi="宋体" w:cs="宋体"/>
                <w:bCs/>
                <w:color w:val="auto"/>
                <w:sz w:val="24"/>
                <w:szCs w:val="24"/>
              </w:rPr>
            </w:pPr>
            <w:r>
              <w:rPr>
                <w:rFonts w:hint="eastAsia" w:ascii="宋体" w:hAnsi="宋体" w:cs="宋体"/>
                <w:bCs/>
                <w:color w:val="auto"/>
                <w:sz w:val="24"/>
                <w:szCs w:val="24"/>
              </w:rPr>
              <w:t>企业业绩</w:t>
            </w:r>
          </w:p>
        </w:tc>
        <w:tc>
          <w:tcPr>
            <w:tcW w:w="3952" w:type="dxa"/>
            <w:noWrap/>
            <w:vAlign w:val="center"/>
          </w:tcPr>
          <w:p>
            <w:pPr>
              <w:widowControl/>
              <w:spacing w:line="320" w:lineRule="exact"/>
              <w:rPr>
                <w:rFonts w:ascii="宋体" w:hAnsi="宋体" w:cs="宋体"/>
                <w:bCs/>
                <w:color w:val="auto"/>
                <w:sz w:val="24"/>
                <w:szCs w:val="24"/>
              </w:rPr>
            </w:pPr>
            <w:r>
              <w:rPr>
                <w:rFonts w:hint="eastAsia" w:ascii="宋体" w:hAnsi="宋体" w:cs="宋体"/>
                <w:bCs/>
                <w:color w:val="auto"/>
                <w:sz w:val="24"/>
                <w:szCs w:val="24"/>
              </w:rPr>
              <w:t>具有类似业绩，每有一项得3分，没有不得分，注：响应性文件中需附业绩施工合同、中标通知书复印件。</w:t>
            </w:r>
          </w:p>
        </w:tc>
        <w:tc>
          <w:tcPr>
            <w:tcW w:w="1542" w:type="dxa"/>
            <w:noWrap/>
            <w:vAlign w:val="center"/>
          </w:tcPr>
          <w:p>
            <w:pPr>
              <w:widowControl/>
              <w:spacing w:line="320" w:lineRule="exact"/>
              <w:jc w:val="center"/>
              <w:textAlignment w:val="center"/>
              <w:rPr>
                <w:rFonts w:ascii="宋体" w:hAnsi="宋体" w:cs="宋体"/>
                <w:bCs/>
                <w:color w:val="auto"/>
                <w:sz w:val="24"/>
                <w:szCs w:val="24"/>
              </w:rPr>
            </w:pPr>
            <w:r>
              <w:rPr>
                <w:rFonts w:hint="eastAsia" w:ascii="宋体" w:hAnsi="宋体" w:cs="宋体"/>
                <w:bCs/>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autoSpaceDE w:val="0"/>
              <w:autoSpaceDN w:val="0"/>
              <w:spacing w:line="320" w:lineRule="exact"/>
              <w:jc w:val="center"/>
              <w:rPr>
                <w:rFonts w:ascii="宋体" w:hAnsi="宋体" w:cs="宋体"/>
                <w:color w:val="auto"/>
                <w:kern w:val="0"/>
                <w:sz w:val="24"/>
                <w:szCs w:val="24"/>
              </w:rPr>
            </w:pPr>
          </w:p>
        </w:tc>
        <w:tc>
          <w:tcPr>
            <w:tcW w:w="1375" w:type="dxa"/>
            <w:vMerge w:val="continue"/>
            <w:noWrap/>
            <w:vAlign w:val="center"/>
          </w:tcPr>
          <w:p>
            <w:pPr>
              <w:spacing w:line="320" w:lineRule="exact"/>
              <w:jc w:val="center"/>
              <w:rPr>
                <w:rFonts w:ascii="宋体" w:hAnsi="宋体" w:cs="宋体"/>
                <w:color w:val="auto"/>
                <w:sz w:val="24"/>
                <w:szCs w:val="24"/>
              </w:rPr>
            </w:pPr>
          </w:p>
        </w:tc>
        <w:tc>
          <w:tcPr>
            <w:tcW w:w="2108" w:type="dxa"/>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优惠承诺</w:t>
            </w:r>
          </w:p>
        </w:tc>
        <w:tc>
          <w:tcPr>
            <w:tcW w:w="3952" w:type="dxa"/>
            <w:noWrap/>
            <w:vAlign w:val="center"/>
          </w:tcPr>
          <w:p>
            <w:pPr>
              <w:widowControl/>
              <w:spacing w:line="320" w:lineRule="exact"/>
              <w:textAlignment w:val="center"/>
              <w:rPr>
                <w:rFonts w:ascii="宋体" w:hAnsi="宋体" w:cs="宋体"/>
                <w:color w:val="auto"/>
                <w:sz w:val="24"/>
                <w:szCs w:val="24"/>
              </w:rPr>
            </w:pPr>
            <w:r>
              <w:rPr>
                <w:rFonts w:hint="eastAsia" w:ascii="宋体" w:hAnsi="宋体" w:cs="宋体"/>
                <w:color w:val="auto"/>
                <w:sz w:val="24"/>
                <w:szCs w:val="24"/>
              </w:rPr>
              <w:t>优惠承诺应是书面的符合工程实际情况，确保依法依规，优惠合理，详实可行。</w:t>
            </w:r>
          </w:p>
        </w:tc>
        <w:tc>
          <w:tcPr>
            <w:tcW w:w="1542" w:type="dxa"/>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2108" w:type="dxa"/>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履职尽责承诺</w:t>
            </w:r>
          </w:p>
        </w:tc>
        <w:tc>
          <w:tcPr>
            <w:tcW w:w="3952" w:type="dxa"/>
            <w:noWrap/>
            <w:vAlign w:val="center"/>
          </w:tcPr>
          <w:p>
            <w:pPr>
              <w:widowControl/>
              <w:spacing w:line="320" w:lineRule="exact"/>
              <w:textAlignment w:val="center"/>
              <w:rPr>
                <w:rFonts w:ascii="宋体" w:hAnsi="宋体" w:cs="宋体"/>
                <w:color w:val="auto"/>
                <w:sz w:val="24"/>
                <w:szCs w:val="24"/>
              </w:rPr>
            </w:pPr>
            <w:r>
              <w:rPr>
                <w:rFonts w:hint="eastAsia" w:ascii="宋体" w:hAnsi="宋体" w:cs="宋体"/>
                <w:color w:val="auto"/>
                <w:sz w:val="24"/>
                <w:szCs w:val="24"/>
              </w:rPr>
              <w:t>具有全面、详实、可行、合法有效的书面保证技术措施落实到位的承诺和落实不到位的处理承诺，其中包括各关键岗位人员及特殊工种人员（项目经理、技术负责人及相关技术人员、施工员、质量员、安全员、材料员、预算员（造价师）的在岗、更换等履职尽责承诺，提供承包商履约保证和相关岗位证书（每少一个岗位证书扣一分，扣完为止）。</w:t>
            </w:r>
          </w:p>
          <w:p>
            <w:pPr>
              <w:widowControl/>
              <w:spacing w:line="320" w:lineRule="exact"/>
              <w:textAlignment w:val="center"/>
              <w:rPr>
                <w:rFonts w:ascii="宋体" w:hAnsi="宋体" w:cs="宋体"/>
                <w:color w:val="auto"/>
                <w:sz w:val="24"/>
                <w:szCs w:val="24"/>
              </w:rPr>
            </w:pPr>
            <w:r>
              <w:rPr>
                <w:rFonts w:hint="eastAsia"/>
                <w:color w:val="auto"/>
                <w:sz w:val="24"/>
                <w:szCs w:val="24"/>
              </w:rPr>
              <w:t>注：响应文件中需附人员证书复印件</w:t>
            </w:r>
          </w:p>
        </w:tc>
        <w:tc>
          <w:tcPr>
            <w:tcW w:w="1542" w:type="dxa"/>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21" w:type="dxa"/>
            <w:vMerge w:val="continue"/>
            <w:noWrap/>
            <w:vAlign w:val="center"/>
          </w:tcPr>
          <w:p>
            <w:pPr>
              <w:autoSpaceDE w:val="0"/>
              <w:autoSpaceDN w:val="0"/>
              <w:spacing w:line="400" w:lineRule="exact"/>
              <w:jc w:val="center"/>
              <w:rPr>
                <w:rFonts w:ascii="宋体" w:hAnsi="宋体" w:cs="宋体"/>
                <w:color w:val="auto"/>
                <w:kern w:val="0"/>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2108" w:type="dxa"/>
            <w:vMerge w:val="restart"/>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服务承诺</w:t>
            </w:r>
          </w:p>
        </w:tc>
        <w:tc>
          <w:tcPr>
            <w:tcW w:w="3952" w:type="dxa"/>
            <w:noWrap/>
            <w:vAlign w:val="center"/>
          </w:tcPr>
          <w:p>
            <w:pPr>
              <w:widowControl/>
              <w:spacing w:line="320" w:lineRule="exact"/>
              <w:rPr>
                <w:rFonts w:ascii="宋体" w:hAnsi="宋体" w:cs="宋体"/>
                <w:color w:val="auto"/>
                <w:sz w:val="24"/>
                <w:szCs w:val="24"/>
              </w:rPr>
            </w:pPr>
            <w:r>
              <w:rPr>
                <w:rFonts w:hint="eastAsia" w:ascii="宋体" w:hAnsi="宋体" w:cs="宋体"/>
                <w:color w:val="auto"/>
                <w:sz w:val="24"/>
                <w:szCs w:val="24"/>
              </w:rPr>
              <w:t>1、在施工期间不拖欠农民工工资的承诺</w:t>
            </w:r>
          </w:p>
        </w:tc>
        <w:tc>
          <w:tcPr>
            <w:tcW w:w="1542" w:type="dxa"/>
            <w:noWrap/>
            <w:vAlign w:val="center"/>
          </w:tcPr>
          <w:p>
            <w:pPr>
              <w:widowControl/>
              <w:spacing w:line="320" w:lineRule="exact"/>
              <w:jc w:val="center"/>
              <w:textAlignment w:val="center"/>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21" w:type="dxa"/>
            <w:vMerge w:val="continue"/>
            <w:noWrap/>
            <w:vAlign w:val="center"/>
          </w:tcPr>
          <w:p>
            <w:pPr>
              <w:spacing w:line="400" w:lineRule="exact"/>
              <w:rPr>
                <w:color w:val="auto"/>
                <w:sz w:val="24"/>
                <w:szCs w:val="24"/>
              </w:rPr>
            </w:pPr>
          </w:p>
        </w:tc>
        <w:tc>
          <w:tcPr>
            <w:tcW w:w="1375" w:type="dxa"/>
            <w:vMerge w:val="continue"/>
            <w:noWrap/>
            <w:vAlign w:val="center"/>
          </w:tcPr>
          <w:p>
            <w:pPr>
              <w:spacing w:line="400" w:lineRule="exact"/>
              <w:rPr>
                <w:color w:val="auto"/>
                <w:sz w:val="24"/>
                <w:szCs w:val="24"/>
              </w:rPr>
            </w:pPr>
          </w:p>
        </w:tc>
        <w:tc>
          <w:tcPr>
            <w:tcW w:w="2108" w:type="dxa"/>
            <w:vMerge w:val="continue"/>
            <w:noWrap/>
            <w:vAlign w:val="center"/>
          </w:tcPr>
          <w:p>
            <w:pPr>
              <w:spacing w:line="400" w:lineRule="exact"/>
              <w:rPr>
                <w:color w:val="auto"/>
                <w:sz w:val="24"/>
                <w:szCs w:val="24"/>
              </w:rPr>
            </w:pPr>
          </w:p>
        </w:tc>
        <w:tc>
          <w:tcPr>
            <w:tcW w:w="3952" w:type="dxa"/>
            <w:noWrap/>
            <w:vAlign w:val="center"/>
          </w:tcPr>
          <w:p>
            <w:pPr>
              <w:spacing w:line="400" w:lineRule="exact"/>
              <w:rPr>
                <w:rFonts w:ascii="宋体" w:hAnsi="宋体" w:cs="宋体"/>
                <w:color w:val="auto"/>
                <w:sz w:val="24"/>
                <w:szCs w:val="24"/>
              </w:rPr>
            </w:pPr>
            <w:r>
              <w:rPr>
                <w:rFonts w:hint="eastAsia" w:ascii="宋体" w:hAnsi="宋体" w:cs="宋体"/>
                <w:color w:val="auto"/>
                <w:sz w:val="24"/>
                <w:szCs w:val="24"/>
              </w:rPr>
              <w:t>2、有详细的安全文明施工措施，保证不发生各种安全事故，并承担由此发生的费用和经济处罚的承诺</w:t>
            </w:r>
          </w:p>
        </w:tc>
        <w:tc>
          <w:tcPr>
            <w:tcW w:w="1542" w:type="dxa"/>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21" w:type="dxa"/>
            <w:vMerge w:val="continue"/>
            <w:noWrap/>
            <w:vAlign w:val="center"/>
          </w:tcPr>
          <w:p>
            <w:pPr>
              <w:spacing w:line="400" w:lineRule="exact"/>
              <w:rPr>
                <w:rFonts w:ascii="宋体" w:hAnsi="宋体" w:cs="宋体"/>
                <w:color w:val="auto"/>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2108" w:type="dxa"/>
            <w:vMerge w:val="continue"/>
            <w:noWrap/>
            <w:vAlign w:val="center"/>
          </w:tcPr>
          <w:p>
            <w:pPr>
              <w:spacing w:line="400" w:lineRule="exact"/>
              <w:rPr>
                <w:rFonts w:ascii="宋体" w:hAnsi="宋体" w:cs="宋体"/>
                <w:color w:val="auto"/>
                <w:sz w:val="24"/>
                <w:szCs w:val="24"/>
              </w:rPr>
            </w:pPr>
          </w:p>
        </w:tc>
        <w:tc>
          <w:tcPr>
            <w:tcW w:w="3952" w:type="dxa"/>
            <w:noWrap/>
            <w:vAlign w:val="center"/>
          </w:tcPr>
          <w:p>
            <w:pPr>
              <w:widowControl/>
              <w:spacing w:line="320" w:lineRule="exact"/>
              <w:rPr>
                <w:rFonts w:ascii="Times New Roman" w:hAnsi="Times New Roman"/>
                <w:color w:val="auto"/>
                <w:sz w:val="24"/>
                <w:szCs w:val="24"/>
              </w:rPr>
            </w:pPr>
            <w:r>
              <w:rPr>
                <w:rFonts w:hint="eastAsia" w:ascii="宋体" w:hAnsi="宋体" w:cs="宋体"/>
                <w:color w:val="auto"/>
                <w:sz w:val="24"/>
                <w:szCs w:val="24"/>
              </w:rPr>
              <w:t>3、协调好周边关系和施工环境，替招标人排忧解难，且措施合理可行的承诺</w:t>
            </w:r>
          </w:p>
        </w:tc>
        <w:tc>
          <w:tcPr>
            <w:tcW w:w="1542" w:type="dxa"/>
            <w:noWrap/>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21" w:type="dxa"/>
            <w:vMerge w:val="continue"/>
            <w:noWrap/>
            <w:vAlign w:val="center"/>
          </w:tcPr>
          <w:p>
            <w:pPr>
              <w:spacing w:line="400" w:lineRule="exact"/>
              <w:rPr>
                <w:rFonts w:ascii="宋体" w:hAnsi="宋体" w:cs="宋体"/>
                <w:color w:val="auto"/>
                <w:sz w:val="24"/>
                <w:szCs w:val="24"/>
              </w:rPr>
            </w:pPr>
          </w:p>
        </w:tc>
        <w:tc>
          <w:tcPr>
            <w:tcW w:w="1375" w:type="dxa"/>
            <w:vMerge w:val="continue"/>
            <w:noWrap/>
            <w:vAlign w:val="center"/>
          </w:tcPr>
          <w:p>
            <w:pPr>
              <w:spacing w:line="400" w:lineRule="exact"/>
              <w:rPr>
                <w:rFonts w:ascii="宋体" w:hAnsi="宋体" w:cs="宋体"/>
                <w:color w:val="auto"/>
                <w:sz w:val="24"/>
                <w:szCs w:val="24"/>
              </w:rPr>
            </w:pPr>
          </w:p>
        </w:tc>
        <w:tc>
          <w:tcPr>
            <w:tcW w:w="2108" w:type="dxa"/>
            <w:vMerge w:val="continue"/>
            <w:noWrap/>
            <w:vAlign w:val="center"/>
          </w:tcPr>
          <w:p>
            <w:pPr>
              <w:spacing w:line="400" w:lineRule="exact"/>
              <w:rPr>
                <w:rFonts w:ascii="宋体" w:hAnsi="宋体" w:cs="宋体"/>
                <w:color w:val="auto"/>
                <w:sz w:val="24"/>
                <w:szCs w:val="24"/>
              </w:rPr>
            </w:pPr>
          </w:p>
        </w:tc>
        <w:tc>
          <w:tcPr>
            <w:tcW w:w="3952" w:type="dxa"/>
            <w:noWrap/>
            <w:vAlign w:val="center"/>
          </w:tcPr>
          <w:p>
            <w:pPr>
              <w:widowControl/>
              <w:spacing w:line="320" w:lineRule="exact"/>
              <w:rPr>
                <w:rFonts w:ascii="Times New Roman" w:hAnsi="Times New Roman"/>
                <w:color w:val="auto"/>
                <w:sz w:val="24"/>
                <w:szCs w:val="24"/>
              </w:rPr>
            </w:pPr>
            <w:r>
              <w:rPr>
                <w:rFonts w:hint="eastAsia" w:ascii="宋体" w:hAnsi="宋体" w:cs="宋体"/>
                <w:color w:val="auto"/>
                <w:sz w:val="24"/>
                <w:szCs w:val="24"/>
              </w:rPr>
              <w:t>4、工程质量保修期内、外的服务承诺</w:t>
            </w:r>
          </w:p>
        </w:tc>
        <w:tc>
          <w:tcPr>
            <w:tcW w:w="1542" w:type="dxa"/>
            <w:noWrap/>
            <w:vAlign w:val="center"/>
          </w:tcPr>
          <w:p>
            <w:pPr>
              <w:widowControl/>
              <w:spacing w:line="320" w:lineRule="exact"/>
              <w:jc w:val="center"/>
              <w:textAlignment w:val="center"/>
              <w:rPr>
                <w:rFonts w:ascii="Times New Roman" w:hAnsi="Times New Roman"/>
                <w:color w:val="auto"/>
                <w:sz w:val="24"/>
                <w:szCs w:val="24"/>
              </w:rPr>
            </w:pPr>
            <w:r>
              <w:rPr>
                <w:rFonts w:hint="eastAsia" w:ascii="宋体" w:hAnsi="宋体" w:cs="宋体"/>
                <w:color w:val="auto"/>
                <w:sz w:val="24"/>
                <w:szCs w:val="24"/>
              </w:rPr>
              <w:t>0-3分</w:t>
            </w:r>
          </w:p>
        </w:tc>
      </w:tr>
    </w:tbl>
    <w:p>
      <w:pPr>
        <w:ind w:firstLine="2409" w:firstLineChars="1000"/>
        <w:rPr>
          <w:rFonts w:hint="eastAsia" w:ascii="宋体" w:hAnsi="宋体" w:cs="宋体"/>
          <w:b/>
          <w:color w:val="auto"/>
          <w:sz w:val="24"/>
          <w:szCs w:val="24"/>
        </w:rPr>
      </w:pPr>
    </w:p>
    <w:p>
      <w:pPr>
        <w:ind w:firstLine="2409" w:firstLineChars="1000"/>
        <w:rPr>
          <w:rFonts w:hint="eastAsia" w:ascii="宋体" w:hAnsi="宋体" w:cs="宋体"/>
          <w:b/>
          <w:color w:val="auto"/>
          <w:sz w:val="24"/>
          <w:szCs w:val="24"/>
        </w:rPr>
      </w:pPr>
    </w:p>
    <w:p>
      <w:pPr>
        <w:ind w:firstLine="2409" w:firstLineChars="1000"/>
        <w:rPr>
          <w:rFonts w:hint="eastAsia" w:ascii="宋体" w:hAnsi="宋体" w:cs="宋体"/>
          <w:b/>
          <w:color w:val="auto"/>
          <w:sz w:val="24"/>
          <w:szCs w:val="24"/>
        </w:rPr>
      </w:pPr>
    </w:p>
    <w:p>
      <w:pPr>
        <w:ind w:firstLine="2409" w:firstLineChars="1000"/>
        <w:rPr>
          <w:rFonts w:hint="eastAsia" w:ascii="宋体" w:hAnsi="宋体" w:cs="宋体"/>
          <w:b/>
          <w:color w:val="auto"/>
          <w:sz w:val="24"/>
          <w:szCs w:val="24"/>
        </w:rPr>
      </w:pPr>
    </w:p>
    <w:p>
      <w:pPr>
        <w:ind w:firstLine="2409" w:firstLineChars="1000"/>
        <w:rPr>
          <w:rFonts w:hint="eastAsia" w:ascii="宋体" w:hAnsi="宋体" w:cs="宋体"/>
          <w:b/>
          <w:color w:val="auto"/>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DZlZTQ2OTgyMTQ3MmE0MmJiNzY0NTg4OTRkZjcifQ=="/>
  </w:docVars>
  <w:rsids>
    <w:rsidRoot w:val="3B083A02"/>
    <w:rsid w:val="3B08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2"/>
    <w:basedOn w:val="1"/>
    <w:next w:val="2"/>
    <w:qFormat/>
    <w:uiPriority w:val="0"/>
    <w:pPr>
      <w:adjustRightInd w:val="0"/>
      <w:snapToGrid w:val="0"/>
      <w:spacing w:after="120" w:line="480" w:lineRule="auto"/>
    </w:pPr>
    <w:rPr>
      <w:sz w:val="24"/>
    </w:rPr>
  </w:style>
  <w:style w:type="paragraph" w:customStyle="1" w:styleId="6">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2024-06-12T08:29:00Z</dcterms:created>
  <dc:creator>随波逐流</dc:creator>
  <cp:lastModifiedBy>随波逐流</cp:lastModifiedBy>
  <dcterms:modified xsi:type="dcterms:W3CDTF">2024-06-12T08:29:24Z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7695122C0FE34E1B9CCEF1D1599B557D_11</vt:lpwstr>
  </property>
</Properties>
</file>