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after="100" w:line="415" w:lineRule="auto"/>
        <w:jc w:val="center"/>
        <w:rPr>
          <w:rFonts w:hint="eastAsia" w:ascii="仿宋" w:hAnsi="仿宋" w:eastAsia="仿宋" w:cs="仿宋"/>
          <w:color w:val="auto"/>
          <w:highlight w:val="none"/>
        </w:rPr>
      </w:pPr>
      <w:bookmarkStart w:id="0" w:name="_Toc31716"/>
      <w:bookmarkStart w:id="1" w:name="_Toc108704791"/>
      <w:bookmarkStart w:id="2" w:name="_Toc132011173"/>
      <w:bookmarkStart w:id="3" w:name="_Toc302769233"/>
      <w:bookmarkStart w:id="4" w:name="_Toc1795"/>
      <w:bookmarkStart w:id="5" w:name="_Toc186513209"/>
      <w:r>
        <w:rPr>
          <w:rFonts w:hint="eastAsia" w:ascii="仿宋" w:hAnsi="仿宋" w:eastAsia="仿宋" w:cs="仿宋"/>
          <w:color w:val="auto"/>
          <w:highlight w:val="none"/>
        </w:rPr>
        <w:t>1.评审方法</w:t>
      </w:r>
      <w:bookmarkEnd w:id="0"/>
      <w:bookmarkEnd w:id="1"/>
      <w:bookmarkEnd w:id="2"/>
      <w:bookmarkEnd w:id="3"/>
      <w:bookmarkEnd w:id="4"/>
      <w:bookmarkEnd w:id="5"/>
    </w:p>
    <w:p>
      <w:pPr>
        <w:spacing w:line="360" w:lineRule="auto"/>
        <w:ind w:firstLine="420" w:firstLineChars="200"/>
        <w:rPr>
          <w:rFonts w:hint="eastAsia" w:ascii="仿宋" w:hAnsi="仿宋" w:eastAsia="仿宋" w:cs="仿宋"/>
          <w:color w:val="auto"/>
          <w:sz w:val="21"/>
          <w:szCs w:val="21"/>
          <w:highlight w:val="none"/>
        </w:rPr>
      </w:pPr>
      <w:bookmarkStart w:id="6" w:name="_Toc302769234"/>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项目</w:t>
      </w:r>
      <w:bookmarkStart w:id="7" w:name="_Toc302769235"/>
      <w:bookmarkEnd w:id="6"/>
      <w:r>
        <w:rPr>
          <w:rFonts w:hint="eastAsia" w:ascii="仿宋" w:hAnsi="仿宋" w:eastAsia="仿宋" w:cs="仿宋"/>
          <w:color w:val="auto"/>
          <w:sz w:val="21"/>
          <w:szCs w:val="21"/>
          <w:highlight w:val="none"/>
        </w:rPr>
        <w:t>采用综合评分法进行评审，</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小组对满足</w:t>
      </w:r>
      <w:r>
        <w:rPr>
          <w:rFonts w:hint="eastAsia" w:ascii="仿宋" w:hAnsi="仿宋" w:eastAsia="仿宋" w:cs="仿宋"/>
          <w:color w:val="auto"/>
          <w:sz w:val="21"/>
          <w:szCs w:val="21"/>
          <w:highlight w:val="none"/>
          <w:lang w:eastAsia="zh-CN"/>
        </w:rPr>
        <w:t>谈判采购文件</w:t>
      </w:r>
      <w:r>
        <w:rPr>
          <w:rFonts w:hint="eastAsia" w:ascii="仿宋" w:hAnsi="仿宋" w:eastAsia="仿宋" w:cs="仿宋"/>
          <w:color w:val="auto"/>
          <w:sz w:val="21"/>
          <w:szCs w:val="21"/>
          <w:highlight w:val="none"/>
        </w:rPr>
        <w:t>实质性要求的《响应文件》、《</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承诺》及《</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报价表》按照本章规定的评分标准进行打分，根据供应商最终得分由高到低的顺序推荐成交候选供应商。</w:t>
      </w:r>
    </w:p>
    <w:bookmarkEnd w:id="7"/>
    <w:p>
      <w:pPr>
        <w:pStyle w:val="3"/>
        <w:spacing w:line="240" w:lineRule="auto"/>
        <w:jc w:val="center"/>
        <w:rPr>
          <w:rFonts w:hint="eastAsia" w:ascii="仿宋" w:hAnsi="仿宋" w:eastAsia="仿宋" w:cs="仿宋"/>
          <w:color w:val="auto"/>
          <w:highlight w:val="none"/>
        </w:rPr>
      </w:pPr>
      <w:bookmarkStart w:id="8" w:name="_Toc302769236"/>
      <w:bookmarkStart w:id="9" w:name="_Toc13084"/>
      <w:bookmarkStart w:id="10" w:name="_Toc132011174"/>
      <w:bookmarkStart w:id="11" w:name="_Toc186513210"/>
      <w:bookmarkStart w:id="12" w:name="_Toc108704792"/>
      <w:bookmarkStart w:id="13" w:name="_Toc13839"/>
      <w:r>
        <w:rPr>
          <w:rFonts w:hint="eastAsia" w:ascii="仿宋" w:hAnsi="仿宋" w:eastAsia="仿宋" w:cs="仿宋"/>
          <w:color w:val="auto"/>
          <w:highlight w:val="none"/>
        </w:rPr>
        <w:t>2.评审标准</w:t>
      </w:r>
      <w:bookmarkEnd w:id="8"/>
      <w:bookmarkEnd w:id="9"/>
      <w:bookmarkEnd w:id="10"/>
      <w:bookmarkEnd w:id="11"/>
      <w:bookmarkEnd w:id="12"/>
      <w:bookmarkEnd w:id="13"/>
      <w:bookmarkStart w:id="14" w:name="_Toc186513211"/>
    </w:p>
    <w:p>
      <w:pPr>
        <w:pStyle w:val="10"/>
        <w:spacing w:line="600" w:lineRule="auto"/>
        <w:rPr>
          <w:rFonts w:hint="eastAsia" w:ascii="仿宋" w:hAnsi="仿宋" w:eastAsia="仿宋" w:cs="仿宋"/>
          <w:color w:val="auto"/>
          <w:highlight w:val="none"/>
        </w:rPr>
      </w:pPr>
      <w:bookmarkStart w:id="15" w:name="_Toc302769237"/>
      <w:r>
        <w:rPr>
          <w:rFonts w:hint="eastAsia" w:ascii="仿宋" w:hAnsi="仿宋" w:eastAsia="仿宋" w:cs="仿宋"/>
          <w:color w:val="auto"/>
          <w:highlight w:val="none"/>
        </w:rPr>
        <w:t>2.1初步评审标准</w:t>
      </w:r>
      <w:bookmarkEnd w:id="14"/>
      <w:bookmarkEnd w:id="15"/>
    </w:p>
    <w:tbl>
      <w:tblPr>
        <w:tblStyle w:val="9"/>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10"/>
        <w:gridCol w:w="5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951" w:type="dxa"/>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bookmarkStart w:id="16" w:name="_Toc302769238"/>
            <w:r>
              <w:rPr>
                <w:rFonts w:hint="eastAsia" w:ascii="仿宋" w:hAnsi="仿宋" w:eastAsia="仿宋" w:cs="仿宋"/>
                <w:color w:val="auto"/>
                <w:sz w:val="21"/>
                <w:szCs w:val="21"/>
                <w:highlight w:val="none"/>
              </w:rPr>
              <w:t>条款</w:t>
            </w:r>
          </w:p>
        </w:tc>
        <w:tc>
          <w:tcPr>
            <w:tcW w:w="2410" w:type="dxa"/>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5491" w:type="dxa"/>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51" w:type="dxa"/>
            <w:vMerge w:val="restart"/>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w:t>
            </w:r>
          </w:p>
        </w:tc>
        <w:tc>
          <w:tcPr>
            <w:tcW w:w="2410" w:type="dxa"/>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符合《中华人民共和国政府采购法》第二十二条规定</w:t>
            </w:r>
          </w:p>
        </w:tc>
        <w:tc>
          <w:tcPr>
            <w:tcW w:w="5491" w:type="dxa"/>
            <w:vAlign w:val="center"/>
          </w:tcPr>
          <w:p>
            <w:pPr>
              <w:spacing w:line="320" w:lineRule="exact"/>
              <w:rPr>
                <w:rFonts w:hint="eastAsia" w:ascii="仿宋" w:hAnsi="仿宋" w:eastAsia="仿宋" w:cs="仿宋"/>
                <w:color w:val="auto"/>
                <w:szCs w:val="21"/>
                <w:highlight w:val="none"/>
              </w:rPr>
            </w:pPr>
            <w:bookmarkStart w:id="17" w:name="_Hlk108016834"/>
            <w:r>
              <w:rPr>
                <w:rFonts w:hint="eastAsia" w:ascii="仿宋" w:hAnsi="仿宋" w:eastAsia="仿宋" w:cs="仿宋"/>
                <w:color w:val="auto"/>
                <w:szCs w:val="21"/>
                <w:highlight w:val="none"/>
              </w:rPr>
              <w:t>（1）具有独立承担民事责任的能力，具备法人资格或其他组织，提供有效营业执照或其他有效的法定证明文件，自然人提供有效的身份证明。</w:t>
            </w:r>
          </w:p>
          <w:p>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（2）具有良好的商业信誉和健全的财务会计制度（提供成立至今任意一年的财务报表或审计报告或提供承诺书），新成立不足一年的供应商无须提供。</w:t>
            </w:r>
          </w:p>
          <w:p>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（3）具有履行合同所必需的设备和专业技术能力（提供证明材料或书面声明）。</w:t>
            </w:r>
          </w:p>
          <w:p>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提供承诺书），新成立不足一年的供应商无须提供。依法免税或不需要缴纳社会保障资金的供应商，应提供相应文件证明其依法免税或不需要缴纳社会保障资金。</w:t>
            </w:r>
          </w:p>
          <w:p>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重大违法记录，是指响应人因违法经营受到刑事处罚或者责令停产停业、吊销许可证或者执照、较大数额罚款等行政处罚）（提供书面声明）。</w:t>
            </w:r>
          </w:p>
          <w:p>
            <w:pPr>
              <w:widowControl w:val="0"/>
              <w:spacing w:line="360" w:lineRule="auto"/>
              <w:jc w:val="both"/>
              <w:rPr>
                <w:rFonts w:hint="eastAsia" w:ascii="仿宋" w:hAnsi="仿宋" w:eastAsia="仿宋" w:cs="仿宋"/>
                <w:b/>
                <w:color w:val="auto"/>
                <w:sz w:val="21"/>
                <w:szCs w:val="21"/>
                <w:highlight w:val="none"/>
              </w:rPr>
            </w:pPr>
            <w:r>
              <w:rPr>
                <w:rFonts w:hint="eastAsia" w:ascii="仿宋" w:hAnsi="仿宋" w:eastAsia="仿宋" w:cs="仿宋"/>
                <w:color w:val="auto"/>
                <w:szCs w:val="21"/>
                <w:highlight w:val="none"/>
              </w:rPr>
              <w:t>（6）法律、行政法规规定的其他条件</w:t>
            </w:r>
            <w:bookmarkEnd w:id="17"/>
            <w:r>
              <w:rPr>
                <w:rFonts w:hint="eastAsia" w:ascii="仿宋" w:hAnsi="仿宋" w:eastAsia="仿宋" w:cs="仿宋"/>
                <w:color w:val="auto"/>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提供书面声明）</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51" w:type="dxa"/>
            <w:vMerge w:val="continue"/>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p>
        </w:tc>
        <w:tc>
          <w:tcPr>
            <w:tcW w:w="2410" w:type="dxa"/>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需落实的政府采购政策</w:t>
            </w:r>
          </w:p>
        </w:tc>
        <w:tc>
          <w:tcPr>
            <w:tcW w:w="5491" w:type="dxa"/>
            <w:vAlign w:val="center"/>
          </w:tcPr>
          <w:p>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951" w:type="dxa"/>
            <w:vMerge w:val="continue"/>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p>
        </w:tc>
        <w:tc>
          <w:tcPr>
            <w:tcW w:w="2410" w:type="dxa"/>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本项目的特定资格要求</w:t>
            </w:r>
          </w:p>
        </w:tc>
        <w:tc>
          <w:tcPr>
            <w:tcW w:w="5491" w:type="dxa"/>
            <w:vAlign w:val="center"/>
          </w:tcPr>
          <w:p>
            <w:pPr>
              <w:numPr>
                <w:ilvl w:val="0"/>
                <w:numId w:val="0"/>
              </w:num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无</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1" w:type="dxa"/>
            <w:vMerge w:val="restart"/>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响应性评审</w:t>
            </w:r>
          </w:p>
        </w:tc>
        <w:tc>
          <w:tcPr>
            <w:tcW w:w="2410" w:type="dxa"/>
            <w:vAlign w:val="center"/>
          </w:tcPr>
          <w:p>
            <w:pPr>
              <w:pStyle w:val="7"/>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谈判</w:t>
            </w:r>
            <w:r>
              <w:rPr>
                <w:rFonts w:hint="eastAsia" w:ascii="仿宋" w:hAnsi="仿宋" w:eastAsia="仿宋" w:cs="仿宋"/>
                <w:color w:val="auto"/>
                <w:kern w:val="2"/>
                <w:sz w:val="21"/>
                <w:szCs w:val="21"/>
                <w:highlight w:val="none"/>
              </w:rPr>
              <w:t>价格</w:t>
            </w:r>
          </w:p>
        </w:tc>
        <w:tc>
          <w:tcPr>
            <w:tcW w:w="5491" w:type="dxa"/>
            <w:vAlign w:val="center"/>
          </w:tcPr>
          <w:p>
            <w:pPr>
              <w:pStyle w:val="7"/>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w:t>
            </w:r>
            <w:r>
              <w:rPr>
                <w:rFonts w:hint="eastAsia" w:ascii="仿宋" w:hAnsi="仿宋" w:eastAsia="仿宋" w:cs="仿宋"/>
                <w:color w:val="auto"/>
                <w:kern w:val="2"/>
                <w:sz w:val="21"/>
                <w:szCs w:val="21"/>
                <w:highlight w:val="none"/>
                <w:lang w:eastAsia="zh-CN"/>
              </w:rPr>
              <w:t>谈判</w:t>
            </w:r>
            <w:r>
              <w:rPr>
                <w:rFonts w:hint="eastAsia" w:ascii="仿宋" w:hAnsi="仿宋" w:eastAsia="仿宋" w:cs="仿宋"/>
                <w:color w:val="auto"/>
                <w:kern w:val="2"/>
                <w:sz w:val="21"/>
                <w:szCs w:val="21"/>
                <w:highlight w:val="none"/>
              </w:rPr>
              <w:t>报价方式满足</w:t>
            </w:r>
            <w:r>
              <w:rPr>
                <w:rFonts w:hint="eastAsia" w:ascii="仿宋" w:hAnsi="仿宋" w:eastAsia="仿宋" w:cs="仿宋"/>
                <w:color w:val="auto"/>
                <w:kern w:val="2"/>
                <w:sz w:val="21"/>
                <w:szCs w:val="21"/>
                <w:highlight w:val="none"/>
                <w:lang w:eastAsia="zh-CN"/>
              </w:rPr>
              <w:t>谈判采购文件</w:t>
            </w:r>
            <w:r>
              <w:rPr>
                <w:rFonts w:hint="eastAsia" w:ascii="仿宋" w:hAnsi="仿宋" w:eastAsia="仿宋" w:cs="仿宋"/>
                <w:color w:val="auto"/>
                <w:kern w:val="2"/>
                <w:sz w:val="21"/>
                <w:szCs w:val="21"/>
                <w:highlight w:val="none"/>
              </w:rPr>
              <w:t>要求，且不高于规定的上限价。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1" w:type="dxa"/>
            <w:vMerge w:val="continue"/>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p>
        </w:tc>
        <w:tc>
          <w:tcPr>
            <w:tcW w:w="2410" w:type="dxa"/>
            <w:vAlign w:val="center"/>
          </w:tcPr>
          <w:p>
            <w:pPr>
              <w:pStyle w:val="7"/>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响应文件有效期</w:t>
            </w:r>
          </w:p>
        </w:tc>
        <w:tc>
          <w:tcPr>
            <w:tcW w:w="5491" w:type="dxa"/>
            <w:vAlign w:val="center"/>
          </w:tcPr>
          <w:p>
            <w:pPr>
              <w:pStyle w:val="7"/>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有效期满足</w:t>
            </w:r>
            <w:r>
              <w:rPr>
                <w:rFonts w:hint="eastAsia" w:ascii="仿宋" w:hAnsi="仿宋" w:eastAsia="仿宋" w:cs="仿宋"/>
                <w:color w:val="auto"/>
                <w:kern w:val="2"/>
                <w:sz w:val="21"/>
                <w:szCs w:val="21"/>
                <w:highlight w:val="none"/>
                <w:lang w:eastAsia="zh-CN"/>
              </w:rPr>
              <w:t>谈判采购文件</w:t>
            </w:r>
            <w:r>
              <w:rPr>
                <w:rFonts w:hint="eastAsia" w:ascii="仿宋" w:hAnsi="仿宋" w:eastAsia="仿宋" w:cs="仿宋"/>
                <w:color w:val="auto"/>
                <w:kern w:val="2"/>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1" w:type="dxa"/>
            <w:vMerge w:val="continue"/>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p>
        </w:tc>
        <w:tc>
          <w:tcPr>
            <w:tcW w:w="2410" w:type="dxa"/>
            <w:vAlign w:val="center"/>
          </w:tcPr>
          <w:p>
            <w:pPr>
              <w:pStyle w:val="7"/>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bCs/>
                <w:color w:val="auto"/>
                <w:kern w:val="2"/>
                <w:sz w:val="21"/>
                <w:szCs w:val="21"/>
                <w:highlight w:val="none"/>
              </w:rPr>
              <w:t>质量要求</w:t>
            </w:r>
          </w:p>
        </w:tc>
        <w:tc>
          <w:tcPr>
            <w:tcW w:w="5491" w:type="dxa"/>
            <w:vAlign w:val="center"/>
          </w:tcPr>
          <w:p>
            <w:pPr>
              <w:pStyle w:val="7"/>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eastAsia="zh-CN"/>
              </w:rPr>
              <w:t>谈判采购文件</w:t>
            </w:r>
            <w:r>
              <w:rPr>
                <w:rFonts w:hint="eastAsia" w:ascii="仿宋" w:hAnsi="仿宋" w:eastAsia="仿宋" w:cs="仿宋"/>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1" w:type="dxa"/>
            <w:vMerge w:val="continue"/>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p>
        </w:tc>
        <w:tc>
          <w:tcPr>
            <w:tcW w:w="2410" w:type="dxa"/>
            <w:vAlign w:val="center"/>
          </w:tcPr>
          <w:p>
            <w:pPr>
              <w:pStyle w:val="7"/>
              <w:spacing w:line="360" w:lineRule="auto"/>
              <w:jc w:val="both"/>
              <w:rPr>
                <w:rFonts w:hint="eastAsia" w:ascii="仿宋" w:hAnsi="仿宋" w:eastAsia="仿宋" w:cs="仿宋"/>
                <w:color w:val="auto"/>
                <w:szCs w:val="21"/>
                <w:highlight w:val="none"/>
              </w:rPr>
            </w:pPr>
            <w:r>
              <w:rPr>
                <w:rFonts w:hint="eastAsia" w:ascii="仿宋" w:hAnsi="仿宋" w:eastAsia="仿宋" w:cs="仿宋"/>
                <w:bCs/>
                <w:color w:val="auto"/>
                <w:kern w:val="2"/>
                <w:sz w:val="21"/>
                <w:szCs w:val="21"/>
                <w:highlight w:val="none"/>
              </w:rPr>
              <w:t>交货期</w:t>
            </w:r>
          </w:p>
        </w:tc>
        <w:tc>
          <w:tcPr>
            <w:tcW w:w="5491" w:type="dxa"/>
            <w:vAlign w:val="center"/>
          </w:tcPr>
          <w:p>
            <w:pPr>
              <w:pStyle w:val="7"/>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eastAsia="zh-CN"/>
              </w:rPr>
              <w:t>谈判采购文件</w:t>
            </w:r>
            <w:r>
              <w:rPr>
                <w:rFonts w:hint="eastAsia" w:ascii="仿宋" w:hAnsi="仿宋" w:eastAsia="仿宋" w:cs="仿宋"/>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1" w:type="dxa"/>
            <w:vMerge w:val="continue"/>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p>
        </w:tc>
        <w:tc>
          <w:tcPr>
            <w:tcW w:w="2410" w:type="dxa"/>
            <w:vAlign w:val="center"/>
          </w:tcPr>
          <w:p>
            <w:pPr>
              <w:pStyle w:val="7"/>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原件要求</w:t>
            </w:r>
          </w:p>
        </w:tc>
        <w:tc>
          <w:tcPr>
            <w:tcW w:w="5491" w:type="dxa"/>
            <w:vAlign w:val="center"/>
          </w:tcPr>
          <w:p>
            <w:pPr>
              <w:pStyle w:val="7"/>
              <w:spacing w:line="360" w:lineRule="auto"/>
              <w:jc w:val="both"/>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按</w:t>
            </w:r>
            <w:r>
              <w:rPr>
                <w:rFonts w:hint="eastAsia" w:ascii="仿宋" w:hAnsi="仿宋" w:eastAsia="仿宋" w:cs="仿宋"/>
                <w:color w:val="auto"/>
                <w:sz w:val="21"/>
                <w:szCs w:val="21"/>
                <w:highlight w:val="none"/>
                <w:lang w:eastAsia="zh-CN"/>
              </w:rPr>
              <w:t>谈判采购文件</w:t>
            </w:r>
            <w:r>
              <w:rPr>
                <w:rFonts w:hint="eastAsia" w:ascii="仿宋" w:hAnsi="仿宋" w:eastAsia="仿宋" w:cs="仿宋"/>
                <w:color w:val="auto"/>
                <w:sz w:val="21"/>
                <w:szCs w:val="21"/>
                <w:highlight w:val="none"/>
              </w:rPr>
              <w:t>“提示”部分提供原件。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1" w:type="dxa"/>
            <w:vMerge w:val="continue"/>
            <w:vAlign w:val="center"/>
          </w:tcPr>
          <w:p>
            <w:pPr>
              <w:autoSpaceDE w:val="0"/>
              <w:autoSpaceDN w:val="0"/>
              <w:adjustRightInd w:val="0"/>
              <w:spacing w:line="360" w:lineRule="auto"/>
              <w:jc w:val="center"/>
              <w:rPr>
                <w:rFonts w:hint="eastAsia" w:ascii="仿宋" w:hAnsi="仿宋" w:eastAsia="仿宋" w:cs="仿宋"/>
                <w:color w:val="auto"/>
                <w:sz w:val="21"/>
                <w:szCs w:val="21"/>
                <w:highlight w:val="none"/>
              </w:rPr>
            </w:pPr>
          </w:p>
        </w:tc>
        <w:tc>
          <w:tcPr>
            <w:tcW w:w="2410" w:type="dxa"/>
            <w:vAlign w:val="center"/>
          </w:tcPr>
          <w:p>
            <w:pPr>
              <w:pStyle w:val="7"/>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其它实质性要求</w:t>
            </w:r>
          </w:p>
        </w:tc>
        <w:tc>
          <w:tcPr>
            <w:tcW w:w="5491" w:type="dxa"/>
            <w:vAlign w:val="center"/>
          </w:tcPr>
          <w:p>
            <w:pPr>
              <w:widowControl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响应文件的编制及内容满足</w:t>
            </w:r>
            <w:r>
              <w:rPr>
                <w:rFonts w:hint="eastAsia" w:ascii="仿宋" w:hAnsi="仿宋" w:eastAsia="仿宋" w:cs="仿宋"/>
                <w:bCs/>
                <w:color w:val="auto"/>
                <w:sz w:val="21"/>
                <w:szCs w:val="21"/>
                <w:highlight w:val="none"/>
                <w:lang w:eastAsia="zh-CN"/>
              </w:rPr>
              <w:t>谈判采购文件</w:t>
            </w:r>
            <w:r>
              <w:rPr>
                <w:rFonts w:hint="eastAsia" w:ascii="仿宋" w:hAnsi="仿宋" w:eastAsia="仿宋" w:cs="仿宋"/>
                <w:bCs/>
                <w:color w:val="auto"/>
                <w:sz w:val="21"/>
                <w:szCs w:val="21"/>
                <w:highlight w:val="none"/>
              </w:rPr>
              <w:t>的要求</w:t>
            </w:r>
          </w:p>
        </w:tc>
      </w:tr>
    </w:tbl>
    <w:p>
      <w:pPr>
        <w:spacing w:line="360" w:lineRule="auto"/>
        <w:ind w:firstLine="420" w:firstLineChars="200"/>
        <w:rPr>
          <w:rFonts w:hint="eastAsia" w:ascii="仿宋" w:hAnsi="仿宋" w:eastAsia="仿宋" w:cs="仿宋"/>
          <w:color w:val="auto"/>
          <w:sz w:val="21"/>
          <w:szCs w:val="21"/>
          <w:highlight w:val="none"/>
        </w:rPr>
      </w:pP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w:t>
      </w:r>
      <w:bookmarkEnd w:id="16"/>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小组根据本章前附表中规定的评审因素和评审标准，对供应商的响应文件进行初步评审（资格评审、响应性评审），并记录评审结果。有一项不符合评审标准的，响应文件按无效处理，不再进行详细评审及</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报价有算术错误的，</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小组按以下原则对</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报价进行修正，修正的价格经供应商书面确认后具有约束力。供应商不接受修正价格的，响应文件按无效处理。</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报价大小写金额不一致的，以大写金额为准；</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（2）总价金额与按单价汇总金额不一致的，以单价金额计算结果为准；</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（3）单价金额小数点有明显错位的，应以总价为准，并修改单价；</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（4）对不同文字文本响应文件的解释发生异议的，以中文文本为准。</w:t>
      </w:r>
    </w:p>
    <w:p>
      <w:pPr>
        <w:pStyle w:val="10"/>
        <w:spacing w:line="600" w:lineRule="auto"/>
        <w:rPr>
          <w:rFonts w:hint="eastAsia" w:ascii="仿宋" w:hAnsi="仿宋" w:eastAsia="仿宋" w:cs="仿宋"/>
          <w:color w:val="auto"/>
          <w:highlight w:val="none"/>
        </w:rPr>
      </w:pPr>
      <w:bookmarkStart w:id="18" w:name="_Toc302769241"/>
      <w:bookmarkStart w:id="19" w:name="_Toc186513212"/>
      <w:r>
        <w:rPr>
          <w:rFonts w:hint="eastAsia" w:ascii="仿宋" w:hAnsi="仿宋" w:eastAsia="仿宋" w:cs="仿宋"/>
          <w:color w:val="auto"/>
          <w:highlight w:val="none"/>
        </w:rPr>
        <w:t>2.2</w:t>
      </w:r>
      <w:bookmarkEnd w:id="18"/>
      <w:bookmarkEnd w:id="19"/>
      <w:r>
        <w:rPr>
          <w:rFonts w:hint="eastAsia" w:ascii="仿宋" w:hAnsi="仿宋" w:eastAsia="仿宋" w:cs="仿宋"/>
          <w:color w:val="auto"/>
          <w:highlight w:val="none"/>
        </w:rPr>
        <w:t>详细评审标准</w:t>
      </w:r>
    </w:p>
    <w:p>
      <w:pPr>
        <w:spacing w:line="360" w:lineRule="auto"/>
        <w:ind w:firstLine="420" w:firstLineChars="200"/>
        <w:rPr>
          <w:rFonts w:hint="eastAsia" w:ascii="仿宋" w:hAnsi="仿宋" w:eastAsia="仿宋" w:cs="仿宋"/>
          <w:color w:val="auto"/>
          <w:sz w:val="21"/>
          <w:szCs w:val="21"/>
          <w:highlight w:val="none"/>
        </w:rPr>
      </w:pPr>
      <w:bookmarkStart w:id="20" w:name="_Toc186513213"/>
      <w:r>
        <w:rPr>
          <w:rFonts w:hint="eastAsia" w:ascii="仿宋" w:hAnsi="仿宋" w:eastAsia="仿宋" w:cs="仿宋"/>
          <w:color w:val="auto"/>
          <w:sz w:val="21"/>
          <w:szCs w:val="21"/>
          <w:highlight w:val="none"/>
        </w:rPr>
        <w:t>只有通过了初步评审（资格评审、响应性评审）、被判定为合格的供应商可进入详细评审及</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小组就响应文件的具体内容与供应商进行</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，并根据</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结果按照详细评审标准进行打分。</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2.2.1分值构成</w:t>
      </w:r>
    </w:p>
    <w:p>
      <w:pPr>
        <w:spacing w:line="360" w:lineRule="auto"/>
        <w:ind w:firstLine="283" w:firstLineChars="1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小组对供应商的响应文件的技术、</w:t>
      </w:r>
      <w:r>
        <w:rPr>
          <w:rFonts w:hint="eastAsia" w:ascii="仿宋" w:hAnsi="仿宋" w:eastAsia="仿宋" w:cs="仿宋"/>
          <w:color w:val="auto"/>
          <w:sz w:val="21"/>
          <w:szCs w:val="21"/>
          <w:highlight w:val="none"/>
          <w:lang w:val="en-US" w:eastAsia="zh-CN"/>
        </w:rPr>
        <w:t>投标报价</w:t>
      </w:r>
      <w:r>
        <w:rPr>
          <w:rFonts w:hint="eastAsia" w:ascii="仿宋" w:hAnsi="仿宋" w:eastAsia="仿宋" w:cs="仿宋"/>
          <w:color w:val="auto"/>
          <w:sz w:val="21"/>
          <w:szCs w:val="21"/>
          <w:highlight w:val="none"/>
        </w:rPr>
        <w:t>部分分别按照评审方法打分后，再按下列公式计算出供应商的最后得分：</w:t>
      </w:r>
    </w:p>
    <w:p>
      <w:pPr>
        <w:spacing w:line="360"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Z=S+J</w:t>
      </w:r>
    </w:p>
    <w:p>
      <w:pPr>
        <w:spacing w:line="360" w:lineRule="auto"/>
        <w:ind w:firstLine="707" w:firstLineChars="33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Z为供应商最终得分；</w:t>
      </w:r>
    </w:p>
    <w:p>
      <w:pPr>
        <w:spacing w:line="360" w:lineRule="auto"/>
        <w:ind w:firstLine="707" w:firstLineChars="33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S为供应商</w:t>
      </w:r>
      <w:r>
        <w:rPr>
          <w:rFonts w:hint="eastAsia" w:ascii="仿宋" w:hAnsi="仿宋" w:eastAsia="仿宋" w:cs="仿宋"/>
          <w:color w:val="auto"/>
          <w:sz w:val="21"/>
          <w:szCs w:val="21"/>
          <w:highlight w:val="none"/>
          <w:lang w:val="en-US" w:eastAsia="zh-CN"/>
        </w:rPr>
        <w:t>投标报价</w:t>
      </w:r>
      <w:r>
        <w:rPr>
          <w:rFonts w:hint="eastAsia" w:ascii="仿宋" w:hAnsi="仿宋" w:eastAsia="仿宋" w:cs="仿宋"/>
          <w:color w:val="auto"/>
          <w:sz w:val="21"/>
          <w:szCs w:val="21"/>
          <w:highlight w:val="none"/>
        </w:rPr>
        <w:t>得分；</w:t>
      </w:r>
    </w:p>
    <w:p>
      <w:pPr>
        <w:spacing w:line="360" w:lineRule="auto"/>
        <w:ind w:firstLine="707" w:firstLineChars="33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J为供应商技术</w:t>
      </w:r>
      <w:r>
        <w:rPr>
          <w:rFonts w:hint="eastAsia" w:ascii="仿宋" w:hAnsi="仿宋" w:eastAsia="仿宋" w:cs="仿宋"/>
          <w:color w:val="auto"/>
          <w:sz w:val="21"/>
          <w:szCs w:val="21"/>
          <w:highlight w:val="none"/>
          <w:lang w:eastAsia="zh-CN"/>
        </w:rPr>
        <w:t>及商务</w:t>
      </w:r>
      <w:r>
        <w:rPr>
          <w:rFonts w:hint="eastAsia" w:ascii="仿宋" w:hAnsi="仿宋" w:eastAsia="仿宋" w:cs="仿宋"/>
          <w:color w:val="auto"/>
          <w:sz w:val="21"/>
          <w:szCs w:val="21"/>
          <w:highlight w:val="none"/>
        </w:rPr>
        <w:t>部分得分。</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2.2.2评审评分</w:t>
      </w:r>
    </w:p>
    <w:p>
      <w:pPr>
        <w:spacing w:line="360" w:lineRule="auto"/>
        <w:ind w:firstLine="283" w:firstLineChars="1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按照规定的分值设定、评分标准，对技术部分进行评审和评分，按分档进行打分。</w:t>
      </w:r>
    </w:p>
    <w:p>
      <w:pPr>
        <w:pStyle w:val="2"/>
        <w:rPr>
          <w:rFonts w:hint="eastAsia" w:ascii="仿宋" w:hAnsi="仿宋" w:eastAsia="仿宋" w:cs="仿宋"/>
          <w:color w:val="auto"/>
          <w:highlight w:val="none"/>
          <w:lang w:val="en-US" w:eastAsia="zh-CN"/>
        </w:rPr>
      </w:pPr>
    </w:p>
    <w:tbl>
      <w:tblPr>
        <w:tblStyle w:val="9"/>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30"/>
        <w:gridCol w:w="634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681" w:type="dxa"/>
            <w:vMerge w:val="restart"/>
            <w:vAlign w:val="center"/>
          </w:tcPr>
          <w:p>
            <w:pPr>
              <w:adjustRightInd w:val="0"/>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330" w:type="dxa"/>
            <w:vMerge w:val="restart"/>
            <w:vAlign w:val="center"/>
          </w:tcPr>
          <w:p>
            <w:pPr>
              <w:adjustRightInd w:val="0"/>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评审项目</w:t>
            </w:r>
          </w:p>
        </w:tc>
        <w:tc>
          <w:tcPr>
            <w:tcW w:w="6340" w:type="dxa"/>
            <w:vAlign w:val="top"/>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评分标准细则</w:t>
            </w:r>
          </w:p>
        </w:tc>
        <w:tc>
          <w:tcPr>
            <w:tcW w:w="747" w:type="dxa"/>
            <w:vAlign w:val="top"/>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681" w:type="dxa"/>
            <w:vMerge w:val="continue"/>
            <w:vAlign w:val="center"/>
          </w:tcPr>
          <w:p>
            <w:pPr>
              <w:adjustRightInd w:val="0"/>
              <w:snapToGrid w:val="0"/>
              <w:jc w:val="center"/>
              <w:rPr>
                <w:rFonts w:hint="eastAsia" w:ascii="仿宋" w:hAnsi="仿宋" w:eastAsia="仿宋" w:cs="仿宋"/>
                <w:b/>
                <w:bCs/>
                <w:color w:val="auto"/>
                <w:sz w:val="18"/>
                <w:szCs w:val="18"/>
                <w:highlight w:val="none"/>
              </w:rPr>
            </w:pPr>
          </w:p>
        </w:tc>
        <w:tc>
          <w:tcPr>
            <w:tcW w:w="1330" w:type="dxa"/>
            <w:vMerge w:val="continue"/>
            <w:vAlign w:val="center"/>
          </w:tcPr>
          <w:p>
            <w:pPr>
              <w:adjustRightInd w:val="0"/>
              <w:snapToGrid w:val="0"/>
              <w:jc w:val="center"/>
              <w:rPr>
                <w:rFonts w:hint="eastAsia" w:ascii="仿宋" w:hAnsi="仿宋" w:eastAsia="仿宋" w:cs="仿宋"/>
                <w:b/>
                <w:bCs/>
                <w:color w:val="auto"/>
                <w:sz w:val="18"/>
                <w:szCs w:val="18"/>
                <w:highlight w:val="none"/>
              </w:rPr>
            </w:pPr>
          </w:p>
        </w:tc>
        <w:tc>
          <w:tcPr>
            <w:tcW w:w="6340" w:type="dxa"/>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pacing w:val="50"/>
                <w:sz w:val="18"/>
                <w:szCs w:val="18"/>
                <w:highlight w:val="none"/>
              </w:rPr>
              <w:t>投标报价</w:t>
            </w:r>
          </w:p>
        </w:tc>
        <w:tc>
          <w:tcPr>
            <w:tcW w:w="747" w:type="dxa"/>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30</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681" w:type="dxa"/>
            <w:vMerge w:val="continue"/>
            <w:vAlign w:val="center"/>
          </w:tcPr>
          <w:p>
            <w:pPr>
              <w:adjustRightInd w:val="0"/>
              <w:snapToGrid w:val="0"/>
              <w:jc w:val="center"/>
              <w:rPr>
                <w:rFonts w:hint="eastAsia" w:ascii="仿宋" w:hAnsi="仿宋" w:eastAsia="仿宋" w:cs="仿宋"/>
                <w:b/>
                <w:bCs/>
                <w:color w:val="auto"/>
                <w:sz w:val="18"/>
                <w:szCs w:val="18"/>
                <w:highlight w:val="none"/>
              </w:rPr>
            </w:pPr>
          </w:p>
        </w:tc>
        <w:tc>
          <w:tcPr>
            <w:tcW w:w="1330" w:type="dxa"/>
            <w:vMerge w:val="continue"/>
            <w:vAlign w:val="center"/>
          </w:tcPr>
          <w:p>
            <w:pPr>
              <w:adjustRightInd w:val="0"/>
              <w:snapToGrid w:val="0"/>
              <w:jc w:val="center"/>
              <w:rPr>
                <w:rFonts w:hint="eastAsia" w:ascii="仿宋" w:hAnsi="仿宋" w:eastAsia="仿宋" w:cs="仿宋"/>
                <w:b/>
                <w:bCs/>
                <w:color w:val="auto"/>
                <w:sz w:val="18"/>
                <w:szCs w:val="18"/>
                <w:highlight w:val="none"/>
              </w:rPr>
            </w:pPr>
          </w:p>
        </w:tc>
        <w:tc>
          <w:tcPr>
            <w:tcW w:w="6340" w:type="dxa"/>
            <w:vAlign w:val="center"/>
          </w:tcPr>
          <w:p>
            <w:pPr>
              <w:jc w:val="center"/>
              <w:rPr>
                <w:rFonts w:hint="eastAsia" w:ascii="仿宋" w:hAnsi="仿宋" w:eastAsia="仿宋" w:cs="仿宋"/>
                <w:color w:val="auto"/>
                <w:spacing w:val="50"/>
                <w:sz w:val="18"/>
                <w:szCs w:val="18"/>
                <w:highlight w:val="none"/>
              </w:rPr>
            </w:pPr>
            <w:r>
              <w:rPr>
                <w:rFonts w:hint="eastAsia" w:ascii="仿宋" w:hAnsi="仿宋" w:eastAsia="仿宋" w:cs="仿宋"/>
                <w:color w:val="auto"/>
                <w:spacing w:val="50"/>
                <w:sz w:val="18"/>
                <w:szCs w:val="18"/>
                <w:highlight w:val="none"/>
              </w:rPr>
              <w:t>技术</w:t>
            </w:r>
            <w:r>
              <w:rPr>
                <w:rFonts w:hint="eastAsia" w:ascii="仿宋" w:hAnsi="仿宋" w:eastAsia="仿宋" w:cs="仿宋"/>
                <w:color w:val="auto"/>
                <w:spacing w:val="50"/>
                <w:sz w:val="18"/>
                <w:szCs w:val="18"/>
                <w:highlight w:val="none"/>
                <w:lang w:val="en-US" w:eastAsia="zh-CN"/>
              </w:rPr>
              <w:t>及商务</w:t>
            </w:r>
            <w:r>
              <w:rPr>
                <w:rFonts w:hint="eastAsia" w:ascii="仿宋" w:hAnsi="仿宋" w:eastAsia="仿宋" w:cs="仿宋"/>
                <w:color w:val="auto"/>
                <w:spacing w:val="50"/>
                <w:sz w:val="18"/>
                <w:szCs w:val="18"/>
                <w:highlight w:val="none"/>
              </w:rPr>
              <w:t>部分</w:t>
            </w:r>
          </w:p>
        </w:tc>
        <w:tc>
          <w:tcPr>
            <w:tcW w:w="747" w:type="dxa"/>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70</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9098" w:type="dxa"/>
            <w:gridSpan w:val="4"/>
            <w:vAlign w:val="center"/>
          </w:tcPr>
          <w:p>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（一）投标报价，满分</w:t>
            </w:r>
            <w:r>
              <w:rPr>
                <w:rFonts w:hint="eastAsia" w:ascii="仿宋" w:hAnsi="仿宋" w:eastAsia="仿宋" w:cs="仿宋"/>
                <w:b/>
                <w:bCs/>
                <w:color w:val="auto"/>
                <w:sz w:val="18"/>
                <w:szCs w:val="18"/>
                <w:highlight w:val="none"/>
                <w:lang w:val="en-US" w:eastAsia="zh-CN"/>
              </w:rPr>
              <w:t>30</w:t>
            </w:r>
            <w:r>
              <w:rPr>
                <w:rFonts w:hint="eastAsia" w:ascii="仿宋" w:hAnsi="仿宋" w:eastAsia="仿宋" w:cs="仿宋"/>
                <w:b/>
                <w:bCs/>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681" w:type="dxa"/>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330" w:type="dxa"/>
            <w:vAlign w:val="center"/>
          </w:tcPr>
          <w:p>
            <w:pPr>
              <w:adjustRightInd w:val="0"/>
              <w:snapToGrid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报价</w:t>
            </w:r>
          </w:p>
        </w:tc>
        <w:tc>
          <w:tcPr>
            <w:tcW w:w="6340" w:type="dxa"/>
            <w:vAlign w:val="center"/>
          </w:tcPr>
          <w:p>
            <w:pPr>
              <w:ind w:left="240" w:hanging="180" w:hangingChars="100"/>
              <w:contextualSpacing/>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报价得分＝(评标基准价／最终</w:t>
            </w:r>
            <w:r>
              <w:rPr>
                <w:rFonts w:hint="eastAsia" w:ascii="仿宋" w:hAnsi="仿宋" w:eastAsia="仿宋" w:cs="仿宋"/>
                <w:color w:val="auto"/>
                <w:sz w:val="18"/>
                <w:szCs w:val="18"/>
                <w:highlight w:val="none"/>
                <w:lang w:eastAsia="zh-CN"/>
              </w:rPr>
              <w:t>谈判</w:t>
            </w:r>
            <w:r>
              <w:rPr>
                <w:rFonts w:hint="eastAsia" w:ascii="仿宋" w:hAnsi="仿宋" w:eastAsia="仿宋" w:cs="仿宋"/>
                <w:color w:val="auto"/>
                <w:sz w:val="18"/>
                <w:szCs w:val="18"/>
                <w:highlight w:val="none"/>
                <w:lang w:val="en-US" w:eastAsia="zh-CN"/>
              </w:rPr>
              <w:t>报价</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30</w:t>
            </w:r>
            <w:r>
              <w:rPr>
                <w:rFonts w:hint="eastAsia" w:ascii="仿宋" w:hAnsi="仿宋" w:eastAsia="仿宋" w:cs="仿宋"/>
                <w:color w:val="auto"/>
                <w:sz w:val="18"/>
                <w:szCs w:val="18"/>
                <w:highlight w:val="none"/>
              </w:rPr>
              <w:t>。</w:t>
            </w:r>
          </w:p>
          <w:p>
            <w:pPr>
              <w:contextualSpacing/>
              <w:rPr>
                <w:rFonts w:hint="eastAsia" w:ascii="仿宋" w:hAnsi="仿宋" w:eastAsia="仿宋" w:cs="仿宋"/>
                <w:color w:val="auto"/>
                <w:sz w:val="18"/>
                <w:szCs w:val="18"/>
                <w:highlight w:val="none"/>
                <w:shd w:val="clear" w:color="auto" w:fill="FFFFFF"/>
              </w:rPr>
            </w:pPr>
            <w:r>
              <w:rPr>
                <w:rFonts w:hint="eastAsia" w:ascii="仿宋" w:hAnsi="仿宋" w:eastAsia="仿宋" w:cs="仿宋"/>
                <w:color w:val="auto"/>
                <w:sz w:val="18"/>
                <w:szCs w:val="18"/>
                <w:highlight w:val="none"/>
              </w:rPr>
              <w:t>说明：</w:t>
            </w:r>
            <w:r>
              <w:rPr>
                <w:rFonts w:hint="eastAsia" w:ascii="仿宋" w:hAnsi="仿宋" w:eastAsia="仿宋" w:cs="仿宋"/>
                <w:color w:val="auto"/>
                <w:sz w:val="18"/>
                <w:szCs w:val="18"/>
                <w:highlight w:val="none"/>
                <w:shd w:val="clear" w:color="auto" w:fill="FFFFFF"/>
              </w:rPr>
              <w:t>评标基准价为满足</w:t>
            </w:r>
            <w:r>
              <w:rPr>
                <w:rFonts w:hint="eastAsia" w:ascii="仿宋" w:hAnsi="仿宋" w:eastAsia="仿宋" w:cs="仿宋"/>
                <w:color w:val="auto"/>
                <w:sz w:val="18"/>
                <w:szCs w:val="18"/>
                <w:highlight w:val="none"/>
                <w:shd w:val="clear" w:color="auto" w:fill="FFFFFF"/>
                <w:lang w:eastAsia="zh-CN"/>
              </w:rPr>
              <w:t>谈判采购文件</w:t>
            </w:r>
            <w:r>
              <w:rPr>
                <w:rFonts w:hint="eastAsia" w:ascii="仿宋" w:hAnsi="仿宋" w:eastAsia="仿宋" w:cs="仿宋"/>
                <w:color w:val="auto"/>
                <w:sz w:val="18"/>
                <w:szCs w:val="18"/>
                <w:highlight w:val="none"/>
                <w:shd w:val="clear" w:color="auto" w:fill="FFFFFF"/>
              </w:rPr>
              <w:t>要求且最终（二轮）</w:t>
            </w:r>
            <w:r>
              <w:rPr>
                <w:rFonts w:hint="eastAsia" w:ascii="仿宋" w:hAnsi="仿宋" w:eastAsia="仿宋" w:cs="仿宋"/>
                <w:color w:val="auto"/>
                <w:sz w:val="18"/>
                <w:szCs w:val="18"/>
                <w:highlight w:val="none"/>
                <w:shd w:val="clear" w:color="auto" w:fill="FFFFFF"/>
                <w:lang w:eastAsia="zh-CN"/>
              </w:rPr>
              <w:t>谈判</w:t>
            </w:r>
            <w:r>
              <w:rPr>
                <w:rFonts w:hint="eastAsia" w:ascii="仿宋" w:hAnsi="仿宋" w:eastAsia="仿宋" w:cs="仿宋"/>
                <w:color w:val="auto"/>
                <w:sz w:val="18"/>
                <w:szCs w:val="18"/>
                <w:highlight w:val="none"/>
                <w:shd w:val="clear" w:color="auto" w:fill="FFFFFF"/>
              </w:rPr>
              <w:t>报价最低的有效</w:t>
            </w:r>
            <w:r>
              <w:rPr>
                <w:rFonts w:hint="eastAsia" w:ascii="仿宋" w:hAnsi="仿宋" w:eastAsia="仿宋" w:cs="仿宋"/>
                <w:color w:val="auto"/>
                <w:sz w:val="18"/>
                <w:szCs w:val="18"/>
                <w:highlight w:val="none"/>
                <w:shd w:val="clear" w:color="auto" w:fill="FFFFFF"/>
                <w:lang w:eastAsia="zh-CN"/>
              </w:rPr>
              <w:t>最终谈判</w:t>
            </w:r>
            <w:r>
              <w:rPr>
                <w:rFonts w:hint="eastAsia" w:ascii="仿宋" w:hAnsi="仿宋" w:eastAsia="仿宋" w:cs="仿宋"/>
                <w:color w:val="auto"/>
                <w:sz w:val="18"/>
                <w:szCs w:val="18"/>
                <w:highlight w:val="none"/>
                <w:shd w:val="clear" w:color="auto" w:fill="FFFFFF"/>
              </w:rPr>
              <w:t>。</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注：小型和微型企业的审查：</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 xml:space="preserve">不适用 </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适用（审查标准：按照财政部工业和信息化部关于印发《政府采购促进中小企业发展管理办法》的通知（财库〔2020〕46号）及《关于进一步加大政府采购支持中小企业力度的通知》（财库〔2022〕19号）的规定，按以下价格扣除幅度对报价进行扣除。小微企业价格扣除幅度：报价的10%）。</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计算方法是：评审价格＝最后报价×90%。</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注：具体内容详见《政府采购促进中小企业发展管理办法》的通知（财库〔2020〕46号）的规定及《关于进一步加大政府采购支持中小企业力度的通知》（财库〔2022〕19号）的规定。</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监狱企业的审查：</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 xml:space="preserve">□不适用 </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■适用（审查标准：按照《财政部 司法部关于政府采购支持监狱企业发展有关问题的通知》（财库[2014]68 号），监狱企业视同小型、微型企业，按以下价格扣除幅度对报价进行扣除。监狱企业价格扣除幅度：报价的10%）</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计算方法是：评审价格＝最后报价×90%。</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监狱企业应当在其谈判响应文件中提供加盖鲜章的监狱企业证明函原件（格式详见第六章谈判响应文件格式）。</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未按要求提供证明资料的不予扣除价格。</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 xml:space="preserve">残疾人福利性单位的审查： </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 xml:space="preserve">□不适用 </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■适用（审查标准：按照《三部门联合发布关于促进残疾人就业政府采购政策的通知》（财库〔2017〕141 号），残疾人福利性单位视同小型、微型企业，按以下价格扣除幅度对报价进行扣除。残疾人福利性单位价格扣除幅度：报价的10%）</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计算方法是：评审价格＝最后报价×90%。</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残疾人福利性单位应当在其谈判响应文件中提供加盖鲜章的残疾人福利性单位声明函原件（格式详见第六章谈判响应文件格式）。</w:t>
            </w:r>
          </w:p>
          <w:p>
            <w:pPr>
              <w:pStyle w:val="2"/>
              <w:rPr>
                <w:rFonts w:hint="eastAsia" w:ascii="仿宋" w:hAnsi="仿宋" w:eastAsia="仿宋" w:cs="仿宋"/>
                <w:color w:val="auto"/>
                <w:sz w:val="18"/>
                <w:szCs w:val="18"/>
                <w:highlight w:val="none"/>
                <w:shd w:val="clear" w:color="auto" w:fill="FFFFFF"/>
                <w:lang w:val="en-US" w:eastAsia="zh-CN" w:bidi="ar-SA"/>
              </w:rPr>
            </w:pPr>
            <w:r>
              <w:rPr>
                <w:rFonts w:hint="eastAsia" w:ascii="仿宋" w:hAnsi="仿宋" w:eastAsia="仿宋" w:cs="仿宋"/>
                <w:color w:val="auto"/>
                <w:sz w:val="18"/>
                <w:szCs w:val="18"/>
                <w:highlight w:val="none"/>
                <w:shd w:val="clear" w:color="auto" w:fill="FFFFFF"/>
                <w:lang w:val="en-US" w:eastAsia="zh-CN" w:bidi="ar-SA"/>
              </w:rPr>
              <w:t>未按要求提供证明资料的不予扣除价格。若中标、成交供应商为残疾人福利性单位的，采购代理机构将随成交结果同时公告其《残疾人福利性单位声明函》。</w:t>
            </w:r>
          </w:p>
          <w:p>
            <w:pPr>
              <w:pStyle w:val="2"/>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shd w:val="clear" w:color="auto" w:fill="FFFFFF"/>
                <w:lang w:val="en-US" w:eastAsia="zh-CN" w:bidi="ar-SA"/>
              </w:rPr>
              <w:t xml:space="preserve">注：监狱企业或残疾人福利性单位属于小型、微型企业的，不重复享受以上价格扣除幅度的政策。 </w:t>
            </w:r>
          </w:p>
        </w:tc>
        <w:tc>
          <w:tcPr>
            <w:tcW w:w="747" w:type="dxa"/>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30</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098" w:type="dxa"/>
            <w:gridSpan w:val="4"/>
            <w:vAlign w:val="center"/>
          </w:tcPr>
          <w:p>
            <w:pPr>
              <w:adjustRightInd w:val="0"/>
              <w:snapToGrid w:val="0"/>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w:t>
            </w:r>
            <w:r>
              <w:rPr>
                <w:rFonts w:hint="eastAsia" w:ascii="仿宋" w:hAnsi="仿宋" w:eastAsia="仿宋" w:cs="仿宋"/>
                <w:b/>
                <w:color w:val="auto"/>
                <w:sz w:val="18"/>
                <w:szCs w:val="18"/>
                <w:highlight w:val="none"/>
                <w:lang w:val="en-US" w:eastAsia="zh-CN"/>
              </w:rPr>
              <w:t>二</w:t>
            </w:r>
            <w:r>
              <w:rPr>
                <w:rFonts w:hint="eastAsia" w:ascii="仿宋" w:hAnsi="仿宋" w:eastAsia="仿宋" w:cs="仿宋"/>
                <w:b/>
                <w:color w:val="auto"/>
                <w:sz w:val="18"/>
                <w:szCs w:val="18"/>
                <w:highlight w:val="none"/>
              </w:rPr>
              <w:t>）技术</w:t>
            </w:r>
            <w:r>
              <w:rPr>
                <w:rFonts w:hint="eastAsia" w:ascii="仿宋" w:hAnsi="仿宋" w:eastAsia="仿宋" w:cs="仿宋"/>
                <w:b/>
                <w:color w:val="auto"/>
                <w:sz w:val="18"/>
                <w:szCs w:val="18"/>
                <w:highlight w:val="none"/>
                <w:lang w:val="en-US" w:eastAsia="zh-CN"/>
              </w:rPr>
              <w:t>及商务</w:t>
            </w:r>
            <w:r>
              <w:rPr>
                <w:rFonts w:hint="eastAsia" w:ascii="仿宋" w:hAnsi="仿宋" w:eastAsia="仿宋" w:cs="仿宋"/>
                <w:b/>
                <w:color w:val="auto"/>
                <w:sz w:val="18"/>
                <w:szCs w:val="18"/>
                <w:highlight w:val="none"/>
              </w:rPr>
              <w:t>部分，满分</w:t>
            </w:r>
            <w:r>
              <w:rPr>
                <w:rFonts w:hint="eastAsia" w:ascii="仿宋" w:hAnsi="仿宋" w:eastAsia="仿宋" w:cs="仿宋"/>
                <w:b/>
                <w:color w:val="auto"/>
                <w:sz w:val="18"/>
                <w:szCs w:val="18"/>
                <w:highlight w:val="none"/>
                <w:lang w:val="en-US" w:eastAsia="zh-CN"/>
              </w:rPr>
              <w:t>70</w:t>
            </w:r>
            <w:r>
              <w:rPr>
                <w:rFonts w:hint="eastAsia" w:ascii="仿宋" w:hAnsi="仿宋" w:eastAsia="仿宋" w:cs="仿宋"/>
                <w:b/>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681" w:type="dxa"/>
            <w:vAlign w:val="center"/>
          </w:tcPr>
          <w:p>
            <w:pPr>
              <w:spacing w:line="440" w:lineRule="exact"/>
              <w:contextualSpacing/>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2</w:t>
            </w:r>
          </w:p>
        </w:tc>
        <w:tc>
          <w:tcPr>
            <w:tcW w:w="1330" w:type="dxa"/>
            <w:vAlign w:val="center"/>
          </w:tcPr>
          <w:p>
            <w:pPr>
              <w:adjustRightInd w:val="0"/>
              <w:snapToGrid w:val="0"/>
              <w:spacing w:line="288" w:lineRule="auto"/>
              <w:jc w:val="center"/>
              <w:rPr>
                <w:rFonts w:hint="eastAsia" w:ascii="仿宋" w:hAnsi="仿宋" w:eastAsia="仿宋" w:cs="仿宋"/>
                <w:b/>
                <w:sz w:val="18"/>
                <w:szCs w:val="18"/>
                <w:highlight w:val="none"/>
              </w:rPr>
            </w:pPr>
            <w:r>
              <w:rPr>
                <w:rFonts w:hint="eastAsia" w:ascii="仿宋" w:hAnsi="仿宋" w:eastAsia="仿宋" w:cs="仿宋"/>
                <w:b/>
                <w:sz w:val="18"/>
                <w:szCs w:val="18"/>
                <w:highlight w:val="none"/>
              </w:rPr>
              <w:t>技术指标与配置</w:t>
            </w:r>
          </w:p>
          <w:p>
            <w:pPr>
              <w:adjustRightInd w:val="0"/>
              <w:spacing w:line="360" w:lineRule="exact"/>
              <w:jc w:val="center"/>
              <w:rPr>
                <w:rFonts w:hint="eastAsia" w:ascii="仿宋" w:hAnsi="仿宋" w:eastAsia="仿宋" w:cs="仿宋"/>
                <w:color w:val="auto"/>
                <w:kern w:val="0"/>
                <w:sz w:val="18"/>
                <w:szCs w:val="18"/>
                <w:highlight w:val="none"/>
              </w:rPr>
            </w:pPr>
            <w:r>
              <w:rPr>
                <w:rFonts w:hint="eastAsia" w:ascii="仿宋" w:hAnsi="仿宋" w:eastAsia="仿宋" w:cs="仿宋"/>
                <w:b/>
                <w:sz w:val="18"/>
                <w:szCs w:val="18"/>
                <w:highlight w:val="none"/>
              </w:rPr>
              <w:t>（</w:t>
            </w:r>
            <w:r>
              <w:rPr>
                <w:rFonts w:hint="eastAsia" w:ascii="仿宋" w:hAnsi="仿宋" w:eastAsia="仿宋" w:cs="仿宋"/>
                <w:b/>
                <w:sz w:val="18"/>
                <w:szCs w:val="18"/>
                <w:highlight w:val="none"/>
                <w:lang w:val="en-US" w:eastAsia="zh-CN"/>
              </w:rPr>
              <w:t>45</w:t>
            </w:r>
            <w:r>
              <w:rPr>
                <w:rFonts w:hint="eastAsia" w:ascii="仿宋" w:hAnsi="仿宋" w:eastAsia="仿宋" w:cs="仿宋"/>
                <w:b/>
                <w:sz w:val="18"/>
                <w:szCs w:val="18"/>
                <w:highlight w:val="none"/>
              </w:rPr>
              <w:t>分）</w:t>
            </w:r>
          </w:p>
        </w:tc>
        <w:tc>
          <w:tcPr>
            <w:tcW w:w="6340" w:type="dxa"/>
            <w:vAlign w:val="center"/>
          </w:tcPr>
          <w:p>
            <w:pPr>
              <w:numPr>
                <w:ilvl w:val="0"/>
                <w:numId w:val="0"/>
              </w:numPr>
              <w:spacing w:line="360" w:lineRule="auto"/>
              <w:ind w:right="24" w:rightChars="12"/>
              <w:rPr>
                <w:rFonts w:hint="eastAsia" w:ascii="仿宋" w:hAnsi="仿宋" w:eastAsia="仿宋" w:cs="仿宋"/>
                <w:kern w:val="2"/>
                <w:sz w:val="18"/>
                <w:szCs w:val="18"/>
                <w:highlight w:val="none"/>
                <w:lang w:val="en-US" w:eastAsia="zh-CN" w:bidi="ar-SA"/>
              </w:rPr>
            </w:pPr>
            <w:r>
              <w:rPr>
                <w:rFonts w:hint="eastAsia" w:ascii="仿宋" w:hAnsi="仿宋" w:eastAsia="仿宋" w:cs="仿宋"/>
                <w:kern w:val="2"/>
                <w:sz w:val="18"/>
                <w:szCs w:val="18"/>
                <w:highlight w:val="none"/>
                <w:lang w:val="en-US" w:eastAsia="zh-CN" w:bidi="ar-SA"/>
              </w:rPr>
              <w:t xml:space="preserve">1、投标人的技术指标完全满足本招标文件要求的，得满分45分。  </w:t>
            </w:r>
          </w:p>
          <w:p>
            <w:pPr>
              <w:numPr>
                <w:ilvl w:val="0"/>
                <w:numId w:val="0"/>
              </w:numPr>
              <w:spacing w:line="360" w:lineRule="auto"/>
              <w:ind w:left="0" w:leftChars="0" w:right="24" w:rightChars="12" w:firstLine="0" w:firstLineChars="0"/>
              <w:rPr>
                <w:rFonts w:hint="eastAsia" w:ascii="仿宋" w:hAnsi="仿宋" w:eastAsia="仿宋" w:cs="仿宋"/>
                <w:sz w:val="18"/>
                <w:szCs w:val="18"/>
                <w:highlight w:val="none"/>
              </w:rPr>
            </w:pPr>
            <w:r>
              <w:rPr>
                <w:rFonts w:hint="eastAsia" w:ascii="仿宋" w:hAnsi="仿宋" w:eastAsia="仿宋" w:cs="仿宋"/>
                <w:kern w:val="2"/>
                <w:sz w:val="18"/>
                <w:szCs w:val="18"/>
                <w:highlight w:val="none"/>
                <w:lang w:val="en-US" w:eastAsia="zh-CN" w:bidi="ar-SA"/>
              </w:rPr>
              <w:t>2、技术参数中参数条款负偏离的，带★项为重要参数，每负偏离一项扣5分，扣完为止，非★项为一般参数，每负偏离一项扣2分，扣完为止。</w:t>
            </w:r>
          </w:p>
          <w:p>
            <w:pPr>
              <w:pStyle w:val="2"/>
              <w:rPr>
                <w:rFonts w:hint="eastAsia"/>
                <w:highlight w:val="none"/>
              </w:rPr>
            </w:pPr>
            <w:r>
              <w:rPr>
                <w:rFonts w:hint="eastAsia" w:ascii="仿宋" w:hAnsi="仿宋" w:eastAsia="仿宋" w:cs="仿宋"/>
                <w:kern w:val="2"/>
                <w:sz w:val="18"/>
                <w:szCs w:val="18"/>
                <w:highlight w:val="none"/>
                <w:lang w:val="en-US" w:eastAsia="zh-CN" w:bidi="ar-SA"/>
              </w:rPr>
              <w:t>注：投标人需要提供投标产品技术支持资料（或证明材料），并需要加盖投标人或生产厂家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参数中标注“</w:t>
            </w:r>
            <w:r>
              <w:rPr>
                <w:rFonts w:hint="eastAsia" w:ascii="仿宋" w:hAnsi="仿宋" w:eastAsia="仿宋" w:cs="仿宋"/>
                <w:highlight w:val="none"/>
              </w:rPr>
              <w:t>★</w:t>
            </w:r>
            <w:r>
              <w:rPr>
                <w:rFonts w:hint="eastAsia" w:ascii="仿宋" w:hAnsi="仿宋" w:eastAsia="仿宋" w:cs="仿宋"/>
                <w:kern w:val="2"/>
                <w:sz w:val="18"/>
                <w:szCs w:val="18"/>
                <w:highlight w:val="none"/>
                <w:lang w:val="en-US" w:eastAsia="zh-CN" w:bidi="ar-SA"/>
              </w:rPr>
              <w:t xml:space="preserve">”号的技术参数，投标人须在投标文件中按照招标文件技术参数的要求提供技术应答的证明材料，如技术参数中无特殊要求则应提交本条款规定的技术支持资料。对于投标人提供的投标文件技术应答未按本条款要求提供投标产品技术支持资料（或证明材料）的，或提供的投标产品技术支持资料（或证明材料）未按本条款要求加盖投标人或生产厂家公章的，评标委员会可不予承认，并可认为该技术应答不符合招标文件要求。由此产生的评标风险，由投标人承担。 </w:t>
            </w:r>
          </w:p>
        </w:tc>
        <w:tc>
          <w:tcPr>
            <w:tcW w:w="747" w:type="dxa"/>
            <w:vAlign w:val="center"/>
          </w:tcPr>
          <w:p>
            <w:pPr>
              <w:spacing w:line="440" w:lineRule="exact"/>
              <w:contextualSpacing/>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681" w:type="dxa"/>
            <w:vAlign w:val="center"/>
          </w:tcPr>
          <w:p>
            <w:pPr>
              <w:spacing w:line="440" w:lineRule="exact"/>
              <w:contextualSpacing/>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3</w:t>
            </w:r>
          </w:p>
        </w:tc>
        <w:tc>
          <w:tcPr>
            <w:tcW w:w="1330" w:type="dxa"/>
            <w:vAlign w:val="center"/>
          </w:tcPr>
          <w:p>
            <w:pPr>
              <w:adjustRightInd w:val="0"/>
              <w:spacing w:line="360" w:lineRule="exact"/>
              <w:jc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b/>
                <w:bCs/>
                <w:sz w:val="18"/>
                <w:szCs w:val="18"/>
                <w:highlight w:val="none"/>
              </w:rPr>
              <w:t>实施方案 (</w:t>
            </w:r>
            <w:r>
              <w:rPr>
                <w:rFonts w:hint="eastAsia" w:ascii="仿宋" w:hAnsi="仿宋" w:eastAsia="仿宋" w:cs="仿宋"/>
                <w:b/>
                <w:bCs/>
                <w:sz w:val="18"/>
                <w:szCs w:val="18"/>
                <w:highlight w:val="none"/>
                <w:lang w:val="en-US" w:eastAsia="zh-CN"/>
              </w:rPr>
              <w:t>15</w:t>
            </w:r>
            <w:r>
              <w:rPr>
                <w:rFonts w:hint="eastAsia" w:ascii="仿宋" w:hAnsi="仿宋" w:eastAsia="仿宋" w:cs="仿宋"/>
                <w:b/>
                <w:bCs/>
                <w:sz w:val="18"/>
                <w:szCs w:val="18"/>
                <w:highlight w:val="none"/>
              </w:rPr>
              <w:t>分)</w:t>
            </w:r>
          </w:p>
        </w:tc>
        <w:tc>
          <w:tcPr>
            <w:tcW w:w="6340" w:type="dxa"/>
            <w:vAlign w:val="top"/>
          </w:tcPr>
          <w:p>
            <w:pPr>
              <w:adjustRightInd w:val="0"/>
              <w:spacing w:line="360" w:lineRule="exact"/>
              <w:rPr>
                <w:rFonts w:hint="eastAsia" w:ascii="仿宋" w:hAnsi="仿宋" w:eastAsia="仿宋" w:cs="仿宋"/>
                <w:kern w:val="2"/>
                <w:sz w:val="18"/>
                <w:szCs w:val="18"/>
                <w:highlight w:val="none"/>
                <w:lang w:val="en-US" w:eastAsia="zh-CN" w:bidi="ar-SA"/>
              </w:rPr>
            </w:pPr>
            <w:r>
              <w:rPr>
                <w:rFonts w:hint="eastAsia" w:ascii="仿宋" w:hAnsi="仿宋" w:eastAsia="仿宋" w:cs="仿宋"/>
                <w:kern w:val="2"/>
                <w:sz w:val="18"/>
                <w:szCs w:val="18"/>
                <w:highlight w:val="none"/>
                <w:lang w:val="en-US" w:eastAsia="zh-CN" w:bidi="ar-SA"/>
              </w:rPr>
              <w:t>项目组织计划和技术整体实施方案，满分15分。</w:t>
            </w:r>
          </w:p>
          <w:p>
            <w:pPr>
              <w:adjustRightInd w:val="0"/>
              <w:spacing w:line="360" w:lineRule="exact"/>
              <w:rPr>
                <w:rFonts w:hint="eastAsia" w:ascii="仿宋" w:hAnsi="仿宋" w:eastAsia="仿宋" w:cs="仿宋"/>
                <w:kern w:val="2"/>
                <w:sz w:val="18"/>
                <w:szCs w:val="18"/>
                <w:highlight w:val="none"/>
                <w:lang w:val="en-US" w:eastAsia="zh-CN" w:bidi="ar-SA"/>
              </w:rPr>
            </w:pPr>
            <w:r>
              <w:rPr>
                <w:rFonts w:hint="eastAsia" w:ascii="仿宋" w:hAnsi="仿宋" w:eastAsia="仿宋" w:cs="仿宋"/>
                <w:kern w:val="2"/>
                <w:sz w:val="18"/>
                <w:szCs w:val="18"/>
                <w:highlight w:val="none"/>
                <w:lang w:val="en-US" w:eastAsia="zh-CN" w:bidi="ar-SA"/>
              </w:rPr>
              <w:t>第一档次（15分）：投标人对项目理解透彻，项目组织计划和技术、技术整体实施方案编制完整、内容全面、详细，架构科学合理、与采购人的实际需求响应度高，优于采购人的采购需求。</w:t>
            </w:r>
          </w:p>
          <w:p>
            <w:pPr>
              <w:adjustRightInd w:val="0"/>
              <w:spacing w:line="360" w:lineRule="exact"/>
              <w:rPr>
                <w:rFonts w:hint="eastAsia" w:ascii="仿宋" w:hAnsi="仿宋" w:eastAsia="仿宋" w:cs="仿宋"/>
                <w:kern w:val="2"/>
                <w:sz w:val="18"/>
                <w:szCs w:val="18"/>
                <w:highlight w:val="none"/>
                <w:lang w:val="en-US" w:eastAsia="zh-CN" w:bidi="ar-SA"/>
              </w:rPr>
            </w:pPr>
            <w:r>
              <w:rPr>
                <w:rFonts w:hint="eastAsia" w:ascii="仿宋" w:hAnsi="仿宋" w:eastAsia="仿宋" w:cs="仿宋"/>
                <w:kern w:val="2"/>
                <w:sz w:val="18"/>
                <w:szCs w:val="18"/>
                <w:highlight w:val="none"/>
                <w:lang w:val="en-US" w:eastAsia="zh-CN" w:bidi="ar-SA"/>
              </w:rPr>
              <w:t>第二档次（10分）：投标人对项目理解较完整，项目组织计划和技术、技术整体实施方案架构一般、架构基本合理，基本满足采购人的采购需求。</w:t>
            </w:r>
          </w:p>
          <w:p>
            <w:pPr>
              <w:adjustRightInd w:val="0"/>
              <w:spacing w:line="360" w:lineRule="exact"/>
              <w:rPr>
                <w:rFonts w:hint="eastAsia" w:ascii="仿宋" w:hAnsi="仿宋" w:eastAsia="仿宋" w:cs="仿宋"/>
                <w:kern w:val="2"/>
                <w:sz w:val="18"/>
                <w:szCs w:val="18"/>
                <w:highlight w:val="none"/>
                <w:lang w:val="en-US" w:eastAsia="zh-CN" w:bidi="ar-SA"/>
              </w:rPr>
            </w:pPr>
            <w:r>
              <w:rPr>
                <w:rFonts w:hint="eastAsia" w:ascii="仿宋" w:hAnsi="仿宋" w:eastAsia="仿宋" w:cs="仿宋"/>
                <w:kern w:val="2"/>
                <w:sz w:val="18"/>
                <w:szCs w:val="18"/>
                <w:highlight w:val="none"/>
                <w:lang w:val="en-US" w:eastAsia="zh-CN" w:bidi="ar-SA"/>
              </w:rPr>
              <w:t>第三档次（5分）：投标人对项目理解较有偏差，项目组织计划和技术、技术整体实施方案架构、架构基本可行，基本满足采购人的采购需求。</w:t>
            </w:r>
          </w:p>
          <w:p>
            <w:pPr>
              <w:adjustRightInd w:val="0"/>
              <w:spacing w:line="360" w:lineRule="exact"/>
              <w:rPr>
                <w:rFonts w:hint="eastAsia" w:ascii="仿宋" w:hAnsi="仿宋" w:eastAsia="仿宋" w:cs="仿宋"/>
                <w:kern w:val="2"/>
                <w:sz w:val="18"/>
                <w:szCs w:val="18"/>
                <w:highlight w:val="none"/>
                <w:lang w:val="en-US" w:eastAsia="zh-CN" w:bidi="ar-SA"/>
              </w:rPr>
            </w:pPr>
            <w:r>
              <w:rPr>
                <w:rFonts w:hint="eastAsia" w:ascii="仿宋" w:hAnsi="仿宋" w:eastAsia="仿宋" w:cs="仿宋"/>
                <w:kern w:val="2"/>
                <w:sz w:val="18"/>
                <w:szCs w:val="18"/>
                <w:highlight w:val="none"/>
                <w:lang w:val="en-US" w:eastAsia="zh-CN" w:bidi="ar-SA"/>
              </w:rPr>
              <w:t>第四档次（1分）：投标人对项目理解较差，项目组织计划和技术整体实施方案不完整、可行性较差，与采购人的实际需求响应度相差较大。</w:t>
            </w:r>
          </w:p>
          <w:p>
            <w:pPr>
              <w:adjustRightInd w:val="0"/>
              <w:spacing w:line="360" w:lineRule="exact"/>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kern w:val="2"/>
                <w:sz w:val="18"/>
                <w:szCs w:val="18"/>
                <w:highlight w:val="none"/>
                <w:lang w:val="en-US" w:eastAsia="zh-CN" w:bidi="ar-SA"/>
              </w:rPr>
              <w:t>未提供的不得分。</w:t>
            </w:r>
          </w:p>
        </w:tc>
        <w:tc>
          <w:tcPr>
            <w:tcW w:w="747" w:type="dxa"/>
            <w:vAlign w:val="center"/>
          </w:tcPr>
          <w:p>
            <w:pPr>
              <w:spacing w:line="440" w:lineRule="exact"/>
              <w:contextualSpacing/>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681" w:type="dxa"/>
            <w:vAlign w:val="center"/>
          </w:tcPr>
          <w:p>
            <w:pPr>
              <w:spacing w:line="440" w:lineRule="exact"/>
              <w:contextualSpacing/>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330" w:type="dxa"/>
            <w:vAlign w:val="center"/>
          </w:tcPr>
          <w:p>
            <w:pPr>
              <w:adjustRightInd w:val="0"/>
              <w:spacing w:line="360" w:lineRule="exact"/>
              <w:rPr>
                <w:rFonts w:hint="eastAsia" w:ascii="仿宋" w:hAnsi="仿宋" w:eastAsia="仿宋" w:cs="仿宋"/>
                <w:bCs/>
                <w:sz w:val="18"/>
                <w:szCs w:val="18"/>
                <w:highlight w:val="none"/>
              </w:rPr>
            </w:pPr>
            <w:r>
              <w:rPr>
                <w:rFonts w:hint="eastAsia" w:ascii="仿宋" w:hAnsi="仿宋" w:eastAsia="仿宋" w:cs="仿宋"/>
                <w:b/>
                <w:bCs/>
                <w:sz w:val="18"/>
                <w:szCs w:val="18"/>
                <w:highlight w:val="none"/>
                <w:lang w:val="en-US" w:eastAsia="zh-CN"/>
              </w:rPr>
              <w:t>售后服务（满分10分）</w:t>
            </w:r>
          </w:p>
        </w:tc>
        <w:tc>
          <w:tcPr>
            <w:tcW w:w="6340" w:type="dxa"/>
            <w:vAlign w:val="top"/>
          </w:tcPr>
          <w:p>
            <w:pPr>
              <w:adjustRightInd w:val="0"/>
              <w:spacing w:line="360" w:lineRule="exact"/>
              <w:rPr>
                <w:rFonts w:hint="eastAsia" w:ascii="仿宋" w:hAnsi="仿宋" w:eastAsia="仿宋" w:cs="仿宋"/>
                <w:bCs/>
                <w:sz w:val="18"/>
                <w:szCs w:val="18"/>
                <w:highlight w:val="none"/>
              </w:rPr>
            </w:pPr>
            <w:r>
              <w:rPr>
                <w:rFonts w:hint="eastAsia" w:ascii="仿宋" w:hAnsi="仿宋" w:eastAsia="仿宋" w:cs="仿宋"/>
                <w:bCs/>
                <w:sz w:val="18"/>
                <w:szCs w:val="18"/>
                <w:highlight w:val="none"/>
              </w:rPr>
              <w:t>针对本项目的需求，投标人服务能力、售后服务方案、承诺及保证，满分</w:t>
            </w:r>
            <w:r>
              <w:rPr>
                <w:rFonts w:hint="eastAsia" w:ascii="仿宋" w:hAnsi="仿宋" w:eastAsia="仿宋" w:cs="仿宋"/>
                <w:bCs/>
                <w:sz w:val="18"/>
                <w:szCs w:val="18"/>
                <w:highlight w:val="none"/>
                <w:lang w:val="en-US" w:eastAsia="zh-CN"/>
              </w:rPr>
              <w:t>10</w:t>
            </w:r>
            <w:r>
              <w:rPr>
                <w:rFonts w:hint="eastAsia" w:ascii="仿宋" w:hAnsi="仿宋" w:eastAsia="仿宋" w:cs="仿宋"/>
                <w:bCs/>
                <w:sz w:val="18"/>
                <w:szCs w:val="18"/>
                <w:highlight w:val="none"/>
              </w:rPr>
              <w:t>分。</w:t>
            </w:r>
          </w:p>
          <w:p>
            <w:pPr>
              <w:adjustRightInd w:val="0"/>
              <w:spacing w:line="360" w:lineRule="exact"/>
              <w:rPr>
                <w:rFonts w:hint="eastAsia" w:ascii="仿宋" w:hAnsi="仿宋" w:eastAsia="仿宋" w:cs="仿宋"/>
                <w:bCs/>
                <w:sz w:val="18"/>
                <w:szCs w:val="18"/>
                <w:highlight w:val="none"/>
              </w:rPr>
            </w:pPr>
            <w:r>
              <w:rPr>
                <w:rFonts w:hint="eastAsia" w:ascii="仿宋" w:hAnsi="仿宋" w:eastAsia="仿宋" w:cs="仿宋"/>
                <w:bCs/>
                <w:sz w:val="18"/>
                <w:szCs w:val="18"/>
                <w:highlight w:val="none"/>
              </w:rPr>
              <w:t>第一档次（</w:t>
            </w:r>
            <w:r>
              <w:rPr>
                <w:rFonts w:hint="eastAsia" w:ascii="仿宋" w:hAnsi="仿宋" w:eastAsia="仿宋" w:cs="仿宋"/>
                <w:bCs/>
                <w:sz w:val="18"/>
                <w:szCs w:val="18"/>
                <w:highlight w:val="none"/>
                <w:lang w:val="en-US" w:eastAsia="zh-CN"/>
              </w:rPr>
              <w:t>10</w:t>
            </w:r>
            <w:r>
              <w:rPr>
                <w:rFonts w:hint="eastAsia" w:ascii="仿宋" w:hAnsi="仿宋" w:eastAsia="仿宋" w:cs="仿宋"/>
                <w:bCs/>
                <w:sz w:val="18"/>
                <w:szCs w:val="18"/>
                <w:highlight w:val="none"/>
              </w:rPr>
              <w:t>分）：售后服务方案、培训方案全面，针对性强，具有很强的可操作性，所承诺的售后服务计划、培训计划内容全面，售后巡检及培训承诺齐全，保证措施、违约承诺详细，计划完善、组织合理；售后服务能力强，服务团队稳定，能提供优质快速的售后服务，能较好的满足采购人需求。</w:t>
            </w:r>
          </w:p>
          <w:p>
            <w:pPr>
              <w:adjustRightInd w:val="0"/>
              <w:spacing w:line="360" w:lineRule="exact"/>
              <w:rPr>
                <w:rFonts w:hint="eastAsia" w:ascii="仿宋" w:hAnsi="仿宋" w:eastAsia="仿宋" w:cs="仿宋"/>
                <w:bCs/>
                <w:sz w:val="18"/>
                <w:szCs w:val="18"/>
                <w:highlight w:val="none"/>
              </w:rPr>
            </w:pPr>
            <w:r>
              <w:rPr>
                <w:rFonts w:hint="eastAsia" w:ascii="仿宋" w:hAnsi="仿宋" w:eastAsia="仿宋" w:cs="仿宋"/>
                <w:bCs/>
                <w:sz w:val="18"/>
                <w:szCs w:val="18"/>
                <w:highlight w:val="none"/>
              </w:rPr>
              <w:t>第二档次（</w:t>
            </w:r>
            <w:r>
              <w:rPr>
                <w:rFonts w:hint="eastAsia" w:ascii="仿宋" w:hAnsi="仿宋" w:eastAsia="仿宋" w:cs="仿宋"/>
                <w:bCs/>
                <w:sz w:val="18"/>
                <w:szCs w:val="18"/>
                <w:highlight w:val="none"/>
                <w:lang w:val="en-US" w:eastAsia="zh-CN"/>
              </w:rPr>
              <w:t>8</w:t>
            </w:r>
            <w:r>
              <w:rPr>
                <w:rFonts w:hint="eastAsia" w:ascii="仿宋" w:hAnsi="仿宋" w:eastAsia="仿宋" w:cs="仿宋"/>
                <w:bCs/>
                <w:sz w:val="18"/>
                <w:szCs w:val="18"/>
                <w:highlight w:val="none"/>
              </w:rPr>
              <w:t>分）：提供售后服务方案、培训方案相对全面，具有一定的针对性及可操作性，所承诺的售后服务计划、培训计划内容相对全面，有售后巡检及培训承诺，保证措施、违约承诺不详细，但不够划完善，售后服务尚可，服务团队稳定，能提供优质的服务，能较好的满足采购人需求。</w:t>
            </w:r>
          </w:p>
          <w:p>
            <w:pPr>
              <w:adjustRightInd w:val="0"/>
              <w:spacing w:line="360" w:lineRule="exact"/>
              <w:rPr>
                <w:rFonts w:hint="eastAsia" w:ascii="仿宋" w:hAnsi="仿宋" w:eastAsia="仿宋" w:cs="仿宋"/>
                <w:bCs/>
                <w:sz w:val="18"/>
                <w:szCs w:val="18"/>
                <w:highlight w:val="none"/>
              </w:rPr>
            </w:pPr>
            <w:r>
              <w:rPr>
                <w:rFonts w:hint="eastAsia" w:ascii="仿宋" w:hAnsi="仿宋" w:eastAsia="仿宋" w:cs="仿宋"/>
                <w:bCs/>
                <w:sz w:val="18"/>
                <w:szCs w:val="18"/>
                <w:highlight w:val="none"/>
              </w:rPr>
              <w:t>第三档次（</w:t>
            </w:r>
            <w:r>
              <w:rPr>
                <w:rFonts w:hint="eastAsia" w:ascii="仿宋" w:hAnsi="仿宋" w:eastAsia="仿宋" w:cs="仿宋"/>
                <w:bCs/>
                <w:sz w:val="18"/>
                <w:szCs w:val="18"/>
                <w:highlight w:val="none"/>
                <w:lang w:val="en-US" w:eastAsia="zh-CN"/>
              </w:rPr>
              <w:t>5</w:t>
            </w:r>
            <w:r>
              <w:rPr>
                <w:rFonts w:hint="eastAsia" w:ascii="仿宋" w:hAnsi="仿宋" w:eastAsia="仿宋" w:cs="仿宋"/>
                <w:bCs/>
                <w:sz w:val="18"/>
                <w:szCs w:val="18"/>
                <w:highlight w:val="none"/>
              </w:rPr>
              <w:t>分）：提供售后服务方案、培训方案基本全面，针对性及可操作性一般，所承诺的售后服务计划、培训计划内容相对全面，有售后巡检及培训承诺，保证措施、违约承诺不详细，但不够划完善，售后服务尚可，服务团队稳定，能提供优质的服务，能较好的满足采购人需求。</w:t>
            </w:r>
          </w:p>
          <w:p>
            <w:pPr>
              <w:adjustRightInd w:val="0"/>
              <w:spacing w:line="360" w:lineRule="exact"/>
              <w:rPr>
                <w:rFonts w:hint="eastAsia" w:ascii="仿宋" w:hAnsi="仿宋" w:eastAsia="仿宋" w:cs="仿宋"/>
                <w:bCs/>
                <w:sz w:val="18"/>
                <w:szCs w:val="18"/>
                <w:highlight w:val="none"/>
              </w:rPr>
            </w:pPr>
            <w:r>
              <w:rPr>
                <w:rFonts w:hint="eastAsia" w:ascii="仿宋" w:hAnsi="仿宋" w:eastAsia="仿宋" w:cs="仿宋"/>
                <w:bCs/>
                <w:sz w:val="18"/>
                <w:szCs w:val="18"/>
                <w:highlight w:val="none"/>
              </w:rPr>
              <w:t>第四档次（1分）：提供的售后服务方案没有针对性及可操作性，违约措施不明确具体，售后人员专业性一般。</w:t>
            </w:r>
          </w:p>
          <w:p>
            <w:pPr>
              <w:adjustRightInd w:val="0"/>
              <w:spacing w:line="360" w:lineRule="exact"/>
              <w:rPr>
                <w:rFonts w:hint="eastAsia" w:ascii="仿宋" w:hAnsi="仿宋" w:eastAsia="仿宋" w:cs="仿宋"/>
                <w:bCs/>
                <w:sz w:val="18"/>
                <w:szCs w:val="18"/>
                <w:highlight w:val="none"/>
              </w:rPr>
            </w:pPr>
            <w:r>
              <w:rPr>
                <w:rFonts w:hint="eastAsia" w:ascii="仿宋" w:hAnsi="仿宋" w:eastAsia="仿宋" w:cs="仿宋"/>
                <w:bCs/>
                <w:sz w:val="18"/>
                <w:szCs w:val="18"/>
                <w:highlight w:val="none"/>
              </w:rPr>
              <w:t>未提供的不得分。</w:t>
            </w:r>
          </w:p>
        </w:tc>
        <w:tc>
          <w:tcPr>
            <w:tcW w:w="747" w:type="dxa"/>
            <w:vAlign w:val="center"/>
          </w:tcPr>
          <w:p>
            <w:pPr>
              <w:spacing w:line="440" w:lineRule="exact"/>
              <w:contextualSpacing/>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10分</w:t>
            </w:r>
          </w:p>
        </w:tc>
      </w:tr>
    </w:tbl>
    <w:p>
      <w:pPr>
        <w:pStyle w:val="5"/>
        <w:rPr>
          <w:rFonts w:hint="eastAsia" w:ascii="仿宋" w:hAnsi="仿宋" w:eastAsia="仿宋" w:cs="仿宋"/>
          <w:color w:val="auto"/>
          <w:highlight w:val="none"/>
        </w:rPr>
      </w:pPr>
      <w:r>
        <w:rPr>
          <w:rFonts w:hint="eastAsia" w:ascii="仿宋" w:hAnsi="仿宋" w:eastAsia="仿宋" w:cs="仿宋"/>
          <w:color w:val="auto"/>
          <w:highlight w:val="none"/>
        </w:rPr>
        <w:t>2.2.3汇总评分结果</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小组应对各供应商响应文件进行评审，并按</w:t>
      </w:r>
      <w:r>
        <w:rPr>
          <w:rFonts w:hint="eastAsia" w:ascii="仿宋" w:hAnsi="仿宋" w:eastAsia="仿宋" w:cs="仿宋"/>
          <w:color w:val="auto"/>
          <w:sz w:val="21"/>
          <w:szCs w:val="21"/>
          <w:highlight w:val="none"/>
          <w:lang w:eastAsia="zh-CN"/>
        </w:rPr>
        <w:t>谈判采购文件</w:t>
      </w:r>
      <w:r>
        <w:rPr>
          <w:rFonts w:hint="eastAsia" w:ascii="仿宋" w:hAnsi="仿宋" w:eastAsia="仿宋" w:cs="仿宋"/>
          <w:color w:val="auto"/>
          <w:sz w:val="21"/>
          <w:szCs w:val="21"/>
          <w:highlight w:val="none"/>
        </w:rPr>
        <w:t>规定分值评分。</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（2）技术部分评分中，各</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小组应自主评分并签字确认。各分档评分中间不得插入小数。</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（3）统计分数原则：计算平均分值为供应商得分（保留小数点后两位）。</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（4）详细评审工作全部结束后，汇总各个</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小组成员的详细评审评分结果，并按照详细评审最终得分由高</w:t>
      </w:r>
      <w:r>
        <w:rPr>
          <w:rFonts w:hint="eastAsia" w:ascii="仿宋" w:hAnsi="仿宋" w:eastAsia="仿宋" w:cs="仿宋"/>
          <w:color w:val="auto"/>
          <w:sz w:val="21"/>
          <w:szCs w:val="21"/>
          <w:highlight w:val="none"/>
          <w:lang w:eastAsia="zh-CN"/>
        </w:rPr>
        <w:t>到</w:t>
      </w:r>
      <w:r>
        <w:rPr>
          <w:rFonts w:hint="eastAsia" w:ascii="仿宋" w:hAnsi="仿宋" w:eastAsia="仿宋" w:cs="仿宋"/>
          <w:color w:val="auto"/>
          <w:sz w:val="21"/>
          <w:szCs w:val="21"/>
          <w:highlight w:val="none"/>
        </w:rPr>
        <w:t>低的次序对供应商进行排序。综合得分相同的，按技术部分评审得分由高到低的顺序排列；技术部分评审得分仍相同的，</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小组成员以记名投票的方式，按少数服从多数的原则确定其得分相同供应商的排名顺序。</w:t>
      </w:r>
    </w:p>
    <w:p>
      <w:pPr>
        <w:pStyle w:val="2"/>
        <w:ind w:firstLine="283" w:firstLineChars="135"/>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2.2.4</w:t>
      </w:r>
      <w:r>
        <w:rPr>
          <w:rFonts w:hint="eastAsia" w:ascii="仿宋" w:hAnsi="仿宋" w:eastAsia="仿宋" w:cs="仿宋"/>
          <w:bCs/>
          <w:color w:val="auto"/>
          <w:sz w:val="21"/>
          <w:szCs w:val="21"/>
          <w:highlight w:val="none"/>
          <w:lang w:eastAsia="zh-CN"/>
        </w:rPr>
        <w:t>谈判</w:t>
      </w:r>
    </w:p>
    <w:p>
      <w:pPr>
        <w:pStyle w:val="6"/>
        <w:spacing w:line="360" w:lineRule="auto"/>
        <w:ind w:left="-90" w:leftChars="-45"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对通过资格评审、响应性评审的</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可进行二次报价，</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小组所有成员集中与单一</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分别进行</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过程中，</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的任何一方不得透露与</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有关的其他</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的技术资料、价格和其他信息。二次报价时，</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应派代表在指定的地点参加</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。二次报价的价格、服务承诺及优惠条件等必须优于或等于前一轮报价的价格、服务承诺及优惠条件等。二次报价顺序以递交响应文件的先后顺序进行，本次</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及评审全程由采购人或采购代理机构进行记录，并由监督人员现场监督。</w:t>
      </w:r>
    </w:p>
    <w:bookmarkEnd w:id="20"/>
    <w:p>
      <w:pPr>
        <w:pStyle w:val="5"/>
        <w:rPr>
          <w:rFonts w:hint="eastAsia" w:ascii="仿宋" w:hAnsi="仿宋" w:eastAsia="仿宋" w:cs="仿宋"/>
          <w:color w:val="auto"/>
          <w:highlight w:val="none"/>
        </w:rPr>
      </w:pPr>
      <w:bookmarkStart w:id="21" w:name="_Toc302769264"/>
      <w:bookmarkStart w:id="22" w:name="_Toc186513216"/>
      <w:r>
        <w:rPr>
          <w:rFonts w:hint="eastAsia" w:ascii="仿宋" w:hAnsi="仿宋" w:eastAsia="仿宋" w:cs="仿宋"/>
          <w:color w:val="auto"/>
          <w:highlight w:val="none"/>
        </w:rPr>
        <w:t>2.2.5响应文件的澄清和补正</w:t>
      </w:r>
      <w:bookmarkEnd w:id="21"/>
      <w:bookmarkEnd w:id="22"/>
    </w:p>
    <w:p>
      <w:pPr>
        <w:spacing w:line="360" w:lineRule="auto"/>
        <w:ind w:firstLine="420" w:firstLineChars="200"/>
        <w:rPr>
          <w:rFonts w:hint="eastAsia" w:ascii="仿宋" w:hAnsi="仿宋" w:eastAsia="仿宋" w:cs="仿宋"/>
          <w:color w:val="auto"/>
          <w:sz w:val="21"/>
          <w:szCs w:val="21"/>
          <w:highlight w:val="none"/>
        </w:rPr>
      </w:pPr>
      <w:bookmarkStart w:id="23" w:name="_Toc186513217"/>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过程中，</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小组不接受供应商主动提出的澄清、说明或补正。</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（2）供应商的澄清、说明或者更正应当由法定代表人或其授权代表签字或者加盖公章。由授权代表签字的，应当附法定代表人授权书。</w:t>
      </w:r>
    </w:p>
    <w:p>
      <w:pPr>
        <w:spacing w:line="360" w:lineRule="auto"/>
        <w:ind w:firstLine="420" w:firstLineChars="200"/>
        <w:rPr>
          <w:rFonts w:hint="eastAsia" w:ascii="仿宋" w:hAnsi="仿宋" w:eastAsia="仿宋" w:cs="仿宋"/>
          <w:color w:val="auto"/>
          <w:sz w:val="21"/>
          <w:szCs w:val="21"/>
          <w:highlight w:val="none"/>
        </w:rPr>
      </w:pPr>
      <w:bookmarkStart w:id="24" w:name="_Toc302769267"/>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小组对供应商提交的澄清、说明或补正有疑问的，可以要求供应商进一步澄清、说明或补正，直至满足</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小组的要求。</w:t>
      </w:r>
      <w:bookmarkEnd w:id="24"/>
    </w:p>
    <w:p>
      <w:pPr>
        <w:pStyle w:val="5"/>
        <w:rPr>
          <w:rFonts w:hint="eastAsia" w:ascii="仿宋" w:hAnsi="仿宋" w:eastAsia="仿宋" w:cs="仿宋"/>
          <w:color w:val="auto"/>
          <w:highlight w:val="none"/>
        </w:rPr>
      </w:pPr>
      <w:bookmarkStart w:id="25" w:name="_Toc302769268"/>
      <w:r>
        <w:rPr>
          <w:rFonts w:hint="eastAsia" w:ascii="仿宋" w:hAnsi="仿宋" w:eastAsia="仿宋" w:cs="仿宋"/>
          <w:color w:val="auto"/>
          <w:highlight w:val="none"/>
        </w:rPr>
        <w:t>2.2.6评审结果</w:t>
      </w:r>
      <w:bookmarkEnd w:id="23"/>
      <w:bookmarkEnd w:id="25"/>
    </w:p>
    <w:p>
      <w:pPr>
        <w:spacing w:line="360" w:lineRule="auto"/>
        <w:ind w:firstLine="420" w:firstLineChars="200"/>
        <w:rPr>
          <w:rFonts w:hint="eastAsia" w:ascii="仿宋" w:hAnsi="仿宋" w:eastAsia="仿宋" w:cs="仿宋"/>
          <w:color w:val="auto"/>
          <w:sz w:val="21"/>
          <w:szCs w:val="21"/>
          <w:highlight w:val="none"/>
        </w:rPr>
      </w:pPr>
      <w:bookmarkStart w:id="26" w:name="_Toc302769269"/>
      <w:r>
        <w:rPr>
          <w:rFonts w:hint="eastAsia" w:ascii="仿宋" w:hAnsi="仿宋" w:eastAsia="仿宋" w:cs="仿宋"/>
          <w:color w:val="auto"/>
          <w:sz w:val="21"/>
          <w:szCs w:val="21"/>
          <w:highlight w:val="none"/>
        </w:rPr>
        <w:t>（1）除“供应商须知”前附表授权直接确定成交供应商外，</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小组从质量和服务均能满足采购文件实质性响应要求的供应商中，按照综合评分法，根据供应商最终得分由高到低的顺序推荐成交候选</w:t>
      </w:r>
      <w:bookmarkEnd w:id="26"/>
      <w:r>
        <w:rPr>
          <w:rFonts w:hint="eastAsia" w:ascii="仿宋" w:hAnsi="仿宋" w:eastAsia="仿宋" w:cs="仿宋"/>
          <w:color w:val="auto"/>
          <w:sz w:val="21"/>
          <w:szCs w:val="21"/>
          <w:highlight w:val="none"/>
        </w:rPr>
        <w:t>供应商。</w:t>
      </w:r>
    </w:p>
    <w:p>
      <w:pPr>
        <w:spacing w:line="360" w:lineRule="auto"/>
        <w:ind w:firstLine="420" w:firstLineChars="200"/>
        <w:rPr>
          <w:rFonts w:hint="eastAsia" w:ascii="仿宋" w:hAnsi="仿宋" w:eastAsia="仿宋" w:cs="仿宋"/>
          <w:color w:val="auto"/>
          <w:sz w:val="21"/>
          <w:szCs w:val="21"/>
          <w:highlight w:val="none"/>
        </w:rPr>
      </w:pPr>
      <w:bookmarkStart w:id="27" w:name="_Toc302769270"/>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小组完成</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及评审后，</w:t>
      </w:r>
      <w:bookmarkEnd w:id="27"/>
      <w:r>
        <w:rPr>
          <w:rFonts w:hint="eastAsia" w:ascii="仿宋" w:hAnsi="仿宋" w:eastAsia="仿宋" w:cs="仿宋"/>
          <w:color w:val="auto"/>
          <w:sz w:val="21"/>
          <w:szCs w:val="21"/>
          <w:highlight w:val="none"/>
        </w:rPr>
        <w:t>应当根据评审记录和评审结果编写评审报告。评审报告应当由</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小组全体人员签字认可。</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小组成员对评审报告有异议的，</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小组按照少数服从多数的原则推荐成交候选供应商，采购程序继续进行。对评审报告有异议的</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小组成员，应当在报告上签署不同意见并说明理由，由</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小组书面记录相关情况。</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小组成员拒绝在报告上签字又不书面说明其不同意见和理由的，视为同意评审报告。</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2.3特殊情况的处置程序</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过程中如遇特殊问题，由</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小组根据有关法律、法规研究决定。</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2.3.2在任何评审环节中，需</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小组就某项定性的评审结论做出表决的，由</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小组全体成员按照少数服从多数的原则，以记名投票方式表决。</w:t>
      </w:r>
    </w:p>
    <w:p>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全真中明體">
    <w:altName w:val="MingLiU-ExtB"/>
    <w:panose1 w:val="00000000000000000000"/>
    <w:charset w:val="88"/>
    <w:family w:val="modern"/>
    <w:pitch w:val="default"/>
    <w:sig w:usb0="00000000" w:usb1="00000000" w:usb2="00000010" w:usb3="00000000" w:csb0="00100000" w:csb1="00000000"/>
  </w:font>
  <w:font w:name="Tms Rmn">
    <w:altName w:val="Segoe Print"/>
    <w:panose1 w:val="02020603040505020304"/>
    <w:charset w:val="00"/>
    <w:family w:val="roman"/>
    <w:pitch w:val="default"/>
    <w:sig w:usb0="00000000" w:usb1="00000000" w:usb2="00000000" w:usb3="00000000" w:csb0="00000001" w:csb1="00000000"/>
  </w:font>
  <w:font w:name="方正宋一简体">
    <w:altName w:val="黑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F04E1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160" w:after="170" w:line="376" w:lineRule="auto"/>
      <w:ind w:left="200" w:leftChars="100" w:right="200" w:rightChars="100"/>
      <w:outlineLvl w:val="3"/>
    </w:pPr>
    <w:rPr>
      <w:rFonts w:ascii="Arial" w:hAnsi="Arial" w:eastAsia="黑体"/>
      <w:bCs/>
      <w:sz w:val="21"/>
      <w:szCs w:val="21"/>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6">
    <w:name w:val="toc 5"/>
    <w:basedOn w:val="1"/>
    <w:next w:val="1"/>
    <w:uiPriority w:val="0"/>
    <w:pPr>
      <w:ind w:left="800"/>
    </w:pPr>
    <w:rPr>
      <w:sz w:val="18"/>
      <w:szCs w:val="18"/>
    </w:rPr>
  </w:style>
  <w:style w:type="paragraph" w:styleId="7">
    <w:name w:val="Normal (Web)"/>
    <w:basedOn w:val="1"/>
    <w:uiPriority w:val="0"/>
    <w:pPr>
      <w:spacing w:before="100" w:beforeAutospacing="1" w:after="100" w:afterAutospacing="1"/>
    </w:pPr>
    <w:rPr>
      <w:rFonts w:ascii="宋体" w:hAnsi="宋体" w:cs="宋体"/>
      <w:sz w:val="24"/>
      <w:szCs w:val="24"/>
    </w:rPr>
  </w:style>
  <w:style w:type="paragraph" w:customStyle="1" w:styleId="10">
    <w:name w:val="样式 标题 3 + (中文) 黑体 小四 非加粗 段前: 7.8 磅 段后: 0 磅 行距: 固定值 20 磅"/>
    <w:basedOn w:val="4"/>
    <w:uiPriority w:val="0"/>
    <w:pPr>
      <w:widowControl w:val="0"/>
      <w:spacing w:before="0" w:after="0" w:line="400" w:lineRule="exact"/>
      <w:jc w:val="both"/>
    </w:pPr>
    <w:rPr>
      <w:rFonts w:eastAsia="黑体" w:cs="宋体"/>
      <w:b w:val="0"/>
      <w:bCs w:val="0"/>
      <w:kern w:val="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2024-05-30T09:37:30Z</dcterms:created>
  <dc:creator>lenovo</dc:creator>
  <cp:lastModifiedBy>lenovo</cp:lastModifiedBy>
  <dcterms:modified xsi:type="dcterms:W3CDTF">2024-05-30T09:38:03Z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