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rPr>
          <w:rFonts w:hint="eastAsia" w:ascii="宋体" w:hAnsi="宋体" w:eastAsia="宋体" w:cs="宋体"/>
          <w:color w:val="000000" w:themeColor="text1"/>
          <w:sz w:val="32"/>
          <w:szCs w:val="44"/>
          <w14:textFill>
            <w14:solidFill>
              <w14:schemeClr w14:val="tx1"/>
            </w14:solidFill>
          </w14:textFill>
        </w:rPr>
      </w:pPr>
      <w:r>
        <w:rPr>
          <w:rFonts w:hint="eastAsia" w:ascii="宋体" w:hAnsi="宋体" w:eastAsia="宋体" w:cs="宋体"/>
          <w:color w:val="000000" w:themeColor="text1"/>
          <w:sz w:val="32"/>
          <w:szCs w:val="44"/>
          <w14:textFill>
            <w14:solidFill>
              <w14:schemeClr w14:val="tx1"/>
            </w14:solidFill>
          </w14:textFill>
        </w:rPr>
        <w:t>评审办法</w:t>
      </w:r>
    </w:p>
    <w:p>
      <w:pPr>
        <w:pStyle w:val="5"/>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0" w:name="_Toc22289"/>
      <w:r>
        <w:rPr>
          <w:rFonts w:hint="eastAsia" w:ascii="宋体" w:hAnsi="宋体" w:eastAsia="宋体" w:cs="宋体"/>
          <w:color w:val="000000" w:themeColor="text1"/>
          <w:sz w:val="24"/>
          <w:szCs w:val="24"/>
          <w14:textFill>
            <w14:solidFill>
              <w14:schemeClr w14:val="tx1"/>
            </w14:solidFill>
          </w14:textFill>
        </w:rPr>
        <w:t>1. 评审方法</w:t>
      </w:r>
      <w:bookmarkEnd w:id="0"/>
    </w:p>
    <w:p>
      <w:pPr>
        <w:pStyle w:val="5"/>
        <w:spacing w:before="0" w:after="0"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bookmarkStart w:id="1" w:name="_Toc3426"/>
      <w:r>
        <w:rPr>
          <w:rFonts w:hint="eastAsia" w:ascii="宋体" w:hAnsi="宋体" w:eastAsia="宋体" w:cs="宋体"/>
          <w:b w:val="0"/>
          <w:bCs w:val="0"/>
          <w:color w:val="000000" w:themeColor="text1"/>
          <w:sz w:val="24"/>
          <w:szCs w:val="24"/>
          <w14:textFill>
            <w14:solidFill>
              <w14:schemeClr w14:val="tx1"/>
            </w14:solidFill>
          </w14:textFill>
        </w:rPr>
        <w:t>本次评审采用综合评分法。</w:t>
      </w:r>
      <w:r>
        <w:rPr>
          <w:rFonts w:hint="eastAsia" w:ascii="宋体" w:hAnsi="宋体" w:eastAsia="宋体" w:cs="宋体"/>
          <w:b w:val="0"/>
          <w:bCs w:val="0"/>
          <w:color w:val="000000" w:themeColor="text1"/>
          <w:sz w:val="24"/>
          <w:szCs w:val="24"/>
          <w:lang w:eastAsia="zh-CN"/>
          <w14:textFill>
            <w14:solidFill>
              <w14:schemeClr w14:val="tx1"/>
            </w14:solidFill>
          </w14:textFill>
        </w:rPr>
        <w:t>询比采购</w:t>
      </w:r>
      <w:r>
        <w:rPr>
          <w:rFonts w:hint="eastAsia" w:ascii="宋体" w:hAnsi="宋体" w:eastAsia="宋体" w:cs="宋体"/>
          <w:b w:val="0"/>
          <w:bCs w:val="0"/>
          <w:color w:val="000000" w:themeColor="text1"/>
          <w:sz w:val="24"/>
          <w:szCs w:val="24"/>
          <w14:textFill>
            <w14:solidFill>
              <w14:schemeClr w14:val="tx1"/>
            </w14:solidFill>
          </w14:textFill>
        </w:rPr>
        <w:t>小组将按综合评分表中规定的各项分值进行打分并计算出各供应商的综合得分，按得分由高到低推荐成交候选供应商排序的评审方法。</w:t>
      </w:r>
      <w:bookmarkEnd w:id="1"/>
    </w:p>
    <w:p>
      <w:pPr>
        <w:pStyle w:val="5"/>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2" w:name="_Toc1135"/>
      <w:r>
        <w:rPr>
          <w:rFonts w:hint="eastAsia" w:ascii="宋体" w:hAnsi="宋体" w:eastAsia="宋体" w:cs="宋体"/>
          <w:color w:val="000000" w:themeColor="text1"/>
          <w:sz w:val="24"/>
          <w:szCs w:val="24"/>
          <w14:textFill>
            <w14:solidFill>
              <w14:schemeClr w14:val="tx1"/>
            </w14:solidFill>
          </w14:textFill>
        </w:rPr>
        <w:t>2. 评审标准</w:t>
      </w:r>
      <w:bookmarkEnd w:id="2"/>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2.1资格审查</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资格审查标准：见附表 1“资格审查表”。</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2.2符合性审查</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符合性审查标准：见附表 2“符合性审查表”：只有通过符合性审查的供应商，才能进入下一步评审。</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2.3详细评审标准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详细评审标准：见附表 3“综合评分表”。</w:t>
      </w:r>
    </w:p>
    <w:p>
      <w:pPr>
        <w:pStyle w:val="5"/>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3" w:name="_Toc26167"/>
      <w:r>
        <w:rPr>
          <w:rFonts w:hint="eastAsia" w:ascii="宋体" w:hAnsi="宋体" w:eastAsia="宋体" w:cs="宋体"/>
          <w:color w:val="000000" w:themeColor="text1"/>
          <w:sz w:val="24"/>
          <w:szCs w:val="24"/>
          <w14:textFill>
            <w14:solidFill>
              <w14:schemeClr w14:val="tx1"/>
            </w14:solidFill>
          </w14:textFill>
        </w:rPr>
        <w:t>3.评审程序</w:t>
      </w:r>
      <w:bookmarkEnd w:id="3"/>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3.1资格审查：详见附表 1。</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3.2符合性审查</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小组成员依据附表2的要求进行符合性审查表。</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3.2.2响应文件属下列情况之一的，</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小组将在附表 2“符合性审查表”作为无效响应处理：</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报价是否超过采购预算；</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服务期限不能满足询比文件要求的；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质量要求不满足询比文件要求的；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未按询比文件缴纳保证金的；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未按照询比采购文件规定要求密封、签署、盖章的；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响应文件中附有采购人不能接受的条件的；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不符合法律、法规和询比采购文件中规定的其他实质性要求的。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详细评审</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小组成员按附表 3“综合评分表”规定的评分因素进行综合评分。</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小组发现供应商的报价明显低于其他供应商报价，使得其报价可能低于其成本的，应当要求该供应商作出书面说明并提供相应的证明材料。供应商不能合理说明或者不能提供相应证明材料的，由</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小组认定该供应商以低于成本报价恶性竞争，否决其响应文件。</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3.2.3 价格分评审办法：</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①综合评分法中的价格分统一按照下列公式计算：</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所有有效投标人下浮率的平均价（按平均价公式计算）为基准价，当投标人投标报价下浮率（即优惠让利下浮百分比）等于评标基准价时得满分，投标报价下浮率与评标基准价相比较（差值），每向上浮动1%（差值）或每向下浮动1%（差值）的扣0.5分，分数扣完为止。</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 统分原则</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3.3.1 </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小组应首先对各供应商报价响应文件进行评审，各分档评分中间采用插入法评分（小数点保留一位），由各小组成员自主评分并签字确认。</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3.3.2报价分值按公式计算，小数点后保留两位。</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3.3.3统计分数原则：所有</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小组成员打分的算术平均值为供应商的最后得分（保留小数点后两位）。</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3.3.4经</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确定最终采购需求和提交最后报价的供应商后，由</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采用综合评分法对各供应商的技术部分评审得分加最终报价计算得分为供应商总得分，以综合得分最高的供应商推荐为第一成交候选人，若出现得分最高分并列时，按最终报价最低的供应商为第一成交候选人，再按综合得分由高到低顺序推荐第二、三成交候选人。并编写评审报告。</w:t>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附表1   资格</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14:textFill>
            <w14:solidFill>
              <w14:schemeClr w14:val="tx1"/>
            </w14:solidFill>
          </w14:textFill>
        </w:rPr>
        <w:t>表</w:t>
      </w:r>
    </w:p>
    <w:tbl>
      <w:tblPr>
        <w:tblStyle w:val="13"/>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99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审查内容</w:t>
            </w:r>
          </w:p>
        </w:tc>
        <w:tc>
          <w:tcPr>
            <w:tcW w:w="4995"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审查因素</w:t>
            </w:r>
          </w:p>
        </w:tc>
        <w:tc>
          <w:tcPr>
            <w:tcW w:w="396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restart"/>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资格审查标准</w:t>
            </w:r>
          </w:p>
        </w:tc>
        <w:tc>
          <w:tcPr>
            <w:tcW w:w="4995" w:type="dxa"/>
            <w:vAlign w:val="center"/>
          </w:tcPr>
          <w:p>
            <w:pPr>
              <w:spacing w:line="4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《中华人民共和国政府采购法》第二十二条规定</w:t>
            </w:r>
          </w:p>
        </w:tc>
        <w:tc>
          <w:tcPr>
            <w:tcW w:w="3969" w:type="dxa"/>
            <w:vAlign w:val="center"/>
          </w:tcPr>
          <w:p>
            <w:pPr>
              <w:spacing w:line="420" w:lineRule="exact"/>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《中华人民共和国政府采购法》第二十二条规定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营业执照</w:t>
            </w:r>
          </w:p>
        </w:tc>
        <w:tc>
          <w:tcPr>
            <w:tcW w:w="3969" w:type="dxa"/>
            <w:vAlign w:val="center"/>
          </w:tcPr>
          <w:p>
            <w:pPr>
              <w:spacing w:line="42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章“询比采购须知前附表”第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宋体" w:hAnsi="宋体" w:eastAsia="宋体" w:cs="宋体"/>
                <w:color w:val="000000" w:themeColor="text1"/>
                <w:spacing w:val="7"/>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资质要求</w:t>
            </w:r>
          </w:p>
        </w:tc>
        <w:tc>
          <w:tcPr>
            <w:tcW w:w="3969" w:type="dxa"/>
            <w:vAlign w:val="center"/>
          </w:tcPr>
          <w:p>
            <w:pPr>
              <w:spacing w:line="420" w:lineRule="exact"/>
              <w:rPr>
                <w:rFonts w:hint="eastAsia" w:ascii="宋体" w:hAnsi="宋体" w:eastAsia="宋体" w:cs="宋体"/>
                <w:color w:val="000000" w:themeColor="text1"/>
                <w:spacing w:val="1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章“询比采购须知前附表”第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项目负责人</w:t>
            </w:r>
          </w:p>
        </w:tc>
        <w:tc>
          <w:tcPr>
            <w:tcW w:w="3969" w:type="dxa"/>
            <w:vAlign w:val="center"/>
          </w:tcPr>
          <w:p>
            <w:pPr>
              <w:spacing w:line="42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符合第二章“询比采购须知前附表”第七条相关规定。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宋体" w:hAnsi="宋体" w:eastAsia="宋体" w:cs="宋体"/>
                <w:color w:val="000000" w:themeColor="text1"/>
                <w:spacing w:val="7"/>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信誉要求</w:t>
            </w:r>
          </w:p>
        </w:tc>
        <w:tc>
          <w:tcPr>
            <w:tcW w:w="3969" w:type="dxa"/>
            <w:vAlign w:val="center"/>
          </w:tcPr>
          <w:p>
            <w:pPr>
              <w:spacing w:line="420" w:lineRule="exact"/>
              <w:rPr>
                <w:rFonts w:hint="eastAsia" w:ascii="宋体" w:hAnsi="宋体" w:eastAsia="宋体" w:cs="宋体"/>
                <w:color w:val="000000" w:themeColor="text1"/>
                <w:spacing w:val="1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章“询比采购须知前附表”第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01" w:type="dxa"/>
            <w:vMerge w:val="continue"/>
          </w:tcPr>
          <w:p>
            <w:pPr>
              <w:spacing w:line="360" w:lineRule="auto"/>
              <w:ind w:left="142" w:firstLine="480" w:firstLineChars="200"/>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pacing w:val="7"/>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其他要求</w:t>
            </w:r>
          </w:p>
        </w:tc>
        <w:tc>
          <w:tcPr>
            <w:tcW w:w="3969" w:type="dxa"/>
            <w:vAlign w:val="center"/>
          </w:tcPr>
          <w:p>
            <w:pPr>
              <w:spacing w:line="420" w:lineRule="exact"/>
              <w:rPr>
                <w:rFonts w:hint="eastAsia" w:ascii="宋体" w:hAnsi="宋体" w:eastAsia="宋体" w:cs="宋体"/>
                <w:color w:val="000000" w:themeColor="text1"/>
                <w:spacing w:val="1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符合第二章“询比采购须知前附表”第七条相关规定。</w:t>
            </w:r>
          </w:p>
        </w:tc>
      </w:tr>
    </w:tbl>
    <w:p>
      <w:pPr>
        <w:widowControl/>
        <w:jc w:val="left"/>
        <w:rPr>
          <w:rFonts w:hint="eastAsia" w:ascii="宋体" w:hAnsi="宋体" w:eastAsia="宋体" w:cs="宋体"/>
          <w:color w:val="000000" w:themeColor="text1"/>
          <w:sz w:val="24"/>
          <w:szCs w:val="24"/>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 2   符合性审查表</w:t>
      </w:r>
    </w:p>
    <w:tbl>
      <w:tblPr>
        <w:tblStyle w:val="12"/>
        <w:tblpPr w:leftFromText="180" w:rightFromText="180" w:vertAnchor="text" w:horzAnchor="page" w:tblpX="1271" w:tblpY="455"/>
        <w:tblOverlap w:val="never"/>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291"/>
        <w:gridCol w:w="1459"/>
        <w:gridCol w:w="1395"/>
        <w:gridCol w:w="143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908" w:type="dxa"/>
            <w:vMerge w:val="restart"/>
            <w:vAlign w:val="center"/>
          </w:tcPr>
          <w:p>
            <w:pPr>
              <w:widowControl/>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评审内容</w:t>
            </w:r>
          </w:p>
        </w:tc>
        <w:tc>
          <w:tcPr>
            <w:tcW w:w="5578" w:type="dxa"/>
            <w:gridSpan w:val="4"/>
            <w:vAlign w:val="top"/>
          </w:tcPr>
          <w:p>
            <w:pPr>
              <w:widowControl/>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供 应 商</w:t>
            </w:r>
          </w:p>
        </w:tc>
        <w:tc>
          <w:tcPr>
            <w:tcW w:w="1132" w:type="dxa"/>
            <w:vMerge w:val="restart"/>
            <w:vAlign w:val="top"/>
          </w:tcPr>
          <w:p>
            <w:pPr>
              <w:widowControl/>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询比采购</w:t>
            </w:r>
            <w:r>
              <w:rPr>
                <w:rFonts w:hint="eastAsia" w:ascii="宋体" w:hAnsi="宋体" w:eastAsia="宋体" w:cs="宋体"/>
                <w:color w:val="000000" w:themeColor="text1"/>
                <w:kern w:val="0"/>
                <w:sz w:val="24"/>
                <w:szCs w:val="24"/>
                <w:lang w:bidi="ar"/>
                <w14:textFill>
                  <w14:solidFill>
                    <w14:schemeClr w14:val="tx1"/>
                  </w14:solidFill>
                </w14:textFill>
              </w:rPr>
              <w:t>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Merge w:val="continue"/>
            <w:vAlign w:val="center"/>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Align w:val="center"/>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报价是否超过采购预算；</w:t>
            </w: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restart"/>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Align w:val="center"/>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服务期限不能满足询比文件要求的；</w:t>
            </w: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Align w:val="center"/>
          </w:tcPr>
          <w:p>
            <w:pPr>
              <w:pStyle w:val="7"/>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质量要求不满足询比文件要求的；</w:t>
            </w: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8" w:type="dxa"/>
            <w:vAlign w:val="center"/>
          </w:tcPr>
          <w:p>
            <w:pPr>
              <w:widowControl/>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未按照</w:t>
            </w:r>
            <w:r>
              <w:rPr>
                <w:rFonts w:hint="eastAsia" w:ascii="宋体" w:hAnsi="宋体" w:eastAsia="宋体" w:cs="宋体"/>
                <w:color w:val="000000" w:themeColor="text1"/>
                <w:kern w:val="0"/>
                <w:sz w:val="24"/>
                <w:szCs w:val="24"/>
                <w:lang w:val="en-US" w:eastAsia="zh-CN" w:bidi="ar"/>
                <w14:textFill>
                  <w14:solidFill>
                    <w14:schemeClr w14:val="tx1"/>
                  </w14:solidFill>
                </w14:textFill>
              </w:rPr>
              <w:t>询比采购文件</w:t>
            </w:r>
            <w:r>
              <w:rPr>
                <w:rFonts w:hint="eastAsia" w:ascii="宋体" w:hAnsi="宋体" w:eastAsia="宋体" w:cs="宋体"/>
                <w:color w:val="000000" w:themeColor="text1"/>
                <w:kern w:val="0"/>
                <w:sz w:val="24"/>
                <w:szCs w:val="24"/>
                <w:lang w:bidi="ar"/>
                <w14:textFill>
                  <w14:solidFill>
                    <w14:schemeClr w14:val="tx1"/>
                  </w14:solidFill>
                </w14:textFill>
              </w:rPr>
              <w:t>规定要求密封、签署、盖章的；</w:t>
            </w: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8" w:type="dxa"/>
            <w:vAlign w:val="center"/>
          </w:tcPr>
          <w:p>
            <w:pPr>
              <w:widowControl/>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响应文件中附有采购人不能接受的条件的；</w:t>
            </w: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908" w:type="dxa"/>
            <w:vAlign w:val="center"/>
          </w:tcPr>
          <w:p>
            <w:pPr>
              <w:widowControl/>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不符合法律、法规和</w:t>
            </w:r>
            <w:r>
              <w:rPr>
                <w:rFonts w:hint="eastAsia" w:ascii="宋体" w:hAnsi="宋体" w:eastAsia="宋体" w:cs="宋体"/>
                <w:color w:val="000000" w:themeColor="text1"/>
                <w:kern w:val="0"/>
                <w:sz w:val="24"/>
                <w:szCs w:val="24"/>
                <w:lang w:val="en-US" w:eastAsia="zh-CN" w:bidi="ar"/>
                <w14:textFill>
                  <w14:solidFill>
                    <w14:schemeClr w14:val="tx1"/>
                  </w14:solidFill>
                </w14:textFill>
              </w:rPr>
              <w:t>询比采购</w:t>
            </w:r>
            <w:r>
              <w:rPr>
                <w:rFonts w:hint="eastAsia" w:ascii="宋体" w:hAnsi="宋体" w:eastAsia="宋体" w:cs="宋体"/>
                <w:color w:val="000000" w:themeColor="text1"/>
                <w:kern w:val="0"/>
                <w:sz w:val="24"/>
                <w:szCs w:val="24"/>
                <w:lang w:bidi="ar"/>
                <w14:textFill>
                  <w14:solidFill>
                    <w14:schemeClr w14:val="tx1"/>
                  </w14:solidFill>
                </w14:textFill>
              </w:rPr>
              <w:t>文件中规定的其他实质性要求的。</w:t>
            </w: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908" w:type="dxa"/>
            <w:vAlign w:val="top"/>
          </w:tcPr>
          <w:p>
            <w:pPr>
              <w:widowControl/>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评 审 结 论</w:t>
            </w:r>
          </w:p>
        </w:tc>
        <w:tc>
          <w:tcPr>
            <w:tcW w:w="1291"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7"/>
              <w:rPr>
                <w:rFonts w:hint="eastAsia" w:ascii="宋体" w:hAnsi="宋体" w:eastAsia="宋体" w:cs="宋体"/>
                <w:bCs/>
                <w:color w:val="000000" w:themeColor="text1"/>
                <w:sz w:val="24"/>
                <w:szCs w:val="24"/>
                <w:lang w:val="en-US" w:eastAsia="zh-CN"/>
                <w14:textFill>
                  <w14:solidFill>
                    <w14:schemeClr w14:val="tx1"/>
                  </w14:solidFill>
                </w14:textFill>
              </w:rPr>
            </w:pPr>
          </w:p>
        </w:tc>
      </w:tr>
    </w:tbl>
    <w:p>
      <w:pPr>
        <w:pStyle w:val="7"/>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项目名称：</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lang w:val="en-US" w:eastAsia="zh-CN"/>
          <w14:textFill>
            <w14:solidFill>
              <w14:schemeClr w14:val="tx1"/>
            </w14:solidFill>
          </w14:textFill>
        </w:rPr>
        <w:t>地点：</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p>
    <w:p>
      <w:pPr>
        <w:pStyle w:val="7"/>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评审日期：   年  月  日 </w:t>
      </w:r>
    </w:p>
    <w:p>
      <w:pPr>
        <w:pStyle w:val="8"/>
        <w:rPr>
          <w:rFonts w:hint="eastAsia"/>
          <w:color w:val="000000" w:themeColor="text1"/>
          <w14:textFill>
            <w14:solidFill>
              <w14:schemeClr w14:val="tx1"/>
            </w14:solidFill>
          </w14:textFill>
        </w:rPr>
      </w:pPr>
    </w:p>
    <w:p>
      <w:pPr>
        <w:widowControl/>
        <w:ind w:firstLine="9360" w:firstLineChars="39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注：本表内评审内容对应填写“合格”或“不合格”；评审结论对应填写“通过”或“不通过”。若有一项评审内容为“不合格”则评审结论为“不通过”。</w:t>
      </w:r>
    </w:p>
    <w:p>
      <w:pPr>
        <w:widowControl/>
        <w:jc w:val="left"/>
        <w:rPr>
          <w:rFonts w:hint="eastAsia" w:ascii="宋体" w:hAnsi="宋体" w:eastAsia="宋体" w:cs="宋体"/>
          <w:color w:val="000000" w:themeColor="text1"/>
          <w:sz w:val="24"/>
          <w:szCs w:val="24"/>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附表3   综合评分表</w:t>
      </w:r>
    </w:p>
    <w:tbl>
      <w:tblPr>
        <w:tblStyle w:val="13"/>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244"/>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80" w:type="dxa"/>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评审内容</w:t>
            </w:r>
          </w:p>
        </w:tc>
        <w:tc>
          <w:tcPr>
            <w:tcW w:w="7914" w:type="dxa"/>
            <w:gridSpan w:val="2"/>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80" w:type="dxa"/>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价格分评审（满分</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7914" w:type="dxa"/>
            <w:gridSpan w:val="2"/>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分法中的价格分计算方式：以所有有效投标人下浮率的平均价（按平均价公式计算）为基准价，当投标人投标报价下浮率（即优惠让利下浮百分比）等于评标基准价时得满分，投标报价下浮率与评标基准价相比较（差值），每向上浮动1%（差值）或每向下浮动1%（差值）的扣0.5分，分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Merge w:val="restart"/>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val="en-US" w:eastAsia="zh-CN"/>
                <w14:textFill>
                  <w14:solidFill>
                    <w14:schemeClr w14:val="tx1"/>
                  </w14:solidFill>
                </w14:textFill>
              </w:rPr>
              <w:t>及技术</w:t>
            </w:r>
            <w:r>
              <w:rPr>
                <w:rFonts w:hint="eastAsia" w:ascii="宋体" w:hAnsi="宋体" w:eastAsia="宋体" w:cs="宋体"/>
                <w:color w:val="000000" w:themeColor="text1"/>
                <w:sz w:val="24"/>
                <w:szCs w:val="24"/>
                <w14:textFill>
                  <w14:solidFill>
                    <w14:schemeClr w14:val="tx1"/>
                  </w14:solidFill>
                </w14:textFill>
              </w:rPr>
              <w:t>部分评审（满分</w:t>
            </w:r>
            <w:r>
              <w:rPr>
                <w:rFonts w:hint="eastAsia" w:ascii="宋体" w:hAnsi="宋体" w:cs="宋体"/>
                <w:color w:val="000000" w:themeColor="text1"/>
                <w:sz w:val="24"/>
                <w:szCs w:val="24"/>
                <w:lang w:val="en-US" w:eastAsia="zh-CN"/>
                <w14:textFill>
                  <w14:solidFill>
                    <w14:schemeClr w14:val="tx1"/>
                  </w14:solidFill>
                </w14:textFill>
              </w:rPr>
              <w:t>85</w:t>
            </w:r>
            <w:r>
              <w:rPr>
                <w:rFonts w:hint="eastAsia" w:ascii="宋体" w:hAnsi="宋体" w:eastAsia="宋体" w:cs="宋体"/>
                <w:color w:val="000000" w:themeColor="text1"/>
                <w:sz w:val="24"/>
                <w:szCs w:val="24"/>
                <w14:textFill>
                  <w14:solidFill>
                    <w14:schemeClr w14:val="tx1"/>
                  </w14:solidFill>
                </w14:textFill>
              </w:rPr>
              <w:t>分）</w:t>
            </w:r>
          </w:p>
        </w:tc>
        <w:tc>
          <w:tcPr>
            <w:tcW w:w="2244" w:type="dxa"/>
            <w:vAlign w:val="center"/>
          </w:tcPr>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服务方案（满分</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5670"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方案安排描述完整，内容合理，针对性强重点突出、考虑全面，项目实施期限短，时间安排计划科学合理、且有较强的可操作性、可执行性，针对本项目提出的服务违约处罚措施全面、具体，针对性强，可行性强</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24-30分</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方案描述较完整，内容较合理，针对性较强，时间计划安排方案完善，响应时间满足招标文件需求，时间安排计划合理、有可操作性、可执行性，针对本项目提出的服务违约措施基本完整，具有一定针对性，具有一定可行性</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16-23分</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方案描述基本完整，内容基本合理，有一定针对性，时间计划安排方案一般，内容不够详尽，响应时间基本满足招标文件需求，时间安排计划基本合理，可操作性、可执行性一般，针对本项目提出的服务违约措施一般，针对性、可行性一般</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8-15分</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服务方案描述不完整，不具有针对性，时间计划安排方案较差，响应时间较慢，时间安排计划不合理，可操作性、可执行性较差，针对本项目提出的服务违约措施不明确、有缺漏，针对性、可行性较差</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1-8分</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服务方案描述内容杂乱，内容不合理，时间计划安排方案差，响应时间不满足招标文件需求，时间计划不合理，无可操作性、可执行性，针对本项目提出的服务违约措施有重大缺漏，针对性、可行性差</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0分</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重点、难点分析以及建设性意见与建议评审评分（</w:t>
            </w:r>
            <w:r>
              <w:rPr>
                <w:rFonts w:hint="eastAsia" w:ascii="宋体" w:hAnsi="宋体" w:eastAsia="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20分</w:t>
            </w:r>
            <w:r>
              <w:rPr>
                <w:rFonts w:hint="eastAsia" w:ascii="宋体" w:hAnsi="宋体" w:cs="宋体"/>
                <w:color w:val="000000" w:themeColor="text1"/>
                <w:sz w:val="24"/>
                <w:szCs w:val="24"/>
                <w:lang w:eastAsia="zh-CN"/>
                <w14:textFill>
                  <w14:solidFill>
                    <w14:schemeClr w14:val="tx1"/>
                  </w14:solidFill>
                </w14:textFill>
              </w:rPr>
              <w:t>）</w:t>
            </w:r>
          </w:p>
        </w:tc>
        <w:tc>
          <w:tcPr>
            <w:tcW w:w="5670" w:type="dxa"/>
            <w:vAlign w:val="center"/>
          </w:tcPr>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供应商针对本项目重点、难点分析详细到位，且针对重点、难点有完善的解决方案，对项目理解透彻，能提出建设性的意见与建议</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16-20分</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供应商针对本项目重点、难点分析较详细到位，且针对重点、难点有较好的解决方案，对项目理解较透彻，能提出较好的意见与建议</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11—15分</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供应商针对本项目重点、难点分析基本到位，且针对重点、难点有基本的解决方案，对项目理解较一般，提出的意见与建议一般</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6-10分</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供应商针对本项目重点、难点分析不够完善，且针对重点、难点提供的解决方案有缺漏，对项目理解较差，提出的意见与建议较差</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1-5分</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供应商针对本项目重点、难点分析差，且针对重点、难点提供的解决方案有重大缺漏，对项目理解度差</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0分</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adjustRightInd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服务质量承诺及保证措施（</w:t>
            </w:r>
            <w:r>
              <w:rPr>
                <w:rFonts w:hint="eastAsia" w:ascii="宋体" w:hAnsi="宋体" w:eastAsia="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10分</w:t>
            </w:r>
            <w:r>
              <w:rPr>
                <w:rFonts w:hint="eastAsia" w:ascii="宋体" w:hAnsi="宋体" w:cs="宋体"/>
                <w:color w:val="000000" w:themeColor="text1"/>
                <w:sz w:val="24"/>
                <w:szCs w:val="24"/>
                <w:lang w:eastAsia="zh-CN"/>
                <w14:textFill>
                  <w14:solidFill>
                    <w14:schemeClr w14:val="tx1"/>
                  </w14:solidFill>
                </w14:textFill>
              </w:rPr>
              <w:t>）</w:t>
            </w:r>
          </w:p>
        </w:tc>
        <w:tc>
          <w:tcPr>
            <w:tcW w:w="5670" w:type="dxa"/>
            <w:vAlign w:val="center"/>
          </w:tcPr>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有对本项目服务质量有具体</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lang w:val="en-US" w:eastAsia="zh-CN"/>
                <w14:textFill>
                  <w14:solidFill>
                    <w14:schemeClr w14:val="tx1"/>
                  </w14:solidFill>
                </w14:textFill>
              </w:rPr>
              <w:t>外，质量保证措施全面、合理可行，有具体的违约责任承诺，对本项目有较强的</w:t>
            </w:r>
            <w:r>
              <w:rPr>
                <w:rFonts w:hint="eastAsia" w:ascii="宋体" w:hAnsi="宋体" w:cs="宋体"/>
                <w:color w:val="000000" w:themeColor="text1"/>
                <w:sz w:val="24"/>
                <w:szCs w:val="24"/>
                <w:lang w:val="en-US" w:eastAsia="zh-CN"/>
                <w14:textFill>
                  <w14:solidFill>
                    <w14:schemeClr w14:val="tx1"/>
                  </w14:solidFill>
                </w14:textFill>
              </w:rPr>
              <w:t>针对性</w:t>
            </w:r>
            <w:r>
              <w:rPr>
                <w:rFonts w:hint="eastAsia" w:ascii="宋体" w:hAnsi="宋体" w:eastAsia="宋体" w:cs="宋体"/>
                <w:color w:val="000000" w:themeColor="text1"/>
                <w:sz w:val="24"/>
                <w:szCs w:val="24"/>
                <w:lang w:val="en-US" w:eastAsia="zh-CN"/>
                <w14:textFill>
                  <w14:solidFill>
                    <w14:schemeClr w14:val="tx1"/>
                  </w14:solidFill>
                </w14:textFill>
              </w:rPr>
              <w:t>的，得7-10分</w:t>
            </w:r>
            <w:r>
              <w:rPr>
                <w:rFonts w:hint="eastAsia" w:ascii="宋体" w:hAnsi="宋体" w:cs="宋体"/>
                <w:color w:val="000000" w:themeColor="text1"/>
                <w:sz w:val="24"/>
                <w:szCs w:val="24"/>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(2)有对本项目服务质量的具体承诺，服务</w:t>
            </w:r>
            <w:r>
              <w:rPr>
                <w:rFonts w:hint="eastAsia" w:ascii="宋体" w:hAnsi="宋体" w:cs="宋体"/>
                <w:color w:val="000000" w:themeColor="text1"/>
                <w:sz w:val="24"/>
                <w:szCs w:val="24"/>
                <w:lang w:val="en-US" w:eastAsia="zh-CN"/>
                <w14:textFill>
                  <w14:solidFill>
                    <w14:schemeClr w14:val="tx1"/>
                  </w14:solidFill>
                </w14:textFill>
              </w:rPr>
              <w:t>承诺、质</w:t>
            </w:r>
            <w:r>
              <w:rPr>
                <w:rFonts w:hint="eastAsia" w:ascii="宋体" w:hAnsi="宋体" w:eastAsia="宋体" w:cs="宋体"/>
                <w:color w:val="000000" w:themeColor="text1"/>
                <w:sz w:val="24"/>
                <w:szCs w:val="24"/>
                <w:lang w:val="en-US" w:eastAsia="zh-CN"/>
                <w14:textFill>
                  <w14:solidFill>
                    <w14:schemeClr w14:val="tx1"/>
                  </w14:solidFill>
                </w14:textFill>
              </w:rPr>
              <w:t>量保证措施全面、合理，有违约具体责任承诺，对</w:t>
            </w:r>
            <w:r>
              <w:rPr>
                <w:rFonts w:hint="eastAsia" w:ascii="宋体" w:hAnsi="宋体" w:cs="宋体"/>
                <w:color w:val="000000" w:themeColor="text1"/>
                <w:sz w:val="24"/>
                <w:szCs w:val="24"/>
                <w:lang w:val="en-US" w:eastAsia="zh-CN"/>
                <w14:textFill>
                  <w14:solidFill>
                    <w14:schemeClr w14:val="tx1"/>
                  </w14:solidFill>
                </w14:textFill>
              </w:rPr>
              <w:t>本</w:t>
            </w:r>
            <w:r>
              <w:rPr>
                <w:rFonts w:hint="eastAsia" w:ascii="宋体" w:hAnsi="宋体" w:eastAsia="宋体" w:cs="宋体"/>
                <w:color w:val="000000" w:themeColor="text1"/>
                <w:sz w:val="24"/>
                <w:szCs w:val="24"/>
                <w:lang w:val="en-US" w:eastAsia="zh-CN"/>
                <w14:textFill>
                  <w14:solidFill>
                    <w14:schemeClr w14:val="tx1"/>
                  </w14:solidFill>
                </w14:textFill>
              </w:rPr>
              <w:t>项目针对性欠佳的，得4-6分</w:t>
            </w:r>
            <w:r>
              <w:rPr>
                <w:rFonts w:hint="eastAsia" w:ascii="宋体" w:hAnsi="宋体" w:cs="宋体"/>
                <w:color w:val="000000" w:themeColor="text1"/>
                <w:sz w:val="24"/>
                <w:szCs w:val="24"/>
                <w:lang w:val="en-US" w:eastAsia="zh-CN"/>
                <w14:textFill>
                  <w14:solidFill>
                    <w14:schemeClr w14:val="tx1"/>
                  </w14:solidFill>
                </w14:textFill>
              </w:rPr>
              <w:t>；</w:t>
            </w:r>
          </w:p>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(3)有对本项目服务质量的</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lang w:val="en-US" w:eastAsia="zh-CN"/>
                <w14:textFill>
                  <w14:solidFill>
                    <w14:schemeClr w14:val="tx1"/>
                  </w14:solidFill>
                </w14:textFill>
              </w:rPr>
              <w:t>服务承诺、质量保证措施基本合理、有违约责任承诺但不具</w:t>
            </w:r>
            <w:r>
              <w:rPr>
                <w:rFonts w:hint="eastAsia" w:ascii="宋体" w:hAnsi="宋体" w:cs="宋体"/>
                <w:color w:val="000000" w:themeColor="text1"/>
                <w:sz w:val="24"/>
                <w:szCs w:val="24"/>
                <w:lang w:val="en-US" w:eastAsia="zh-CN"/>
                <w14:textFill>
                  <w14:solidFill>
                    <w14:schemeClr w14:val="tx1"/>
                  </w14:solidFill>
                </w14:textFill>
              </w:rPr>
              <w:t>体</w:t>
            </w:r>
            <w:r>
              <w:rPr>
                <w:rFonts w:hint="eastAsia" w:ascii="宋体" w:hAnsi="宋体" w:eastAsia="宋体" w:cs="宋体"/>
                <w:color w:val="000000" w:themeColor="text1"/>
                <w:sz w:val="24"/>
                <w:szCs w:val="24"/>
                <w:lang w:val="en-US" w:eastAsia="zh-CN"/>
                <w14:textFill>
                  <w14:solidFill>
                    <w14:schemeClr w14:val="tx1"/>
                  </w14:solidFill>
                </w14:textFill>
              </w:rPr>
              <w:t>的，无针对性的，得1-3分</w:t>
            </w:r>
            <w:r>
              <w:rPr>
                <w:rFonts w:hint="eastAsia" w:ascii="宋体" w:hAnsi="宋体" w:cs="宋体"/>
                <w:color w:val="000000" w:themeColor="text1"/>
                <w:sz w:val="24"/>
                <w:szCs w:val="24"/>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(4)无服务质量承诺及保证措施的，得0分。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adjustRightIn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项目团队人员配备（</w:t>
            </w:r>
            <w:r>
              <w:rPr>
                <w:rFonts w:hint="eastAsia" w:ascii="宋体" w:hAnsi="宋体" w:eastAsia="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15分</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5670" w:type="dxa"/>
            <w:vAlign w:val="center"/>
          </w:tcPr>
          <w:p>
            <w:pPr>
              <w:adjustRightIn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拟投入本项目的项目组织机构管理体系完善，针对性强，有科学严谨的管理程序；人员安排、配置合理齐全、职责分工明确、且主要管理服务人员管理经验丰富的</w:t>
            </w:r>
            <w:r>
              <w:rPr>
                <w:rFonts w:hint="eastAsia" w:ascii="宋体" w:hAnsi="宋体" w:cs="宋体"/>
                <w:color w:val="000000" w:themeColor="text1"/>
                <w:sz w:val="24"/>
                <w:szCs w:val="24"/>
                <w:lang w:eastAsia="zh-CN"/>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12-15分</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拟投入本项目的项目组织机构管理体系较完善，有针对性，有管理程序；人员安排、配置基本合理，主要管理服务人员管理经验一般的</w:t>
            </w:r>
            <w:r>
              <w:rPr>
                <w:rFonts w:hint="eastAsia" w:ascii="宋体" w:hAnsi="宋体" w:cs="宋体"/>
                <w:color w:val="000000" w:themeColor="text1"/>
                <w:sz w:val="24"/>
                <w:szCs w:val="24"/>
                <w:lang w:eastAsia="zh-CN"/>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7-11分</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拟投入本项目的项目组织机构管理体系基本完善，针对性一般，有管理程序；人员安排、配置基本合理，主要管理服务人员管理经验一般的</w:t>
            </w:r>
            <w:r>
              <w:rPr>
                <w:rFonts w:hint="eastAsia" w:ascii="宋体" w:hAnsi="宋体" w:cs="宋体"/>
                <w:color w:val="000000" w:themeColor="text1"/>
                <w:sz w:val="24"/>
                <w:szCs w:val="24"/>
                <w:lang w:eastAsia="zh-CN"/>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4-6分</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拟投入本项目的项目组织机构管理体系不完善，没有针对性，有管理程序；主要驻场人员安排及管理有疏漏，主要服务管理人员管理经验欠缺的</w:t>
            </w:r>
            <w:r>
              <w:rPr>
                <w:rFonts w:hint="eastAsia" w:ascii="宋体" w:hAnsi="宋体" w:cs="宋体"/>
                <w:color w:val="000000" w:themeColor="text1"/>
                <w:sz w:val="24"/>
                <w:szCs w:val="24"/>
                <w:lang w:eastAsia="zh-CN"/>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1-3分</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拟投入本项目的项目组织机构管理体系不完善，管理程序杂乱；没有驻场人员及管理经验的</w:t>
            </w:r>
            <w:r>
              <w:rPr>
                <w:rFonts w:hint="eastAsia" w:ascii="宋体" w:hAnsi="宋体" w:cs="宋体"/>
                <w:color w:val="000000" w:themeColor="text1"/>
                <w:sz w:val="24"/>
                <w:szCs w:val="24"/>
                <w:lang w:eastAsia="zh-CN"/>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0分</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业绩（满分10分）</w:t>
            </w:r>
          </w:p>
        </w:tc>
        <w:tc>
          <w:tcPr>
            <w:tcW w:w="5670" w:type="dxa"/>
            <w:vAlign w:val="center"/>
          </w:tcPr>
          <w:p>
            <w:pPr>
              <w:adjustRightInd w:val="0"/>
              <w:spacing w:line="360" w:lineRule="auto"/>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根据供应商20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cs="Times New Roman"/>
                <w:color w:val="000000" w:themeColor="text1"/>
                <w:sz w:val="24"/>
                <w:szCs w:val="24"/>
                <w:highlight w:val="none"/>
                <w:lang w:eastAsia="zh-CN"/>
                <w14:textFill>
                  <w14:solidFill>
                    <w14:schemeClr w14:val="tx1"/>
                  </w14:solidFill>
                </w14:textFill>
              </w:rPr>
              <w:t>至今</w:t>
            </w:r>
            <w:r>
              <w:rPr>
                <w:rFonts w:hint="eastAsia" w:ascii="Times New Roman" w:hAnsi="Times New Roman" w:eastAsia="宋体" w:cs="Times New Roman"/>
                <w:color w:val="000000" w:themeColor="text1"/>
                <w:sz w:val="24"/>
                <w:szCs w:val="24"/>
                <w:highlight w:val="none"/>
                <w14:textFill>
                  <w14:solidFill>
                    <w14:schemeClr w14:val="tx1"/>
                  </w14:solidFill>
                </w14:textFill>
              </w:rPr>
              <w:t>已完成或正在实施的类似案例进行评价打分，每提供一个类似案例得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分，满分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adjustRightInd w:val="0"/>
              <w:spacing w:line="360" w:lineRule="auto"/>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注：响应文件中须提供业绩列表及相对应的业绩证明材料，业绩证明材料为中标通知书或合同协议书或业主证明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材料</w:t>
            </w:r>
            <w:r>
              <w:rPr>
                <w:rFonts w:hint="eastAsia" w:ascii="Times New Roman" w:hAnsi="Times New Roman" w:eastAsia="宋体" w:cs="Times New Roman"/>
                <w:color w:val="000000" w:themeColor="text1"/>
                <w:sz w:val="24"/>
                <w:szCs w:val="24"/>
                <w:highlight w:val="none"/>
                <w14:textFill>
                  <w14:solidFill>
                    <w14:schemeClr w14:val="tx1"/>
                  </w14:solidFill>
                </w14:textFill>
              </w:rPr>
              <w:t>；无证明材料或未按要求提供证明材料或证明材料无法体现内容的，不予认可。</w:t>
            </w:r>
          </w:p>
        </w:tc>
      </w:tr>
    </w:tbl>
    <w:p>
      <w:bookmarkStart w:id="4" w:name="_GoBack"/>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TRjMDYyNzg3ZTBmYTdhMDJhZWYzMGMwNDIwNTgifQ=="/>
  </w:docVars>
  <w:rsids>
    <w:rsidRoot w:val="00000000"/>
    <w:rsid w:val="06F51F99"/>
    <w:rsid w:val="0CC41B0E"/>
    <w:rsid w:val="46582664"/>
    <w:rsid w:val="5FB85D84"/>
    <w:rsid w:val="693D5D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4"/>
    <w:qFormat/>
    <w:uiPriority w:val="9"/>
    <w:pPr>
      <w:keepNext/>
      <w:keepLines/>
      <w:spacing w:before="340" w:after="330" w:line="578" w:lineRule="auto"/>
      <w:jc w:val="center"/>
      <w:outlineLvl w:val="0"/>
    </w:pPr>
    <w:rPr>
      <w:b/>
      <w:bCs/>
      <w:kern w:val="44"/>
      <w:sz w:val="32"/>
      <w:szCs w:val="4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1"/>
    <w:next w:val="1"/>
    <w:qFormat/>
    <w:uiPriority w:val="0"/>
    <w:pPr>
      <w:adjustRightInd w:val="0"/>
      <w:spacing w:line="420" w:lineRule="atLeast"/>
      <w:jc w:val="left"/>
      <w:textAlignment w:val="baseline"/>
    </w:pPr>
    <w:rPr>
      <w:kern w:val="0"/>
      <w:szCs w:val="20"/>
    </w:rPr>
  </w:style>
  <w:style w:type="paragraph" w:customStyle="1" w:styleId="4">
    <w:name w:val="默认"/>
    <w:qFormat/>
    <w:uiPriority w:val="0"/>
    <w:pPr>
      <w:spacing w:line="360" w:lineRule="auto"/>
    </w:pPr>
    <w:rPr>
      <w:rFonts w:ascii="宋体" w:hAnsi="宋体" w:eastAsia="宋体" w:cs="Calibri"/>
      <w:kern w:val="2"/>
      <w:sz w:val="24"/>
      <w:szCs w:val="21"/>
      <w:lang w:val="en-US" w:eastAsia="zh-CN" w:bidi="ar-SA"/>
    </w:rPr>
  </w:style>
  <w:style w:type="paragraph" w:styleId="6">
    <w:name w:val="Normal Indent"/>
    <w:basedOn w:val="1"/>
    <w:next w:val="1"/>
    <w:qFormat/>
    <w:uiPriority w:val="0"/>
    <w:pPr>
      <w:ind w:firstLine="420"/>
    </w:pPr>
  </w:style>
  <w:style w:type="paragraph" w:styleId="7">
    <w:name w:val="Body Text"/>
    <w:basedOn w:val="1"/>
    <w:next w:val="1"/>
    <w:qFormat/>
    <w:uiPriority w:val="99"/>
    <w:pPr>
      <w:spacing w:after="120"/>
    </w:pPr>
  </w:style>
  <w:style w:type="paragraph" w:styleId="8">
    <w:name w:val="Body Text Indent"/>
    <w:basedOn w:val="1"/>
    <w:next w:val="9"/>
    <w:qFormat/>
    <w:uiPriority w:val="99"/>
    <w:pPr>
      <w:spacing w:after="120"/>
      <w:ind w:left="420" w:leftChars="200"/>
    </w:pPr>
  </w:style>
  <w:style w:type="paragraph" w:styleId="9">
    <w:name w:val="Body Text First Indent 2"/>
    <w:basedOn w:val="8"/>
    <w:unhideWhenUsed/>
    <w:qFormat/>
    <w:uiPriority w:val="0"/>
    <w:pPr>
      <w:ind w:firstLine="420" w:firstLine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2712</Words>
  <Characters>2836</Characters>
  <Lines>0</Lines>
  <Paragraphs>0</Paragraphs>
  <TotalTime>0</TotalTime>
  <ScaleCrop>false</ScaleCrop>
  <LinksUpToDate>false</LinksUpToDate>
  <CharactersWithSpaces>2860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超越自己</cp:lastModifiedBy>
  <dcterms:modified xsi:type="dcterms:W3CDTF">2024-05-28T08:09:53Z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6CE3A8FFC1134A9EB5FCF41E01F9FE04_12</vt:lpwstr>
  </property>
</Properties>
</file>