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kinsoku/>
        <w:wordWrap/>
        <w:overflowPunct/>
        <w:topLinePunct w:val="0"/>
        <w:autoSpaceDE/>
        <w:autoSpaceDN/>
        <w:bidi w:val="0"/>
        <w:adjustRightInd/>
        <w:snapToGrid/>
        <w:spacing w:before="0" w:after="0" w:line="700" w:lineRule="exact"/>
        <w:ind w:left="0" w:leftChars="0" w:right="0" w:rightChars="0" w:firstLine="0" w:firstLineChars="0"/>
        <w:jc w:val="center"/>
        <w:textAlignment w:val="auto"/>
        <w:rPr>
          <w:rFonts w:ascii="宋体" w:hAnsi="宋体" w:eastAsia="宋体" w:cs="宋体"/>
          <w:color w:val="auto"/>
          <w:sz w:val="36"/>
          <w:szCs w:val="36"/>
          <w:lang w:val="zh-CN"/>
        </w:rPr>
      </w:pPr>
      <w:r>
        <w:rPr>
          <w:rFonts w:ascii="宋体" w:hAnsi="宋体" w:eastAsia="宋体" w:cs="宋体"/>
          <w:color w:val="auto"/>
          <w:sz w:val="36"/>
          <w:szCs w:val="36"/>
          <w:lang w:val="zh-CN"/>
        </w:rPr>
        <w:t>评标办法</w:t>
      </w:r>
    </w:p>
    <w:p>
      <w:pPr>
        <w:pStyle w:val="2"/>
        <w:keepNext/>
        <w:keepLines/>
        <w:pageBreakBefore w:val="0"/>
        <w:widowControl/>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rFonts w:ascii="宋体" w:hAnsi="宋体" w:cs="宋体"/>
          <w:color w:val="auto"/>
          <w:sz w:val="30"/>
          <w:szCs w:val="30"/>
          <w:lang w:val="zh-CN"/>
        </w:rPr>
      </w:pPr>
      <w:bookmarkStart w:id="0" w:name="_Toc398022653"/>
      <w:bookmarkEnd w:id="0"/>
      <w:r>
        <w:rPr>
          <w:rFonts w:ascii="宋体" w:hAnsi="宋体" w:cs="宋体"/>
          <w:color w:val="auto"/>
          <w:sz w:val="30"/>
          <w:szCs w:val="30"/>
          <w:lang w:val="zh-CN"/>
        </w:rPr>
        <w:t>评标办法前附表</w:t>
      </w:r>
    </w:p>
    <w:tbl>
      <w:tblPr>
        <w:tblStyle w:val="7"/>
        <w:tblW w:w="9923" w:type="dxa"/>
        <w:jc w:val="center"/>
        <w:tblInd w:w="108" w:type="dxa"/>
        <w:tblLayout w:type="fixed"/>
        <w:tblCellMar>
          <w:top w:w="0" w:type="dxa"/>
          <w:left w:w="108" w:type="dxa"/>
          <w:bottom w:w="0" w:type="dxa"/>
          <w:right w:w="108" w:type="dxa"/>
        </w:tblCellMar>
      </w:tblPr>
      <w:tblGrid>
        <w:gridCol w:w="851"/>
        <w:gridCol w:w="142"/>
        <w:gridCol w:w="567"/>
        <w:gridCol w:w="141"/>
        <w:gridCol w:w="142"/>
        <w:gridCol w:w="142"/>
        <w:gridCol w:w="1984"/>
        <w:gridCol w:w="284"/>
        <w:gridCol w:w="2693"/>
        <w:gridCol w:w="2977"/>
      </w:tblGrid>
      <w:tr>
        <w:tblPrEx>
          <w:tblLayout w:type="fixed"/>
          <w:tblCellMar>
            <w:top w:w="0" w:type="dxa"/>
            <w:left w:w="108" w:type="dxa"/>
            <w:bottom w:w="0" w:type="dxa"/>
            <w:right w:w="108" w:type="dxa"/>
          </w:tblCellMar>
        </w:tblPrEx>
        <w:trPr>
          <w:cantSplit/>
          <w:trHeight w:val="453" w:hRule="atLeast"/>
          <w:jc w:val="center"/>
        </w:trPr>
        <w:tc>
          <w:tcPr>
            <w:tcW w:w="9923" w:type="dxa"/>
            <w:gridSpan w:val="10"/>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宋体" w:hAnsi="宋体" w:cs="宋体"/>
                <w:b/>
                <w:color w:val="auto"/>
                <w:sz w:val="24"/>
                <w:szCs w:val="24"/>
              </w:rPr>
            </w:pPr>
            <w:r>
              <w:rPr>
                <w:rFonts w:hint="eastAsia" w:ascii="宋体" w:hAnsi="宋体"/>
                <w:b/>
                <w:color w:val="auto"/>
                <w:sz w:val="24"/>
              </w:rPr>
              <w:t>2.1初步评审</w:t>
            </w:r>
          </w:p>
        </w:tc>
      </w:tr>
      <w:tr>
        <w:tblPrEx>
          <w:tblLayout w:type="fixed"/>
          <w:tblCellMar>
            <w:top w:w="0" w:type="dxa"/>
            <w:left w:w="108" w:type="dxa"/>
            <w:bottom w:w="0" w:type="dxa"/>
            <w:right w:w="108" w:type="dxa"/>
          </w:tblCellMar>
        </w:tblPrEx>
        <w:trPr>
          <w:cantSplit/>
          <w:trHeight w:val="453" w:hRule="atLeast"/>
          <w:jc w:val="center"/>
        </w:trPr>
        <w:tc>
          <w:tcPr>
            <w:tcW w:w="1701"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cs="宋体"/>
                <w:b/>
                <w:color w:val="auto"/>
                <w:sz w:val="24"/>
                <w:szCs w:val="24"/>
              </w:rPr>
            </w:pPr>
            <w:r>
              <w:rPr>
                <w:rFonts w:ascii="宋体" w:hAnsi="宋体" w:cs="宋体"/>
                <w:b/>
                <w:color w:val="auto"/>
                <w:sz w:val="24"/>
                <w:szCs w:val="24"/>
              </w:rPr>
              <w:t>条款号</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cs="宋体"/>
                <w:b/>
                <w:color w:val="auto"/>
                <w:sz w:val="24"/>
                <w:szCs w:val="24"/>
              </w:rPr>
            </w:pPr>
            <w:r>
              <w:rPr>
                <w:rFonts w:ascii="宋体" w:hAnsi="宋体" w:cs="宋体"/>
                <w:b/>
                <w:color w:val="auto"/>
                <w:sz w:val="24"/>
                <w:szCs w:val="24"/>
              </w:rPr>
              <w:t>评审因素</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cs="宋体"/>
                <w:b/>
                <w:color w:val="auto"/>
                <w:sz w:val="24"/>
                <w:szCs w:val="24"/>
              </w:rPr>
            </w:pPr>
            <w:r>
              <w:rPr>
                <w:rFonts w:ascii="宋体" w:hAnsi="宋体" w:cs="宋体"/>
                <w:b/>
                <w:color w:val="auto"/>
                <w:sz w:val="24"/>
                <w:szCs w:val="24"/>
              </w:rPr>
              <w:t>评审标准</w:t>
            </w:r>
          </w:p>
        </w:tc>
      </w:tr>
      <w:tr>
        <w:tblPrEx>
          <w:tblLayout w:type="fixed"/>
          <w:tblCellMar>
            <w:top w:w="0" w:type="dxa"/>
            <w:left w:w="108" w:type="dxa"/>
            <w:bottom w:w="0" w:type="dxa"/>
            <w:right w:w="108" w:type="dxa"/>
          </w:tblCellMar>
        </w:tblPrEx>
        <w:trPr>
          <w:trHeight w:val="252" w:hRule="atLeast"/>
          <w:jc w:val="center"/>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1.1</w:t>
            </w:r>
          </w:p>
        </w:tc>
        <w:tc>
          <w:tcPr>
            <w:tcW w:w="850"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color w:val="auto"/>
                <w:sz w:val="24"/>
              </w:rPr>
            </w:pPr>
            <w:r>
              <w:rPr>
                <w:rFonts w:hint="eastAsia" w:ascii="宋体" w:hAnsi="宋体"/>
                <w:color w:val="auto"/>
                <w:sz w:val="24"/>
              </w:rPr>
              <w:t>形式</w:t>
            </w:r>
          </w:p>
          <w:p>
            <w:pPr>
              <w:spacing w:line="300" w:lineRule="auto"/>
              <w:jc w:val="center"/>
              <w:rPr>
                <w:rFonts w:ascii="宋体" w:hAnsi="宋体"/>
                <w:color w:val="auto"/>
                <w:sz w:val="24"/>
              </w:rPr>
            </w:pPr>
            <w:r>
              <w:rPr>
                <w:rFonts w:hint="eastAsia" w:ascii="宋体" w:hAnsi="宋体"/>
                <w:color w:val="auto"/>
                <w:sz w:val="24"/>
              </w:rPr>
              <w:t>评审</w:t>
            </w:r>
          </w:p>
          <w:p>
            <w:pPr>
              <w:spacing w:line="300" w:lineRule="auto"/>
              <w:jc w:val="center"/>
              <w:rPr>
                <w:rFonts w:ascii="宋体" w:hAnsi="宋体" w:cs="宋体"/>
                <w:color w:val="auto"/>
                <w:sz w:val="24"/>
                <w:szCs w:val="24"/>
              </w:rPr>
            </w:pPr>
            <w:r>
              <w:rPr>
                <w:rFonts w:hint="eastAsia" w:ascii="宋体" w:hAnsi="宋体"/>
                <w:color w:val="auto"/>
                <w:sz w:val="24"/>
              </w:rPr>
              <w:t>标准</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50" w:lineRule="exact"/>
              <w:jc w:val="center"/>
              <w:rPr>
                <w:rFonts w:ascii="宋体" w:hAnsi="宋体"/>
                <w:color w:val="auto"/>
                <w:sz w:val="24"/>
                <w:szCs w:val="24"/>
              </w:rPr>
            </w:pPr>
            <w:r>
              <w:rPr>
                <w:color w:val="auto"/>
                <w:sz w:val="24"/>
                <w:szCs w:val="24"/>
              </w:rPr>
              <w:t>供应商名称</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auto"/>
                <w:sz w:val="24"/>
              </w:rPr>
            </w:pPr>
            <w:r>
              <w:rPr>
                <w:rFonts w:ascii="宋体" w:hAnsi="宋体"/>
                <w:color w:val="auto"/>
                <w:sz w:val="24"/>
              </w:rPr>
              <w:t>与营业执照</w:t>
            </w:r>
            <w:r>
              <w:rPr>
                <w:rFonts w:hint="eastAsia" w:ascii="宋体" w:hAnsi="宋体"/>
                <w:color w:val="auto"/>
                <w:sz w:val="24"/>
              </w:rPr>
              <w:t>、</w:t>
            </w:r>
            <w:r>
              <w:rPr>
                <w:rFonts w:hint="eastAsia"/>
                <w:color w:val="auto"/>
                <w:sz w:val="24"/>
              </w:rPr>
              <w:t>《药品经营许可证》、《医疗器械经营许可证》</w:t>
            </w:r>
            <w:r>
              <w:rPr>
                <w:rFonts w:ascii="宋体" w:hAnsi="宋体"/>
                <w:color w:val="auto"/>
                <w:sz w:val="24"/>
              </w:rPr>
              <w:t>一致</w:t>
            </w:r>
            <w:r>
              <w:rPr>
                <w:rFonts w:hint="eastAsia" w:ascii="宋体" w:hAnsi="宋体"/>
                <w:color w:val="auto"/>
                <w:sz w:val="24"/>
              </w:rPr>
              <w:t>，</w:t>
            </w:r>
            <w:r>
              <w:rPr>
                <w:rFonts w:ascii="宋体" w:hAnsi="宋体"/>
                <w:color w:val="auto"/>
                <w:sz w:val="24"/>
              </w:rPr>
              <w:t>如不一致提供</w:t>
            </w:r>
            <w:r>
              <w:rPr>
                <w:rFonts w:hint="eastAsia" w:ascii="宋体" w:hAnsi="宋体"/>
                <w:color w:val="auto"/>
                <w:sz w:val="24"/>
              </w:rPr>
              <w:t>法律规定的</w:t>
            </w:r>
            <w:r>
              <w:rPr>
                <w:rFonts w:ascii="宋体" w:hAnsi="宋体"/>
                <w:color w:val="auto"/>
                <w:sz w:val="24"/>
              </w:rPr>
              <w:t>第三方证明材料</w:t>
            </w:r>
            <w:r>
              <w:rPr>
                <w:rFonts w:hint="eastAsia" w:ascii="宋体" w:hAnsi="宋体"/>
                <w:color w:val="auto"/>
                <w:sz w:val="24"/>
              </w:rPr>
              <w:t>。</w:t>
            </w:r>
          </w:p>
        </w:tc>
      </w:tr>
      <w:tr>
        <w:tblPrEx>
          <w:tblLayout w:type="fixed"/>
          <w:tblCellMar>
            <w:top w:w="0" w:type="dxa"/>
            <w:left w:w="108" w:type="dxa"/>
            <w:bottom w:w="0" w:type="dxa"/>
            <w:right w:w="108" w:type="dxa"/>
          </w:tblCellMar>
        </w:tblPrEx>
        <w:trPr>
          <w:trHeight w:val="542"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450" w:lineRule="exact"/>
              <w:jc w:val="center"/>
              <w:rPr>
                <w:rFonts w:ascii="宋体" w:hAnsi="宋体"/>
                <w:color w:val="auto"/>
                <w:sz w:val="24"/>
              </w:rPr>
            </w:pPr>
            <w:r>
              <w:rPr>
                <w:rFonts w:ascii="宋体" w:hAnsi="宋体"/>
                <w:color w:val="auto"/>
                <w:sz w:val="24"/>
              </w:rPr>
              <w:t>响应文件要求签字或盖章</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auto"/>
                <w:sz w:val="24"/>
              </w:rPr>
            </w:pPr>
            <w:r>
              <w:rPr>
                <w:rFonts w:ascii="宋体" w:hAnsi="宋体"/>
                <w:color w:val="auto"/>
                <w:sz w:val="24"/>
              </w:rPr>
              <w:t>是否按竞争性磋商文件要求签字或盖章</w:t>
            </w:r>
            <w:r>
              <w:rPr>
                <w:rFonts w:hint="eastAsia" w:ascii="宋体" w:hAnsi="宋体"/>
                <w:color w:val="auto"/>
                <w:sz w:val="24"/>
              </w:rPr>
              <w:t>。</w:t>
            </w:r>
          </w:p>
        </w:tc>
      </w:tr>
      <w:tr>
        <w:tblPrEx>
          <w:tblLayout w:type="fixed"/>
          <w:tblCellMar>
            <w:top w:w="0" w:type="dxa"/>
            <w:left w:w="108" w:type="dxa"/>
            <w:bottom w:w="0" w:type="dxa"/>
            <w:right w:w="108" w:type="dxa"/>
          </w:tblCellMar>
        </w:tblPrEx>
        <w:trPr>
          <w:trHeight w:val="542"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450" w:lineRule="exact"/>
              <w:jc w:val="center"/>
              <w:rPr>
                <w:rFonts w:ascii="宋体" w:hAnsi="宋体"/>
                <w:color w:val="auto"/>
                <w:sz w:val="24"/>
              </w:rPr>
            </w:pPr>
            <w:r>
              <w:rPr>
                <w:rFonts w:ascii="宋体" w:hAnsi="宋体"/>
                <w:color w:val="auto"/>
                <w:sz w:val="24"/>
              </w:rPr>
              <w:t>响应文件格式</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auto"/>
                <w:sz w:val="24"/>
              </w:rPr>
            </w:pPr>
            <w:r>
              <w:rPr>
                <w:rFonts w:ascii="宋体" w:hAnsi="宋体"/>
                <w:color w:val="auto"/>
                <w:sz w:val="24"/>
              </w:rPr>
              <w:t>按竞争性磋商文件要求填写或内容齐全、关键内容字迹清晰可辨</w:t>
            </w:r>
            <w:r>
              <w:rPr>
                <w:rFonts w:hint="eastAsia" w:ascii="宋体" w:hAnsi="宋体"/>
                <w:color w:val="auto"/>
                <w:sz w:val="24"/>
              </w:rPr>
              <w:t>。</w:t>
            </w:r>
          </w:p>
        </w:tc>
      </w:tr>
      <w:tr>
        <w:tblPrEx>
          <w:tblLayout w:type="fixed"/>
          <w:tblCellMar>
            <w:top w:w="0" w:type="dxa"/>
            <w:left w:w="108" w:type="dxa"/>
            <w:bottom w:w="0" w:type="dxa"/>
            <w:right w:w="108" w:type="dxa"/>
          </w:tblCellMar>
        </w:tblPrEx>
        <w:trPr>
          <w:trHeight w:val="109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450" w:lineRule="exact"/>
              <w:jc w:val="center"/>
              <w:rPr>
                <w:rFonts w:ascii="宋体" w:hAnsi="宋体"/>
                <w:color w:val="auto"/>
                <w:sz w:val="24"/>
              </w:rPr>
            </w:pPr>
            <w:r>
              <w:rPr>
                <w:rFonts w:ascii="宋体" w:hAnsi="宋体"/>
                <w:color w:val="auto"/>
                <w:sz w:val="24"/>
              </w:rPr>
              <w:t>报价唯一</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auto"/>
                <w:sz w:val="24"/>
              </w:rPr>
            </w:pPr>
            <w:r>
              <w:rPr>
                <w:rFonts w:ascii="宋体" w:hAnsi="宋体"/>
                <w:color w:val="auto"/>
                <w:sz w:val="24"/>
              </w:rPr>
              <w:t>供应商递交两份或多份内容不同的响应文件,或在一份响应文件中对同一项目报有两个或多个报价,且未声名哪一个有效</w:t>
            </w:r>
            <w:r>
              <w:rPr>
                <w:rFonts w:hint="eastAsia" w:ascii="宋体" w:hAnsi="宋体"/>
                <w:color w:val="auto"/>
                <w:sz w:val="24"/>
              </w:rPr>
              <w:t>。</w:t>
            </w:r>
          </w:p>
        </w:tc>
      </w:tr>
      <w:tr>
        <w:tblPrEx>
          <w:tblLayout w:type="fixed"/>
          <w:tblCellMar>
            <w:top w:w="0" w:type="dxa"/>
            <w:left w:w="108" w:type="dxa"/>
            <w:bottom w:w="0" w:type="dxa"/>
            <w:right w:w="108" w:type="dxa"/>
          </w:tblCellMar>
        </w:tblPrEx>
        <w:trPr>
          <w:trHeight w:val="542"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450" w:lineRule="exact"/>
              <w:jc w:val="center"/>
              <w:rPr>
                <w:rFonts w:hint="eastAsia" w:ascii="宋体" w:hAnsi="宋体"/>
                <w:color w:val="auto"/>
                <w:sz w:val="24"/>
                <w:szCs w:val="24"/>
              </w:rPr>
            </w:pPr>
            <w:r>
              <w:rPr>
                <w:color w:val="auto"/>
                <w:sz w:val="24"/>
              </w:rPr>
              <w:t>法定代表人身份证明书</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color w:val="auto"/>
                <w:sz w:val="24"/>
              </w:rPr>
            </w:pPr>
            <w:r>
              <w:rPr>
                <w:rFonts w:ascii="宋体" w:hAnsi="宋体"/>
                <w:color w:val="auto"/>
                <w:sz w:val="24"/>
              </w:rPr>
              <w:t>具备有效的法定代表人身份证明书</w:t>
            </w:r>
            <w:r>
              <w:rPr>
                <w:rFonts w:hint="eastAsia" w:ascii="宋体" w:hAnsi="宋体"/>
                <w:color w:val="auto"/>
                <w:sz w:val="24"/>
              </w:rPr>
              <w:t>。</w:t>
            </w:r>
          </w:p>
        </w:tc>
      </w:tr>
      <w:tr>
        <w:tblPrEx>
          <w:tblLayout w:type="fixed"/>
          <w:tblCellMar>
            <w:top w:w="0" w:type="dxa"/>
            <w:left w:w="108" w:type="dxa"/>
            <w:bottom w:w="0" w:type="dxa"/>
            <w:right w:w="108" w:type="dxa"/>
          </w:tblCellMar>
        </w:tblPrEx>
        <w:trPr>
          <w:trHeight w:val="45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450" w:lineRule="exact"/>
              <w:jc w:val="center"/>
              <w:rPr>
                <w:rFonts w:hint="eastAsia" w:ascii="宋体" w:hAnsi="宋体"/>
                <w:color w:val="auto"/>
                <w:sz w:val="24"/>
                <w:szCs w:val="24"/>
              </w:rPr>
            </w:pPr>
            <w:r>
              <w:rPr>
                <w:rFonts w:hint="eastAsia"/>
                <w:color w:val="auto"/>
                <w:sz w:val="24"/>
              </w:rPr>
              <w:t>法定代表人授权委托书</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color w:val="auto"/>
                <w:sz w:val="24"/>
              </w:rPr>
            </w:pPr>
            <w:r>
              <w:rPr>
                <w:rFonts w:hint="eastAsia" w:ascii="宋体" w:hAnsi="宋体"/>
                <w:color w:val="auto"/>
                <w:sz w:val="24"/>
              </w:rPr>
              <w:t>提供法定代表人授权委托书【若由法定代表人递交响应文件的无须提供，由授权代理人递交响应文件的提供】。</w:t>
            </w:r>
          </w:p>
        </w:tc>
      </w:tr>
      <w:tr>
        <w:tblPrEx>
          <w:tblLayout w:type="fixed"/>
          <w:tblCellMar>
            <w:top w:w="0" w:type="dxa"/>
            <w:left w:w="108" w:type="dxa"/>
            <w:bottom w:w="0" w:type="dxa"/>
            <w:right w:w="108" w:type="dxa"/>
          </w:tblCellMar>
        </w:tblPrEx>
        <w:trPr>
          <w:trHeight w:val="45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450" w:lineRule="exact"/>
              <w:jc w:val="center"/>
              <w:rPr>
                <w:rFonts w:hint="eastAsia"/>
                <w:color w:val="auto"/>
                <w:sz w:val="24"/>
              </w:rPr>
            </w:pPr>
            <w:r>
              <w:rPr>
                <w:rFonts w:hint="eastAsia"/>
                <w:color w:val="auto"/>
                <w:sz w:val="24"/>
              </w:rPr>
              <w:t>法定代表人或委托人居民身份证</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color w:val="auto"/>
                <w:sz w:val="24"/>
              </w:rPr>
            </w:pPr>
            <w:r>
              <w:rPr>
                <w:rFonts w:hint="eastAsia" w:ascii="宋体" w:hAnsi="宋体"/>
                <w:color w:val="auto"/>
                <w:sz w:val="24"/>
              </w:rPr>
              <w:t>提供法定代表人居民身份证【由法定代表人递交响应文件的】或被授权人居民身份证【由授权代理人递交响应文件的】</w:t>
            </w:r>
          </w:p>
        </w:tc>
      </w:tr>
      <w:tr>
        <w:tblPrEx>
          <w:tblLayout w:type="fixed"/>
          <w:tblCellMar>
            <w:top w:w="0" w:type="dxa"/>
            <w:left w:w="108" w:type="dxa"/>
            <w:bottom w:w="0" w:type="dxa"/>
            <w:right w:w="108" w:type="dxa"/>
          </w:tblCellMar>
        </w:tblPrEx>
        <w:trPr>
          <w:trHeight w:val="1095" w:hRule="atLeast"/>
          <w:jc w:val="center"/>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1.2</w:t>
            </w:r>
          </w:p>
        </w:tc>
        <w:tc>
          <w:tcPr>
            <w:tcW w:w="850"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300" w:lineRule="auto"/>
              <w:rPr>
                <w:rFonts w:ascii="宋体" w:hAnsi="宋体" w:cs="宋体"/>
                <w:color w:val="auto"/>
                <w:sz w:val="24"/>
                <w:szCs w:val="24"/>
              </w:rPr>
            </w:pPr>
            <w:r>
              <w:rPr>
                <w:rFonts w:ascii="宋体" w:hAnsi="宋体"/>
                <w:color w:val="auto"/>
                <w:sz w:val="24"/>
              </w:rPr>
              <w:t>资格评审标准</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450" w:lineRule="exact"/>
              <w:jc w:val="center"/>
              <w:rPr>
                <w:color w:val="auto"/>
                <w:sz w:val="24"/>
              </w:rPr>
            </w:pPr>
            <w:r>
              <w:rPr>
                <w:rFonts w:hint="eastAsia"/>
                <w:color w:val="auto"/>
                <w:sz w:val="24"/>
              </w:rPr>
              <w:t>统一社会代码</w:t>
            </w:r>
            <w:r>
              <w:rPr>
                <w:color w:val="auto"/>
                <w:sz w:val="24"/>
              </w:rPr>
              <w:t>营业执照</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auto"/>
                <w:sz w:val="24"/>
              </w:rPr>
            </w:pPr>
            <w:r>
              <w:rPr>
                <w:rFonts w:hint="eastAsia" w:ascii="宋体" w:hAnsi="宋体" w:cs="宋体"/>
                <w:color w:val="auto"/>
                <w:sz w:val="24"/>
                <w:szCs w:val="28"/>
              </w:rPr>
              <w:t>供应商应是经国家工商行政管理部门登记注册的，具有合法、有效的统一社会代码企业营业执照。</w:t>
            </w:r>
          </w:p>
        </w:tc>
      </w:tr>
      <w:tr>
        <w:tblPrEx>
          <w:tblLayout w:type="fixed"/>
          <w:tblCellMar>
            <w:top w:w="0" w:type="dxa"/>
            <w:left w:w="108" w:type="dxa"/>
            <w:bottom w:w="0" w:type="dxa"/>
            <w:right w:w="108" w:type="dxa"/>
          </w:tblCellMar>
        </w:tblPrEx>
        <w:trPr>
          <w:trHeight w:val="553"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auto"/>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450" w:lineRule="exact"/>
              <w:jc w:val="center"/>
              <w:rPr>
                <w:color w:val="auto"/>
                <w:sz w:val="24"/>
              </w:rPr>
            </w:pPr>
            <w:r>
              <w:rPr>
                <w:rFonts w:hint="eastAsia"/>
                <w:color w:val="auto"/>
                <w:sz w:val="24"/>
              </w:rPr>
              <w:t>履行合同的设备及专业技术能力</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jc w:val="both"/>
              <w:rPr>
                <w:rFonts w:hint="eastAsia" w:ascii="宋体" w:hAnsi="宋体"/>
                <w:color w:val="auto"/>
                <w:sz w:val="24"/>
              </w:rPr>
            </w:pPr>
            <w:r>
              <w:rPr>
                <w:rFonts w:hint="eastAsia" w:ascii="宋体" w:hAnsi="宋体"/>
                <w:color w:val="auto"/>
                <w:sz w:val="24"/>
              </w:rPr>
              <w:t>具有履行合同所必需的设备、专业技术能力，并提供证明文件。</w:t>
            </w:r>
          </w:p>
        </w:tc>
      </w:tr>
      <w:tr>
        <w:tblPrEx>
          <w:tblLayout w:type="fixed"/>
          <w:tblCellMar>
            <w:top w:w="0" w:type="dxa"/>
            <w:left w:w="108" w:type="dxa"/>
            <w:bottom w:w="0" w:type="dxa"/>
            <w:right w:w="108" w:type="dxa"/>
          </w:tblCellMar>
        </w:tblPrEx>
        <w:trPr>
          <w:trHeight w:val="1127"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450" w:lineRule="exact"/>
              <w:jc w:val="center"/>
              <w:rPr>
                <w:rFonts w:hint="eastAsia"/>
                <w:color w:val="auto"/>
                <w:sz w:val="24"/>
              </w:rPr>
            </w:pPr>
            <w:r>
              <w:rPr>
                <w:rFonts w:hint="eastAsia"/>
                <w:color w:val="auto"/>
                <w:sz w:val="24"/>
              </w:rPr>
              <w:t>药品经营许可证</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490" w:lineRule="exact"/>
              <w:rPr>
                <w:rFonts w:hint="eastAsia" w:ascii="宋体" w:hAnsi="宋体" w:cs="宋体"/>
                <w:color w:val="auto"/>
                <w:sz w:val="24"/>
                <w:szCs w:val="28"/>
              </w:rPr>
            </w:pPr>
            <w:r>
              <w:rPr>
                <w:rFonts w:hint="eastAsia" w:ascii="宋体" w:hAnsi="宋体" w:cs="宋体"/>
                <w:color w:val="auto"/>
                <w:sz w:val="24"/>
                <w:szCs w:val="28"/>
              </w:rPr>
              <w:t>供应商须具有有效的《药品经营许可证》，供应商所投产品国家如有强制性要求的必须符合要求。</w:t>
            </w:r>
          </w:p>
        </w:tc>
      </w:tr>
      <w:tr>
        <w:tblPrEx>
          <w:tblLayout w:type="fixed"/>
          <w:tblCellMar>
            <w:top w:w="0" w:type="dxa"/>
            <w:left w:w="108" w:type="dxa"/>
            <w:bottom w:w="0" w:type="dxa"/>
            <w:right w:w="108" w:type="dxa"/>
          </w:tblCellMar>
        </w:tblPrEx>
        <w:trPr>
          <w:trHeight w:val="45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ind w:firstLine="36"/>
              <w:jc w:val="center"/>
              <w:rPr>
                <w:rFonts w:hint="eastAsia" w:ascii="宋体" w:hAnsi="宋体" w:cs="宋体"/>
                <w:color w:val="auto"/>
                <w:sz w:val="24"/>
                <w:szCs w:val="24"/>
              </w:rPr>
            </w:pPr>
            <w:r>
              <w:rPr>
                <w:rFonts w:hint="eastAsia" w:ascii="宋体" w:hAnsi="宋体" w:cs="宋体"/>
                <w:color w:val="auto"/>
                <w:sz w:val="24"/>
                <w:szCs w:val="28"/>
              </w:rPr>
              <w:t>医疗器械经营备案凭证或医疗器械经营许可证</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jc w:val="both"/>
              <w:rPr>
                <w:rFonts w:hint="eastAsia" w:ascii="宋体" w:hAnsi="宋体" w:cs="宋体"/>
                <w:color w:val="auto"/>
                <w:sz w:val="24"/>
                <w:szCs w:val="28"/>
              </w:rPr>
            </w:pPr>
            <w:r>
              <w:rPr>
                <w:rFonts w:hint="eastAsia" w:ascii="宋体" w:hAnsi="宋体" w:cs="宋体"/>
                <w:color w:val="auto"/>
                <w:sz w:val="24"/>
                <w:szCs w:val="28"/>
              </w:rPr>
              <w:t xml:space="preserve">若所投产品属于《医疗器械分类目录》中二类器械的，须提供医疗器械经营备案凭证，若所投产品属于《医疗器械分类目录》中三类器械的，须提供医疗器械经营许可证。 </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宋体" w:hAnsi="宋体"/>
                <w:color w:val="auto"/>
                <w:sz w:val="24"/>
                <w:szCs w:val="24"/>
              </w:rPr>
            </w:pPr>
            <w:r>
              <w:rPr>
                <w:rFonts w:hint="eastAsia" w:ascii="宋体" w:hAnsi="宋体" w:cs="宋体"/>
                <w:color w:val="auto"/>
                <w:sz w:val="24"/>
                <w:szCs w:val="28"/>
              </w:rPr>
              <w:t>商业信誉和健全的财务会计制度</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jc w:val="both"/>
              <w:rPr>
                <w:rFonts w:hint="eastAsia" w:ascii="宋体" w:hAnsi="宋体" w:cs="宋体"/>
                <w:color w:val="auto"/>
                <w:sz w:val="24"/>
                <w:szCs w:val="28"/>
              </w:rPr>
            </w:pPr>
            <w:r>
              <w:rPr>
                <w:rFonts w:hint="eastAsia" w:ascii="宋体" w:hAnsi="宋体" w:cs="宋体"/>
                <w:color w:val="auto"/>
                <w:sz w:val="24"/>
                <w:szCs w:val="28"/>
              </w:rPr>
              <w:t>供应商必须具有良好的商业信誉和健全的财务会计制度，提供2021～2023年任意一年财务报表或经第三方审计的审计报表</w:t>
            </w:r>
            <w:r>
              <w:rPr>
                <w:rFonts w:hint="eastAsia" w:ascii="宋体" w:hAnsi="宋体" w:cs="宋体"/>
                <w:bCs/>
                <w:color w:val="auto"/>
                <w:sz w:val="24"/>
                <w:szCs w:val="28"/>
              </w:rPr>
              <w:t>（包括但不限于资产负债表、现金流量表、利润表）</w:t>
            </w:r>
            <w:r>
              <w:rPr>
                <w:rFonts w:hint="eastAsia" w:ascii="宋体" w:hAnsi="宋体" w:cs="宋体"/>
                <w:color w:val="auto"/>
                <w:sz w:val="24"/>
                <w:szCs w:val="28"/>
              </w:rPr>
              <w:t>；新成立不满一年的供应商提供其基本开户银行出具的资信证明复印件或扫描件。</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宋体" w:hAnsi="宋体"/>
                <w:color w:val="auto"/>
                <w:sz w:val="24"/>
                <w:szCs w:val="24"/>
              </w:rPr>
            </w:pPr>
            <w:r>
              <w:rPr>
                <w:rFonts w:hint="eastAsia" w:ascii="宋体" w:hAnsi="宋体" w:cs="宋体"/>
                <w:color w:val="auto"/>
                <w:sz w:val="24"/>
                <w:szCs w:val="28"/>
              </w:rPr>
              <w:t>缴纳税收记录</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jc w:val="both"/>
              <w:rPr>
                <w:rFonts w:hint="eastAsia" w:ascii="宋体" w:hAnsi="宋体" w:cs="宋体"/>
                <w:color w:val="auto"/>
                <w:sz w:val="24"/>
                <w:szCs w:val="28"/>
              </w:rPr>
            </w:pPr>
            <w:r>
              <w:rPr>
                <w:rFonts w:hint="eastAsia" w:ascii="宋体" w:hAnsi="宋体" w:cs="宋体"/>
                <w:color w:val="auto"/>
                <w:sz w:val="24"/>
                <w:szCs w:val="28"/>
              </w:rPr>
              <w:t>具有依法缴纳税收的良好记录，提供2023年1月至竞标截止日期前任意月份依法缴纳税收（提供缴纳增值税或企业所得税的凭据）的证明；新成立的供应商提供成立以来的相关证明或相关情况说明；依法免税的供应商，应提供其依法免税的相关证明文件。</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宋体" w:hAnsi="宋体"/>
                <w:color w:val="auto"/>
                <w:sz w:val="24"/>
                <w:szCs w:val="24"/>
              </w:rPr>
            </w:pPr>
            <w:r>
              <w:rPr>
                <w:rFonts w:hint="eastAsia" w:ascii="宋体" w:hAnsi="宋体" w:cs="宋体"/>
                <w:color w:val="auto"/>
                <w:sz w:val="24"/>
                <w:szCs w:val="28"/>
              </w:rPr>
              <w:t>缴纳社会保险费记录</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jc w:val="both"/>
              <w:rPr>
                <w:rFonts w:hint="eastAsia" w:ascii="宋体" w:hAnsi="宋体" w:cs="宋体"/>
                <w:color w:val="auto"/>
                <w:sz w:val="24"/>
                <w:szCs w:val="28"/>
              </w:rPr>
            </w:pPr>
            <w:r>
              <w:rPr>
                <w:rFonts w:hint="eastAsia" w:ascii="宋体" w:hAnsi="宋体" w:cs="宋体"/>
                <w:color w:val="auto"/>
                <w:sz w:val="24"/>
                <w:szCs w:val="28"/>
              </w:rPr>
              <w:t>具有依法缴纳社会保险费的良好记录，提供2023年1月至竞标截止日期前任意月份依法缴纳社会保险的证明；新成立的供应商提供成立以来的相关证明或相关情况说明；依法免缴纳社会保险费的供应商，应提供其依法免缴纳社会保险费的相关证明文件。</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宋体" w:hAnsi="宋体"/>
                <w:color w:val="auto"/>
                <w:sz w:val="24"/>
                <w:szCs w:val="24"/>
              </w:rPr>
            </w:pPr>
            <w:r>
              <w:rPr>
                <w:rFonts w:hint="eastAsia" w:ascii="宋体" w:hAnsi="宋体"/>
                <w:color w:val="auto"/>
                <w:sz w:val="24"/>
                <w:szCs w:val="24"/>
              </w:rPr>
              <w:t>重大违法失信不良信用记录</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jc w:val="both"/>
              <w:rPr>
                <w:rFonts w:hint="eastAsia" w:ascii="宋体" w:hAnsi="宋体"/>
                <w:color w:val="auto"/>
                <w:sz w:val="24"/>
                <w:szCs w:val="24"/>
              </w:rPr>
            </w:pPr>
            <w:r>
              <w:rPr>
                <w:rFonts w:hint="eastAsia" w:ascii="宋体" w:hAnsi="宋体" w:cs="宋体"/>
                <w:color w:val="auto"/>
                <w:sz w:val="24"/>
                <w:szCs w:val="28"/>
              </w:rPr>
              <w:t>供应商在响应文件递交截止时间前未被列入“失信被执行人”、“重大税收违法案件当事人名单”、“政府采购严重违法失信名单”，采购人或采购代理机构在响应文件递交后、评标前通过“信用中国”网站（www.creditchina.gov.cn）查询、中国政府采购网（www.ccgp.gov.cn）查询供应商信用记录，上述网站信用信息查询结果的网页截图或网页打印稿作为证据留存。</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宋体" w:hAnsi="宋体" w:cs="宋体"/>
                <w:color w:val="auto"/>
                <w:sz w:val="24"/>
                <w:szCs w:val="24"/>
              </w:rPr>
            </w:pPr>
            <w:r>
              <w:rPr>
                <w:rFonts w:hint="eastAsia" w:ascii="宋体" w:hAnsi="宋体"/>
                <w:color w:val="auto"/>
                <w:sz w:val="24"/>
              </w:rPr>
              <w:t>无重大违法记录声明</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both"/>
              <w:rPr>
                <w:rFonts w:hint="eastAsia" w:ascii="宋体" w:hAnsi="宋体" w:cs="宋体"/>
                <w:color w:val="auto"/>
                <w:sz w:val="24"/>
                <w:szCs w:val="28"/>
              </w:rPr>
            </w:pPr>
            <w:r>
              <w:rPr>
                <w:rFonts w:hint="eastAsia" w:ascii="宋体" w:hAnsi="宋体" w:cs="宋体"/>
                <w:color w:val="auto"/>
                <w:sz w:val="24"/>
                <w:szCs w:val="28"/>
              </w:rPr>
              <w:t>供应商近三年（2022年至今）无重大违法记录，并提供近三年（2022年至今）无重大违法记录的书面声明。</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宋体" w:hAnsi="宋体" w:cs="宋体"/>
                <w:color w:val="auto"/>
                <w:sz w:val="24"/>
                <w:szCs w:val="24"/>
              </w:rPr>
            </w:pPr>
            <w:r>
              <w:rPr>
                <w:rFonts w:ascii="宋体" w:hAnsi="宋体" w:cs="宋体"/>
                <w:color w:val="auto"/>
                <w:sz w:val="24"/>
                <w:szCs w:val="24"/>
              </w:rPr>
              <w:t>履约情况说明</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both"/>
              <w:rPr>
                <w:rFonts w:ascii="宋体" w:hAnsi="宋体" w:cs="宋体"/>
                <w:color w:val="auto"/>
                <w:sz w:val="24"/>
                <w:szCs w:val="28"/>
              </w:rPr>
            </w:pPr>
            <w:r>
              <w:rPr>
                <w:rFonts w:ascii="宋体" w:hAnsi="宋体" w:cs="宋体"/>
                <w:color w:val="auto"/>
                <w:sz w:val="24"/>
                <w:szCs w:val="24"/>
              </w:rPr>
              <w:t>近三年内无因供应商违约或不恰当履约引起的合同中止、纠纷、争议、仲裁和诉讼记录（附相应说明，若有涉诉事件需承诺不影响本项目正常履约）。</w:t>
            </w:r>
          </w:p>
        </w:tc>
      </w:tr>
      <w:tr>
        <w:tblPrEx>
          <w:tblLayout w:type="fixed"/>
          <w:tblCellMar>
            <w:top w:w="0" w:type="dxa"/>
            <w:left w:w="108" w:type="dxa"/>
            <w:bottom w:w="0" w:type="dxa"/>
            <w:right w:w="108" w:type="dxa"/>
          </w:tblCellMar>
        </w:tblPrEx>
        <w:trPr>
          <w:trHeight w:val="427" w:hRule="atLeast"/>
          <w:jc w:val="center"/>
        </w:trPr>
        <w:tc>
          <w:tcPr>
            <w:tcW w:w="851" w:type="dxa"/>
            <w:vMerge w:val="restart"/>
            <w:tcBorders>
              <w:top w:val="single" w:color="000000" w:sz="4" w:space="0"/>
              <w:left w:val="single" w:color="000000" w:sz="4" w:space="0"/>
              <w:right w:val="single" w:color="000000" w:sz="4" w:space="0"/>
            </w:tcBorders>
            <w:vAlign w:val="center"/>
          </w:tcPr>
          <w:p>
            <w:pPr>
              <w:spacing w:line="460" w:lineRule="exact"/>
              <w:jc w:val="center"/>
              <w:rPr>
                <w:rFonts w:hint="eastAsia" w:ascii="宋体" w:hAnsi="宋体"/>
                <w:color w:val="auto"/>
                <w:sz w:val="24"/>
              </w:rPr>
            </w:pPr>
          </w:p>
          <w:p>
            <w:pPr>
              <w:spacing w:line="460" w:lineRule="exact"/>
              <w:jc w:val="center"/>
              <w:rPr>
                <w:rFonts w:ascii="宋体" w:hAnsi="宋体"/>
                <w:color w:val="auto"/>
                <w:sz w:val="24"/>
              </w:rPr>
            </w:pPr>
            <w:r>
              <w:rPr>
                <w:rFonts w:ascii="宋体" w:hAnsi="宋体"/>
                <w:color w:val="auto"/>
                <w:sz w:val="24"/>
              </w:rPr>
              <w:t>2.</w:t>
            </w:r>
            <w:r>
              <w:rPr>
                <w:rFonts w:hint="eastAsia" w:ascii="宋体" w:hAnsi="宋体"/>
                <w:color w:val="auto"/>
                <w:sz w:val="24"/>
              </w:rPr>
              <w:t>1.3</w:t>
            </w:r>
          </w:p>
        </w:tc>
        <w:tc>
          <w:tcPr>
            <w:tcW w:w="850" w:type="dxa"/>
            <w:gridSpan w:val="3"/>
            <w:vMerge w:val="restart"/>
            <w:tcBorders>
              <w:top w:val="single" w:color="000000" w:sz="4" w:space="0"/>
              <w:left w:val="single" w:color="000000" w:sz="4" w:space="0"/>
              <w:right w:val="single" w:color="000000" w:sz="4" w:space="0"/>
            </w:tcBorders>
            <w:vAlign w:val="center"/>
          </w:tcPr>
          <w:p>
            <w:pPr>
              <w:spacing w:line="460" w:lineRule="exact"/>
              <w:jc w:val="center"/>
              <w:rPr>
                <w:rFonts w:ascii="宋体" w:hAnsi="宋体"/>
                <w:color w:val="auto"/>
                <w:sz w:val="24"/>
              </w:rPr>
            </w:pPr>
            <w:r>
              <w:rPr>
                <w:rFonts w:hint="eastAsia" w:ascii="宋体" w:hAnsi="宋体"/>
                <w:color w:val="auto"/>
                <w:sz w:val="24"/>
              </w:rPr>
              <w:t>响应性</w:t>
            </w:r>
            <w:r>
              <w:rPr>
                <w:rFonts w:ascii="宋体" w:hAnsi="宋体"/>
                <w:color w:val="auto"/>
                <w:sz w:val="24"/>
              </w:rPr>
              <w:t>评审</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color w:val="auto"/>
                <w:sz w:val="24"/>
              </w:rPr>
            </w:pPr>
            <w:r>
              <w:rPr>
                <w:rFonts w:ascii="宋体" w:hAnsi="宋体"/>
                <w:color w:val="auto"/>
                <w:sz w:val="24"/>
              </w:rPr>
              <w:t>响应文件内容</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rPr>
                <w:rFonts w:hint="eastAsia" w:ascii="宋体" w:hAnsi="宋体"/>
                <w:color w:val="auto"/>
                <w:sz w:val="24"/>
              </w:rPr>
            </w:pPr>
            <w:r>
              <w:rPr>
                <w:rFonts w:hint="eastAsia" w:ascii="宋体" w:hAnsi="宋体"/>
                <w:color w:val="auto"/>
                <w:sz w:val="24"/>
              </w:rPr>
              <w:t>符合竞争性磋商文件规定</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top w:val="single" w:color="000000" w:sz="4" w:space="0"/>
              <w:left w:val="single" w:color="000000" w:sz="4" w:space="0"/>
              <w:right w:val="single" w:color="000000" w:sz="4" w:space="0"/>
            </w:tcBorders>
            <w:vAlign w:val="center"/>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right w:val="single" w:color="000000" w:sz="4" w:space="0"/>
            </w:tcBorders>
            <w:vAlign w:val="center"/>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宋体" w:hAnsi="宋体" w:cs="宋体"/>
                <w:color w:val="auto"/>
                <w:sz w:val="24"/>
                <w:szCs w:val="24"/>
              </w:rPr>
            </w:pPr>
            <w:r>
              <w:rPr>
                <w:rFonts w:hint="eastAsia" w:ascii="宋体" w:hAnsi="宋体" w:cs="宋体"/>
                <w:color w:val="auto"/>
                <w:sz w:val="24"/>
                <w:szCs w:val="24"/>
              </w:rPr>
              <w:t>供货期限</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both"/>
              <w:rPr>
                <w:rFonts w:ascii="宋体" w:hAnsi="宋体" w:cs="宋体"/>
                <w:color w:val="auto"/>
                <w:sz w:val="24"/>
                <w:szCs w:val="24"/>
              </w:rPr>
            </w:pPr>
            <w:r>
              <w:rPr>
                <w:rFonts w:hint="eastAsia" w:ascii="宋体" w:hAnsi="宋体"/>
                <w:color w:val="auto"/>
                <w:sz w:val="24"/>
              </w:rPr>
              <w:t>符合</w:t>
            </w:r>
            <w:r>
              <w:rPr>
                <w:rFonts w:ascii="宋体" w:hAnsi="宋体"/>
                <w:color w:val="auto"/>
                <w:sz w:val="24"/>
              </w:rPr>
              <w:t>响应竞争性磋商文件规定的期限</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top w:val="single" w:color="000000" w:sz="4" w:space="0"/>
              <w:left w:val="single" w:color="000000" w:sz="4" w:space="0"/>
              <w:right w:val="single" w:color="000000" w:sz="4" w:space="0"/>
            </w:tcBorders>
            <w:vAlign w:val="center"/>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right w:val="single" w:color="000000" w:sz="4" w:space="0"/>
            </w:tcBorders>
            <w:vAlign w:val="center"/>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宋体" w:hAnsi="宋体" w:cs="宋体"/>
                <w:color w:val="auto"/>
                <w:sz w:val="24"/>
                <w:szCs w:val="24"/>
              </w:rPr>
            </w:pPr>
            <w:r>
              <w:rPr>
                <w:rFonts w:hint="eastAsia" w:ascii="宋体" w:hAnsi="宋体"/>
                <w:color w:val="auto"/>
                <w:sz w:val="24"/>
              </w:rPr>
              <w:t>服务质量</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both"/>
              <w:rPr>
                <w:rFonts w:ascii="宋体" w:hAnsi="宋体" w:cs="宋体"/>
                <w:color w:val="auto"/>
                <w:sz w:val="24"/>
                <w:szCs w:val="24"/>
              </w:rPr>
            </w:pPr>
            <w:r>
              <w:rPr>
                <w:rFonts w:hint="eastAsia" w:ascii="宋体" w:hAnsi="宋体"/>
                <w:color w:val="auto"/>
                <w:sz w:val="24"/>
              </w:rPr>
              <w:t>符合竞争性磋商文件规定</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top w:val="single" w:color="000000" w:sz="4" w:space="0"/>
              <w:left w:val="single" w:color="000000" w:sz="4" w:space="0"/>
              <w:right w:val="single" w:color="000000" w:sz="4" w:space="0"/>
            </w:tcBorders>
            <w:vAlign w:val="top"/>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right w:val="single" w:color="000000" w:sz="4" w:space="0"/>
            </w:tcBorders>
            <w:vAlign w:val="top"/>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宋体" w:hAnsi="宋体" w:cs="宋体"/>
                <w:color w:val="auto"/>
                <w:sz w:val="24"/>
                <w:szCs w:val="24"/>
              </w:rPr>
            </w:pPr>
            <w:r>
              <w:rPr>
                <w:rFonts w:hint="eastAsia" w:ascii="宋体" w:hAnsi="宋体"/>
                <w:color w:val="auto"/>
                <w:sz w:val="24"/>
              </w:rPr>
              <w:t>技术标准和要求</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both"/>
              <w:rPr>
                <w:rFonts w:ascii="宋体" w:hAnsi="宋体" w:cs="宋体"/>
                <w:color w:val="auto"/>
                <w:sz w:val="24"/>
                <w:szCs w:val="24"/>
              </w:rPr>
            </w:pPr>
            <w:r>
              <w:rPr>
                <w:rFonts w:ascii="宋体" w:hAnsi="宋体"/>
                <w:color w:val="auto"/>
                <w:sz w:val="24"/>
              </w:rPr>
              <w:t>明显不符合技术规格、技术标准的要求的</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top w:val="single" w:color="000000" w:sz="4" w:space="0"/>
              <w:left w:val="single" w:color="000000" w:sz="4" w:space="0"/>
              <w:right w:val="single" w:color="000000" w:sz="4" w:space="0"/>
            </w:tcBorders>
            <w:vAlign w:val="top"/>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right w:val="single" w:color="000000" w:sz="4" w:space="0"/>
            </w:tcBorders>
            <w:vAlign w:val="top"/>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宋体" w:hAnsi="宋体" w:cs="宋体"/>
                <w:color w:val="auto"/>
                <w:sz w:val="24"/>
                <w:szCs w:val="24"/>
              </w:rPr>
            </w:pPr>
            <w:r>
              <w:rPr>
                <w:rFonts w:ascii="宋体" w:hAnsi="宋体"/>
                <w:color w:val="auto"/>
                <w:sz w:val="24"/>
              </w:rPr>
              <w:t>竞标咨询</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jc w:val="both"/>
              <w:rPr>
                <w:rFonts w:ascii="宋体" w:hAnsi="宋体" w:cs="宋体"/>
                <w:color w:val="auto"/>
                <w:sz w:val="24"/>
                <w:szCs w:val="24"/>
              </w:rPr>
            </w:pPr>
            <w:r>
              <w:rPr>
                <w:rFonts w:ascii="宋体" w:hAnsi="宋体"/>
                <w:color w:val="auto"/>
                <w:sz w:val="24"/>
              </w:rPr>
              <w:t>供应商之间的响应文件</w:t>
            </w:r>
            <w:r>
              <w:rPr>
                <w:rFonts w:hint="eastAsia" w:ascii="宋体" w:hAnsi="宋体"/>
                <w:color w:val="auto"/>
                <w:sz w:val="24"/>
              </w:rPr>
              <w:t>是否</w:t>
            </w:r>
            <w:r>
              <w:rPr>
                <w:rFonts w:ascii="宋体" w:hAnsi="宋体"/>
                <w:color w:val="auto"/>
                <w:sz w:val="24"/>
              </w:rPr>
              <w:t>由同一单位（或者个人）编制或者提供竞标咨询服务的</w:t>
            </w:r>
            <w:r>
              <w:rPr>
                <w:rFonts w:hint="eastAsia" w:ascii="宋体" w:hAnsi="宋体"/>
                <w:color w:val="auto"/>
                <w:sz w:val="24"/>
              </w:rPr>
              <w:t>。</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top w:val="single" w:color="000000" w:sz="4" w:space="0"/>
              <w:left w:val="single" w:color="000000" w:sz="4" w:space="0"/>
              <w:right w:val="single" w:color="000000" w:sz="4" w:space="0"/>
            </w:tcBorders>
            <w:vAlign w:val="top"/>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right w:val="single" w:color="000000" w:sz="4" w:space="0"/>
            </w:tcBorders>
            <w:vAlign w:val="top"/>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宋体" w:hAnsi="宋体" w:cs="宋体"/>
                <w:color w:val="auto"/>
                <w:sz w:val="24"/>
                <w:szCs w:val="24"/>
              </w:rPr>
            </w:pPr>
            <w:r>
              <w:rPr>
                <w:rFonts w:ascii="宋体" w:hAnsi="宋体"/>
                <w:color w:val="auto"/>
                <w:sz w:val="24"/>
              </w:rPr>
              <w:t>响应文件混装</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jc w:val="both"/>
              <w:rPr>
                <w:rFonts w:ascii="宋体" w:hAnsi="宋体" w:cs="宋体"/>
                <w:color w:val="auto"/>
                <w:sz w:val="24"/>
                <w:szCs w:val="24"/>
              </w:rPr>
            </w:pPr>
            <w:r>
              <w:rPr>
                <w:rFonts w:ascii="宋体" w:hAnsi="宋体"/>
                <w:color w:val="auto"/>
                <w:sz w:val="24"/>
              </w:rPr>
              <w:t>供应商之间的响应文件或者采购人要求提供的相关资料</w:t>
            </w:r>
            <w:r>
              <w:rPr>
                <w:rFonts w:hint="eastAsia" w:ascii="宋体" w:hAnsi="宋体"/>
                <w:color w:val="auto"/>
                <w:sz w:val="24"/>
              </w:rPr>
              <w:t>是否</w:t>
            </w:r>
            <w:r>
              <w:rPr>
                <w:rFonts w:ascii="宋体" w:hAnsi="宋体"/>
                <w:color w:val="auto"/>
                <w:sz w:val="24"/>
              </w:rPr>
              <w:t>相互混装的</w:t>
            </w:r>
            <w:r>
              <w:rPr>
                <w:rFonts w:hint="eastAsia" w:ascii="宋体" w:hAnsi="宋体"/>
                <w:color w:val="auto"/>
                <w:sz w:val="24"/>
              </w:rPr>
              <w:t>。</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top w:val="single" w:color="000000" w:sz="4" w:space="0"/>
              <w:left w:val="single" w:color="000000" w:sz="4" w:space="0"/>
              <w:right w:val="single" w:color="000000" w:sz="4" w:space="0"/>
            </w:tcBorders>
            <w:vAlign w:val="top"/>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right w:val="single" w:color="000000" w:sz="4" w:space="0"/>
            </w:tcBorders>
            <w:vAlign w:val="top"/>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宋体" w:hAnsi="宋体" w:cs="宋体"/>
                <w:color w:val="auto"/>
                <w:sz w:val="24"/>
                <w:szCs w:val="24"/>
              </w:rPr>
            </w:pPr>
            <w:r>
              <w:rPr>
                <w:rFonts w:ascii="宋体" w:hAnsi="宋体"/>
                <w:color w:val="auto"/>
                <w:sz w:val="24"/>
              </w:rPr>
              <w:t>实质性要求</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jc w:val="both"/>
              <w:rPr>
                <w:rFonts w:ascii="宋体" w:hAnsi="宋体" w:cs="宋体"/>
                <w:color w:val="auto"/>
                <w:sz w:val="24"/>
                <w:szCs w:val="24"/>
              </w:rPr>
            </w:pPr>
            <w:r>
              <w:rPr>
                <w:rFonts w:ascii="宋体" w:hAnsi="宋体"/>
                <w:color w:val="auto"/>
                <w:sz w:val="24"/>
              </w:rPr>
              <w:t>符合竞争性磋商文件中规定的其它实质性要求</w:t>
            </w:r>
            <w:r>
              <w:rPr>
                <w:rFonts w:hint="eastAsia" w:ascii="宋体" w:hAnsi="宋体"/>
                <w:color w:val="auto"/>
                <w:sz w:val="24"/>
              </w:rPr>
              <w:t>。</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top w:val="single" w:color="000000" w:sz="4" w:space="0"/>
              <w:left w:val="single" w:color="000000" w:sz="4" w:space="0"/>
              <w:right w:val="single" w:color="000000" w:sz="4" w:space="0"/>
            </w:tcBorders>
            <w:vAlign w:val="top"/>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right w:val="single" w:color="000000" w:sz="4" w:space="0"/>
            </w:tcBorders>
            <w:vAlign w:val="top"/>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宋体" w:hAnsi="宋体" w:cs="宋体"/>
                <w:color w:val="auto"/>
                <w:sz w:val="24"/>
                <w:szCs w:val="24"/>
              </w:rPr>
            </w:pPr>
            <w:r>
              <w:rPr>
                <w:rFonts w:ascii="宋体" w:hAnsi="宋体"/>
                <w:color w:val="auto"/>
                <w:sz w:val="24"/>
              </w:rPr>
              <w:t>澄清和修正</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jc w:val="both"/>
              <w:rPr>
                <w:rFonts w:ascii="宋体" w:hAnsi="宋体" w:cs="宋体"/>
                <w:color w:val="auto"/>
                <w:sz w:val="24"/>
                <w:szCs w:val="24"/>
              </w:rPr>
            </w:pPr>
            <w:r>
              <w:rPr>
                <w:rFonts w:ascii="宋体" w:hAnsi="宋体"/>
                <w:color w:val="auto"/>
                <w:sz w:val="24"/>
              </w:rPr>
              <w:t>供应商不按要求对响应文件进行澄清、说明或者补正的</w:t>
            </w:r>
            <w:r>
              <w:rPr>
                <w:rFonts w:hint="eastAsia" w:ascii="宋体" w:hAnsi="宋体"/>
                <w:color w:val="auto"/>
                <w:sz w:val="24"/>
              </w:rPr>
              <w:t>。</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top w:val="single" w:color="000000" w:sz="4" w:space="0"/>
              <w:left w:val="single" w:color="000000" w:sz="4" w:space="0"/>
              <w:right w:val="single" w:color="000000" w:sz="4" w:space="0"/>
            </w:tcBorders>
            <w:vAlign w:val="top"/>
          </w:tcPr>
          <w:p>
            <w:pPr>
              <w:widowControl w:val="0"/>
              <w:rPr>
                <w:rFonts w:ascii="宋体" w:hAnsi="宋体" w:cs="宋体"/>
                <w:color w:val="auto"/>
                <w:sz w:val="24"/>
                <w:szCs w:val="24"/>
              </w:rPr>
            </w:pPr>
          </w:p>
        </w:tc>
        <w:tc>
          <w:tcPr>
            <w:tcW w:w="850" w:type="dxa"/>
            <w:gridSpan w:val="3"/>
            <w:vMerge w:val="continue"/>
            <w:tcBorders>
              <w:top w:val="single" w:color="000000" w:sz="4" w:space="0"/>
              <w:left w:val="single" w:color="000000" w:sz="4" w:space="0"/>
              <w:right w:val="single" w:color="000000" w:sz="4" w:space="0"/>
            </w:tcBorders>
            <w:vAlign w:val="top"/>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宋体" w:hAnsi="宋体" w:cs="宋体"/>
                <w:color w:val="auto"/>
                <w:sz w:val="24"/>
                <w:szCs w:val="24"/>
              </w:rPr>
            </w:pPr>
            <w:r>
              <w:rPr>
                <w:rFonts w:ascii="宋体" w:hAnsi="宋体"/>
                <w:color w:val="auto"/>
                <w:sz w:val="24"/>
              </w:rPr>
              <w:t>串通竞标</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jc w:val="both"/>
              <w:rPr>
                <w:rFonts w:ascii="宋体" w:hAnsi="宋体" w:cs="宋体"/>
                <w:color w:val="auto"/>
                <w:sz w:val="24"/>
                <w:szCs w:val="24"/>
              </w:rPr>
            </w:pPr>
            <w:r>
              <w:rPr>
                <w:rFonts w:ascii="宋体" w:hAnsi="宋体"/>
                <w:color w:val="auto"/>
                <w:sz w:val="24"/>
              </w:rPr>
              <w:t>供应商以他人名义竞标、串通竞标、在竞标过程中有行贿行为或其他弄虚作假行为的</w:t>
            </w:r>
            <w:r>
              <w:rPr>
                <w:rFonts w:hint="eastAsia" w:ascii="宋体" w:hAnsi="宋体"/>
                <w:color w:val="auto"/>
                <w:sz w:val="24"/>
              </w:rPr>
              <w:t>。</w:t>
            </w:r>
          </w:p>
        </w:tc>
      </w:tr>
      <w:tr>
        <w:tblPrEx>
          <w:tblLayout w:type="fixed"/>
          <w:tblCellMar>
            <w:top w:w="0" w:type="dxa"/>
            <w:left w:w="108" w:type="dxa"/>
            <w:bottom w:w="0" w:type="dxa"/>
            <w:right w:w="108" w:type="dxa"/>
          </w:tblCellMar>
        </w:tblPrEx>
        <w:trPr>
          <w:trHeight w:val="427" w:hRule="atLeast"/>
          <w:jc w:val="center"/>
        </w:trPr>
        <w:tc>
          <w:tcPr>
            <w:tcW w:w="851" w:type="dxa"/>
            <w:vMerge w:val="continue"/>
            <w:tcBorders>
              <w:left w:val="single" w:color="000000" w:sz="4" w:space="0"/>
              <w:bottom w:val="single" w:color="000000" w:sz="4" w:space="0"/>
              <w:right w:val="single" w:color="000000" w:sz="4" w:space="0"/>
            </w:tcBorders>
            <w:vAlign w:val="top"/>
          </w:tcPr>
          <w:p>
            <w:pPr>
              <w:widowControl w:val="0"/>
              <w:rPr>
                <w:rFonts w:ascii="宋体" w:hAnsi="宋体" w:cs="宋体"/>
                <w:color w:val="auto"/>
                <w:sz w:val="24"/>
                <w:szCs w:val="24"/>
              </w:rPr>
            </w:pPr>
          </w:p>
        </w:tc>
        <w:tc>
          <w:tcPr>
            <w:tcW w:w="850" w:type="dxa"/>
            <w:gridSpan w:val="3"/>
            <w:vMerge w:val="continue"/>
            <w:tcBorders>
              <w:left w:val="single" w:color="000000" w:sz="4" w:space="0"/>
              <w:bottom w:val="single" w:color="000000" w:sz="4" w:space="0"/>
              <w:right w:val="single" w:color="000000" w:sz="4" w:space="0"/>
            </w:tcBorders>
            <w:vAlign w:val="top"/>
          </w:tcPr>
          <w:p>
            <w:pPr>
              <w:widowControl w:val="0"/>
              <w:rPr>
                <w:rFonts w:ascii="宋体" w:hAnsi="宋体" w:cs="宋体"/>
                <w:color w:val="auto"/>
                <w:sz w:val="24"/>
                <w:szCs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宋体" w:hAnsi="宋体" w:cs="宋体"/>
                <w:color w:val="auto"/>
                <w:sz w:val="24"/>
                <w:szCs w:val="24"/>
              </w:rPr>
            </w:pPr>
            <w:r>
              <w:rPr>
                <w:rFonts w:ascii="宋体" w:hAnsi="宋体"/>
                <w:color w:val="auto"/>
                <w:sz w:val="24"/>
              </w:rPr>
              <w:t>其他明确的否决竞标条款</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jc w:val="both"/>
              <w:rPr>
                <w:rFonts w:ascii="宋体" w:hAnsi="宋体" w:cs="宋体"/>
                <w:color w:val="auto"/>
                <w:sz w:val="24"/>
                <w:szCs w:val="24"/>
              </w:rPr>
            </w:pPr>
            <w:r>
              <w:rPr>
                <w:rFonts w:ascii="宋体" w:hAnsi="宋体"/>
                <w:color w:val="auto"/>
                <w:sz w:val="24"/>
              </w:rPr>
              <w:t>未能响应竞争性磋商文件否决竞标条款中提出的实质性要求和条件的作否决竞标处理</w:t>
            </w:r>
            <w:r>
              <w:rPr>
                <w:rFonts w:hint="eastAsia" w:ascii="宋体" w:hAnsi="宋体"/>
                <w:color w:val="auto"/>
                <w:sz w:val="24"/>
              </w:rPr>
              <w:t>。</w:t>
            </w:r>
          </w:p>
        </w:tc>
      </w:tr>
      <w:tr>
        <w:tblPrEx>
          <w:tblLayout w:type="fixed"/>
          <w:tblCellMar>
            <w:top w:w="0" w:type="dxa"/>
            <w:left w:w="108" w:type="dxa"/>
            <w:bottom w:w="0" w:type="dxa"/>
            <w:right w:w="108" w:type="dxa"/>
          </w:tblCellMar>
        </w:tblPrEx>
        <w:trPr>
          <w:trHeight w:val="679" w:hRule="atLeast"/>
          <w:jc w:val="center"/>
        </w:trPr>
        <w:tc>
          <w:tcPr>
            <w:tcW w:w="9923" w:type="dxa"/>
            <w:gridSpan w:val="10"/>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0"/>
              <w:rPr>
                <w:rFonts w:ascii="宋体" w:hAnsi="宋体" w:cs="宋体"/>
                <w:b/>
                <w:color w:val="auto"/>
                <w:sz w:val="24"/>
                <w:szCs w:val="24"/>
              </w:rPr>
            </w:pPr>
            <w:r>
              <w:rPr>
                <w:rFonts w:hint="eastAsia" w:ascii="宋体" w:hAnsi="宋体" w:cs="宋体"/>
                <w:b/>
                <w:color w:val="auto"/>
                <w:sz w:val="24"/>
                <w:szCs w:val="24"/>
              </w:rPr>
              <w:t>2.2详细评审</w:t>
            </w:r>
          </w:p>
        </w:tc>
      </w:tr>
      <w:tr>
        <w:tblPrEx>
          <w:tblLayout w:type="fixed"/>
          <w:tblCellMar>
            <w:top w:w="0" w:type="dxa"/>
            <w:left w:w="108" w:type="dxa"/>
            <w:bottom w:w="0" w:type="dxa"/>
            <w:right w:w="108" w:type="dxa"/>
          </w:tblCellMar>
        </w:tblPrEx>
        <w:trPr>
          <w:trHeight w:val="561" w:hRule="atLeast"/>
          <w:jc w:val="center"/>
        </w:trPr>
        <w:tc>
          <w:tcPr>
            <w:tcW w:w="1985" w:type="dxa"/>
            <w:gridSpan w:val="6"/>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cs="宋体"/>
                <w:b/>
                <w:color w:val="auto"/>
                <w:sz w:val="24"/>
                <w:szCs w:val="24"/>
              </w:rPr>
            </w:pPr>
            <w:r>
              <w:rPr>
                <w:rFonts w:ascii="宋体" w:hAnsi="宋体" w:cs="宋体"/>
                <w:b/>
                <w:color w:val="auto"/>
                <w:sz w:val="24"/>
                <w:szCs w:val="24"/>
              </w:rPr>
              <w:t>条款号</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jc w:val="center"/>
              <w:rPr>
                <w:rFonts w:ascii="宋体" w:hAnsi="宋体" w:cs="宋体"/>
                <w:b/>
                <w:color w:val="auto"/>
                <w:sz w:val="24"/>
                <w:szCs w:val="24"/>
              </w:rPr>
            </w:pPr>
            <w:r>
              <w:rPr>
                <w:rFonts w:ascii="宋体" w:hAnsi="宋体" w:cs="宋体"/>
                <w:b/>
                <w:color w:val="auto"/>
                <w:sz w:val="24"/>
                <w:szCs w:val="24"/>
              </w:rPr>
              <w:t>条款内容</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0"/>
              <w:jc w:val="center"/>
              <w:rPr>
                <w:rFonts w:ascii="宋体" w:hAnsi="宋体" w:cs="宋体"/>
                <w:b/>
                <w:color w:val="auto"/>
                <w:sz w:val="24"/>
                <w:szCs w:val="24"/>
              </w:rPr>
            </w:pPr>
            <w:r>
              <w:rPr>
                <w:rFonts w:ascii="宋体" w:hAnsi="宋体" w:cs="宋体"/>
                <w:b/>
                <w:color w:val="auto"/>
                <w:sz w:val="24"/>
                <w:szCs w:val="24"/>
              </w:rPr>
              <w:t>详细评审</w:t>
            </w:r>
          </w:p>
        </w:tc>
      </w:tr>
      <w:tr>
        <w:tblPrEx>
          <w:tblLayout w:type="fixed"/>
          <w:tblCellMar>
            <w:top w:w="0" w:type="dxa"/>
            <w:left w:w="108" w:type="dxa"/>
            <w:bottom w:w="0" w:type="dxa"/>
            <w:right w:w="108" w:type="dxa"/>
          </w:tblCellMar>
        </w:tblPrEx>
        <w:trPr>
          <w:trHeight w:val="2298" w:hRule="atLeast"/>
          <w:jc w:val="center"/>
        </w:trPr>
        <w:tc>
          <w:tcPr>
            <w:tcW w:w="993"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cs="宋体"/>
                <w:color w:val="auto"/>
                <w:sz w:val="24"/>
                <w:szCs w:val="24"/>
              </w:rPr>
            </w:pPr>
            <w:r>
              <w:rPr>
                <w:rFonts w:hint="eastAsia" w:ascii="宋体" w:hAnsi="宋体" w:cs="宋体"/>
                <w:color w:val="auto"/>
                <w:sz w:val="24"/>
                <w:szCs w:val="24"/>
              </w:rPr>
              <w:t>2.2</w:t>
            </w:r>
          </w:p>
        </w:tc>
        <w:tc>
          <w:tcPr>
            <w:tcW w:w="992" w:type="dxa"/>
            <w:gridSpan w:val="4"/>
            <w:tcBorders>
              <w:top w:val="single" w:color="000000" w:sz="4" w:space="0"/>
              <w:left w:val="single" w:color="000000" w:sz="4" w:space="0"/>
              <w:bottom w:val="single" w:color="000000" w:sz="4" w:space="0"/>
              <w:right w:val="single" w:color="000000" w:sz="4" w:space="0"/>
            </w:tcBorders>
            <w:vAlign w:val="center"/>
          </w:tcPr>
          <w:p>
            <w:pPr>
              <w:spacing w:line="600" w:lineRule="exact"/>
              <w:jc w:val="both"/>
              <w:rPr>
                <w:rFonts w:ascii="宋体" w:hAnsi="宋体" w:cs="宋体"/>
                <w:color w:val="auto"/>
                <w:sz w:val="24"/>
                <w:szCs w:val="24"/>
              </w:rPr>
            </w:pPr>
            <w:r>
              <w:rPr>
                <w:rFonts w:ascii="宋体" w:hAnsi="宋体" w:cs="宋体"/>
                <w:color w:val="auto"/>
                <w:sz w:val="24"/>
                <w:szCs w:val="24"/>
              </w:rPr>
              <w:t>综合评分法</w:t>
            </w:r>
          </w:p>
        </w:tc>
        <w:tc>
          <w:tcPr>
            <w:tcW w:w="7938"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sz w:val="24"/>
                <w:szCs w:val="24"/>
              </w:rPr>
            </w:pPr>
            <w:r>
              <w:rPr>
                <w:rFonts w:ascii="宋体" w:hAnsi="宋体" w:cs="宋体"/>
                <w:color w:val="auto"/>
                <w:sz w:val="24"/>
                <w:szCs w:val="24"/>
              </w:rPr>
              <w:t>Z=S+J</w:t>
            </w:r>
          </w:p>
          <w:p>
            <w:pPr>
              <w:spacing w:line="500" w:lineRule="exact"/>
              <w:rPr>
                <w:rFonts w:ascii="宋体" w:hAnsi="宋体" w:cs="宋体"/>
                <w:color w:val="auto"/>
                <w:sz w:val="24"/>
                <w:szCs w:val="24"/>
              </w:rPr>
            </w:pPr>
            <w:r>
              <w:rPr>
                <w:rFonts w:ascii="宋体" w:hAnsi="宋体" w:cs="宋体"/>
                <w:color w:val="auto"/>
                <w:sz w:val="24"/>
                <w:szCs w:val="24"/>
                <w:lang w:val="zh-CN"/>
              </w:rPr>
              <w:t>其中</w:t>
            </w:r>
            <w:r>
              <w:rPr>
                <w:rFonts w:ascii="宋体" w:hAnsi="宋体" w:cs="宋体"/>
                <w:color w:val="auto"/>
                <w:sz w:val="24"/>
                <w:szCs w:val="24"/>
              </w:rPr>
              <w:t>：Z：</w:t>
            </w:r>
            <w:r>
              <w:rPr>
                <w:rFonts w:ascii="宋体" w:hAnsi="宋体" w:cs="宋体"/>
                <w:color w:val="auto"/>
                <w:sz w:val="24"/>
                <w:szCs w:val="24"/>
                <w:lang w:val="zh-CN"/>
              </w:rPr>
              <w:t>指供应商的最后得分</w:t>
            </w:r>
            <w:r>
              <w:rPr>
                <w:rFonts w:ascii="宋体" w:hAnsi="宋体" w:cs="宋体"/>
                <w:color w:val="auto"/>
                <w:sz w:val="24"/>
                <w:szCs w:val="24"/>
              </w:rPr>
              <w:t>；S：</w:t>
            </w:r>
            <w:r>
              <w:rPr>
                <w:rFonts w:ascii="宋体" w:hAnsi="宋体" w:cs="宋体"/>
                <w:color w:val="auto"/>
                <w:sz w:val="24"/>
                <w:szCs w:val="24"/>
                <w:lang w:val="zh-CN"/>
              </w:rPr>
              <w:t>指供应商的商务部分得分</w:t>
            </w:r>
            <w:r>
              <w:rPr>
                <w:rFonts w:ascii="宋体" w:hAnsi="宋体" w:cs="宋体"/>
                <w:color w:val="auto"/>
                <w:sz w:val="24"/>
                <w:szCs w:val="24"/>
              </w:rPr>
              <w:t>；</w:t>
            </w:r>
            <w:r>
              <w:rPr>
                <w:rFonts w:ascii="宋体" w:hAnsi="宋体" w:cs="宋体"/>
                <w:color w:val="auto"/>
                <w:sz w:val="24"/>
                <w:szCs w:val="24"/>
                <w:lang w:val="zh-CN"/>
              </w:rPr>
              <w:t>J：指供应商的技术部分得分；</w:t>
            </w:r>
          </w:p>
          <w:p>
            <w:pPr>
              <w:spacing w:line="500" w:lineRule="exact"/>
              <w:jc w:val="both"/>
              <w:rPr>
                <w:rFonts w:ascii="宋体" w:hAnsi="宋体" w:cs="宋体"/>
                <w:b/>
                <w:color w:val="auto"/>
                <w:sz w:val="24"/>
                <w:szCs w:val="24"/>
              </w:rPr>
            </w:pPr>
            <w:r>
              <w:rPr>
                <w:rFonts w:ascii="宋体" w:hAnsi="宋体" w:cs="宋体"/>
                <w:b/>
                <w:color w:val="auto"/>
                <w:sz w:val="24"/>
                <w:szCs w:val="24"/>
              </w:rPr>
              <w:t>磋商小组按综合得分由高到低的顺序推荐第一、二、三成交候选人。</w:t>
            </w:r>
          </w:p>
        </w:tc>
      </w:tr>
      <w:tr>
        <w:tblPrEx>
          <w:tblLayout w:type="fixed"/>
          <w:tblCellMar>
            <w:top w:w="0" w:type="dxa"/>
            <w:left w:w="108" w:type="dxa"/>
            <w:bottom w:w="0" w:type="dxa"/>
            <w:right w:w="108" w:type="dxa"/>
          </w:tblCellMar>
        </w:tblPrEx>
        <w:trPr>
          <w:trHeight w:val="567" w:hRule="exact"/>
          <w:jc w:val="center"/>
        </w:trPr>
        <w:tc>
          <w:tcPr>
            <w:tcW w:w="9923"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4"/>
                <w:szCs w:val="24"/>
              </w:rPr>
            </w:pPr>
            <w:r>
              <w:rPr>
                <w:rFonts w:ascii="宋体" w:hAnsi="宋体" w:cs="宋体"/>
                <w:b/>
                <w:color w:val="auto"/>
                <w:sz w:val="24"/>
                <w:szCs w:val="24"/>
              </w:rPr>
              <w:t>评分标准</w:t>
            </w:r>
          </w:p>
        </w:tc>
      </w:tr>
      <w:tr>
        <w:tblPrEx>
          <w:tblLayout w:type="fixed"/>
          <w:tblCellMar>
            <w:top w:w="0" w:type="dxa"/>
            <w:left w:w="108" w:type="dxa"/>
            <w:bottom w:w="0" w:type="dxa"/>
            <w:right w:w="108" w:type="dxa"/>
          </w:tblCellMar>
        </w:tblPrEx>
        <w:trPr>
          <w:trHeight w:val="567" w:hRule="exact"/>
          <w:jc w:val="center"/>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w:t>
            </w:r>
            <w:r>
              <w:rPr>
                <w:rFonts w:hint="eastAsia" w:ascii="宋体" w:hAnsi="宋体" w:cs="宋体"/>
                <w:color w:val="auto"/>
                <w:sz w:val="24"/>
                <w:szCs w:val="24"/>
              </w:rPr>
              <w:t>2.1</w:t>
            </w:r>
          </w:p>
        </w:tc>
        <w:tc>
          <w:tcPr>
            <w:tcW w:w="709"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cs="宋体"/>
                <w:color w:val="auto"/>
                <w:sz w:val="24"/>
                <w:szCs w:val="24"/>
              </w:rPr>
            </w:pPr>
            <w:r>
              <w:rPr>
                <w:rFonts w:ascii="宋体" w:hAnsi="宋体" w:cs="宋体"/>
                <w:color w:val="auto"/>
                <w:sz w:val="24"/>
                <w:szCs w:val="24"/>
              </w:rPr>
              <w:t>商务部分评审</w:t>
            </w:r>
          </w:p>
        </w:tc>
        <w:tc>
          <w:tcPr>
            <w:tcW w:w="8363"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4"/>
                <w:szCs w:val="24"/>
              </w:rPr>
            </w:pPr>
            <w:r>
              <w:rPr>
                <w:rFonts w:ascii="宋体" w:hAnsi="宋体" w:cs="宋体"/>
                <w:b/>
                <w:color w:val="auto"/>
                <w:sz w:val="24"/>
                <w:szCs w:val="24"/>
              </w:rPr>
              <w:t>商务部分评分</w:t>
            </w:r>
            <w:r>
              <w:rPr>
                <w:rFonts w:ascii="宋体" w:hAnsi="宋体"/>
                <w:b/>
                <w:color w:val="auto"/>
                <w:sz w:val="24"/>
                <w:szCs w:val="24"/>
              </w:rPr>
              <w:t>（满分</w:t>
            </w:r>
            <w:r>
              <w:rPr>
                <w:rFonts w:hint="eastAsia" w:ascii="宋体" w:hAnsi="宋体"/>
                <w:b/>
                <w:color w:val="auto"/>
                <w:sz w:val="24"/>
                <w:szCs w:val="24"/>
              </w:rPr>
              <w:t>30</w:t>
            </w:r>
            <w:r>
              <w:rPr>
                <w:rFonts w:ascii="宋体" w:hAnsi="宋体"/>
                <w:b/>
                <w:color w:val="auto"/>
                <w:sz w:val="24"/>
                <w:szCs w:val="24"/>
              </w:rPr>
              <w:t>分）</w:t>
            </w:r>
          </w:p>
        </w:tc>
      </w:tr>
      <w:tr>
        <w:tblPrEx>
          <w:tblLayout w:type="fixed"/>
          <w:tblCellMar>
            <w:top w:w="0" w:type="dxa"/>
            <w:left w:w="108" w:type="dxa"/>
            <w:bottom w:w="0" w:type="dxa"/>
            <w:right w:w="108" w:type="dxa"/>
          </w:tblCellMar>
        </w:tblPrEx>
        <w:trPr>
          <w:trHeight w:val="567"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ascii="宋体" w:hAnsi="宋体" w:cs="宋体"/>
                <w:b/>
                <w:color w:val="auto"/>
                <w:sz w:val="24"/>
                <w:szCs w:val="24"/>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ascii="宋体" w:hAnsi="宋体" w:cs="宋体"/>
                <w:b/>
                <w:color w:val="auto"/>
                <w:sz w:val="24"/>
                <w:szCs w:val="24"/>
              </w:rPr>
            </w:pPr>
          </w:p>
        </w:tc>
        <w:tc>
          <w:tcPr>
            <w:tcW w:w="2693"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 w:val="24"/>
                <w:szCs w:val="24"/>
              </w:rPr>
            </w:pPr>
            <w:r>
              <w:rPr>
                <w:rFonts w:ascii="宋体" w:hAnsi="宋体" w:cs="宋体"/>
                <w:color w:val="auto"/>
                <w:sz w:val="24"/>
                <w:szCs w:val="24"/>
              </w:rPr>
              <w:t>磋商报价</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 w:val="24"/>
                <w:szCs w:val="24"/>
              </w:rPr>
            </w:pPr>
            <w:r>
              <w:rPr>
                <w:rFonts w:ascii="宋体" w:hAnsi="宋体"/>
                <w:color w:val="auto"/>
                <w:sz w:val="24"/>
                <w:szCs w:val="24"/>
              </w:rPr>
              <w:t>满分</w:t>
            </w:r>
            <w:r>
              <w:rPr>
                <w:rFonts w:hint="eastAsia" w:ascii="宋体" w:hAnsi="宋体"/>
                <w:color w:val="auto"/>
                <w:sz w:val="24"/>
                <w:szCs w:val="24"/>
              </w:rPr>
              <w:t>30</w:t>
            </w:r>
            <w:r>
              <w:rPr>
                <w:rFonts w:ascii="宋体" w:hAnsi="宋体"/>
                <w:color w:val="auto"/>
                <w:sz w:val="24"/>
                <w:szCs w:val="24"/>
              </w:rPr>
              <w:t>分</w:t>
            </w:r>
          </w:p>
        </w:tc>
      </w:tr>
      <w:tr>
        <w:tblPrEx>
          <w:tblLayout w:type="fixed"/>
          <w:tblCellMar>
            <w:top w:w="0" w:type="dxa"/>
            <w:left w:w="108" w:type="dxa"/>
            <w:bottom w:w="0" w:type="dxa"/>
            <w:right w:w="108" w:type="dxa"/>
          </w:tblCellMar>
        </w:tblPrEx>
        <w:trPr>
          <w:trHeight w:val="568"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ascii="宋体" w:hAnsi="宋体" w:cs="宋体"/>
                <w:b/>
                <w:color w:val="auto"/>
                <w:sz w:val="24"/>
                <w:szCs w:val="24"/>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ascii="宋体" w:hAnsi="宋体" w:cs="宋体"/>
                <w:b/>
                <w:color w:val="auto"/>
                <w:sz w:val="24"/>
                <w:szCs w:val="24"/>
              </w:rPr>
            </w:pPr>
          </w:p>
        </w:tc>
        <w:tc>
          <w:tcPr>
            <w:tcW w:w="8363" w:type="dxa"/>
            <w:gridSpan w:val="7"/>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Fonts w:hint="eastAsia" w:ascii="宋体" w:hAnsi="宋体"/>
                <w:color w:val="auto"/>
                <w:sz w:val="24"/>
              </w:rPr>
            </w:pPr>
            <w:r>
              <w:rPr>
                <w:rFonts w:hint="eastAsia" w:ascii="宋体" w:hAnsi="宋体"/>
                <w:color w:val="auto"/>
                <w:sz w:val="24"/>
              </w:rPr>
              <w:t>综合评分法中的价格分统一采用低价优先法计算，即满足招标文件实质性要求且投标报价最低的投标报价为评标基准价，其价格分为满分。其他供应商的价格分统一按照下列公式计算：</w:t>
            </w:r>
          </w:p>
          <w:p>
            <w:pPr>
              <w:spacing w:line="440" w:lineRule="exact"/>
              <w:rPr>
                <w:rFonts w:hint="eastAsia" w:ascii="宋体" w:hAnsi="宋体"/>
                <w:color w:val="auto"/>
                <w:sz w:val="24"/>
              </w:rPr>
            </w:pPr>
            <w:r>
              <w:rPr>
                <w:rFonts w:hint="eastAsia" w:ascii="宋体" w:hAnsi="宋体"/>
                <w:color w:val="auto"/>
                <w:sz w:val="24"/>
              </w:rPr>
              <w:t>各分项报价得分=（分项评标基准价/分项最后投标报价）×价格权值（15%）×100</w:t>
            </w:r>
          </w:p>
          <w:p>
            <w:pPr>
              <w:spacing w:line="440" w:lineRule="exact"/>
              <w:rPr>
                <w:rFonts w:hint="eastAsia" w:ascii="宋体" w:hAnsi="宋体"/>
                <w:color w:val="auto"/>
                <w:sz w:val="24"/>
              </w:rPr>
            </w:pPr>
            <w:r>
              <w:rPr>
                <w:rFonts w:hint="eastAsia" w:ascii="宋体" w:hAnsi="宋体"/>
                <w:color w:val="auto"/>
                <w:sz w:val="24"/>
              </w:rPr>
              <w:t>最终报价的得分=二种品类的得分之和（每个品种15分）</w:t>
            </w:r>
          </w:p>
          <w:p>
            <w:pPr>
              <w:spacing w:line="440" w:lineRule="exact"/>
              <w:ind w:firstLine="480"/>
              <w:rPr>
                <w:rFonts w:hint="eastAsia" w:ascii="宋体" w:hAnsi="宋体"/>
                <w:color w:val="auto"/>
                <w:sz w:val="24"/>
              </w:rPr>
            </w:pPr>
            <w:r>
              <w:rPr>
                <w:rFonts w:hint="eastAsia" w:ascii="宋体" w:hAnsi="宋体"/>
                <w:color w:val="auto"/>
                <w:sz w:val="24"/>
              </w:rPr>
              <w:t>注：（1）参与以上价格分评审的投标报价均为：1-报价优惠下浮比例。例如：报价优惠下浮比例为10%，参与评审的投标报价即为90%，假如另一个报价（报价优惠下浮比例）为5%，其参与评审的投标报价为95%，此时，报价优惠下浮比例为10%为</w:t>
            </w:r>
            <w:r>
              <w:rPr>
                <w:rFonts w:ascii="宋体" w:hAnsi="宋体"/>
                <w:color w:val="auto"/>
                <w:sz w:val="24"/>
              </w:rPr>
              <w:t>最低报价，</w:t>
            </w:r>
            <w:r>
              <w:rPr>
                <w:rFonts w:hint="eastAsia" w:ascii="宋体" w:hAnsi="宋体"/>
                <w:color w:val="auto"/>
                <w:sz w:val="24"/>
              </w:rPr>
              <w:t>同时也是评标基准价</w:t>
            </w:r>
          </w:p>
          <w:p>
            <w:pPr>
              <w:spacing w:line="440" w:lineRule="exact"/>
              <w:rPr>
                <w:rFonts w:hint="eastAsia" w:ascii="宋体" w:hAnsi="宋体"/>
                <w:bCs/>
                <w:color w:val="auto"/>
                <w:sz w:val="24"/>
              </w:rPr>
            </w:pPr>
            <w:r>
              <w:rPr>
                <w:rFonts w:hint="eastAsia" w:ascii="宋体" w:hAnsi="宋体"/>
                <w:bCs/>
                <w:color w:val="auto"/>
                <w:sz w:val="24"/>
              </w:rPr>
              <w:t>（2）政策优惠报价：在计算投标报价得分时，对小型和微型企业或残疾人福利性单位或监狱企业给予最终报价10%的扣除,用扣除后的价格参与评审，残疾人福利性单位、监狱企业视同小型、微型企业，不重复享受政策。</w:t>
            </w:r>
          </w:p>
          <w:p>
            <w:pPr>
              <w:spacing w:line="440" w:lineRule="exact"/>
              <w:rPr>
                <w:rFonts w:hint="eastAsia" w:ascii="宋体" w:hAnsi="宋体"/>
                <w:color w:val="auto"/>
                <w:sz w:val="24"/>
              </w:rPr>
            </w:pPr>
            <w:r>
              <w:rPr>
                <w:rFonts w:hint="eastAsia" w:ascii="宋体" w:hAnsi="宋体"/>
                <w:color w:val="auto"/>
                <w:sz w:val="24"/>
              </w:rPr>
              <w:t>（3）项目评审过程中，不得去掉投标报价中的最高报价和最低报价。</w:t>
            </w:r>
          </w:p>
          <w:p>
            <w:pPr>
              <w:spacing w:line="440" w:lineRule="exact"/>
              <w:rPr>
                <w:rFonts w:hint="eastAsia" w:ascii="宋体" w:hAnsi="宋体"/>
                <w:color w:val="auto"/>
                <w:sz w:val="24"/>
              </w:rPr>
            </w:pPr>
            <w:r>
              <w:rPr>
                <w:rFonts w:hint="eastAsia" w:ascii="宋体" w:hAnsi="宋体"/>
                <w:color w:val="auto"/>
                <w:sz w:val="24"/>
              </w:rPr>
              <w:t>（4）磋商报价得分采用插入法计算，保留两位小数。</w:t>
            </w:r>
          </w:p>
        </w:tc>
      </w:tr>
      <w:tr>
        <w:tblPrEx>
          <w:tblLayout w:type="fixed"/>
          <w:tblCellMar>
            <w:top w:w="0" w:type="dxa"/>
            <w:left w:w="108" w:type="dxa"/>
            <w:bottom w:w="0" w:type="dxa"/>
            <w:right w:w="108" w:type="dxa"/>
          </w:tblCellMar>
        </w:tblPrEx>
        <w:trPr>
          <w:trHeight w:val="454" w:hRule="atLeast"/>
          <w:jc w:val="center"/>
        </w:trPr>
        <w:tc>
          <w:tcPr>
            <w:tcW w:w="9923" w:type="dxa"/>
            <w:gridSpan w:val="10"/>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cs="宋体"/>
                <w:b/>
                <w:color w:val="auto"/>
                <w:sz w:val="24"/>
                <w:szCs w:val="24"/>
              </w:rPr>
            </w:pPr>
            <w:r>
              <w:rPr>
                <w:rFonts w:ascii="宋体" w:hAnsi="宋体" w:cs="宋体"/>
                <w:b/>
                <w:color w:val="auto"/>
                <w:sz w:val="24"/>
                <w:szCs w:val="24"/>
              </w:rPr>
              <w:t>技术部分评分（满分</w:t>
            </w:r>
            <w:r>
              <w:rPr>
                <w:rFonts w:hint="eastAsia" w:ascii="宋体" w:hAnsi="宋体" w:cs="宋体"/>
                <w:b/>
                <w:color w:val="auto"/>
                <w:sz w:val="24"/>
                <w:szCs w:val="24"/>
              </w:rPr>
              <w:t>70</w:t>
            </w:r>
            <w:r>
              <w:rPr>
                <w:rFonts w:ascii="宋体" w:hAnsi="宋体" w:cs="宋体"/>
                <w:b/>
                <w:color w:val="auto"/>
                <w:sz w:val="24"/>
                <w:szCs w:val="24"/>
              </w:rPr>
              <w:t>分）</w:t>
            </w:r>
          </w:p>
        </w:tc>
      </w:tr>
      <w:tr>
        <w:tblPrEx>
          <w:tblLayout w:type="fixed"/>
          <w:tblCellMar>
            <w:top w:w="0" w:type="dxa"/>
            <w:left w:w="108" w:type="dxa"/>
            <w:bottom w:w="0" w:type="dxa"/>
            <w:right w:w="108" w:type="dxa"/>
          </w:tblCellMar>
        </w:tblPrEx>
        <w:trPr>
          <w:trHeight w:val="454" w:hRule="atLeast"/>
          <w:jc w:val="center"/>
        </w:trPr>
        <w:tc>
          <w:tcPr>
            <w:tcW w:w="99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ascii="宋体" w:hAnsi="宋体" w:cs="宋体"/>
                <w:color w:val="auto"/>
                <w:sz w:val="24"/>
                <w:szCs w:val="24"/>
              </w:rPr>
            </w:pPr>
            <w:r>
              <w:rPr>
                <w:rFonts w:hint="eastAsia" w:ascii="宋体" w:hAnsi="宋体" w:cs="宋体"/>
                <w:color w:val="auto"/>
                <w:sz w:val="24"/>
                <w:szCs w:val="24"/>
              </w:rPr>
              <w:t>2.2.2</w:t>
            </w:r>
          </w:p>
        </w:tc>
        <w:tc>
          <w:tcPr>
            <w:tcW w:w="85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ascii="宋体" w:hAnsi="宋体" w:cs="宋体"/>
                <w:color w:val="auto"/>
                <w:sz w:val="24"/>
                <w:szCs w:val="24"/>
              </w:rPr>
            </w:pPr>
            <w:r>
              <w:rPr>
                <w:rFonts w:hint="eastAsia" w:ascii="宋体" w:hAnsi="宋体" w:cs="宋体"/>
                <w:color w:val="auto"/>
                <w:sz w:val="24"/>
                <w:szCs w:val="24"/>
              </w:rPr>
              <w:t>技术部分评审</w:t>
            </w:r>
          </w:p>
        </w:tc>
        <w:tc>
          <w:tcPr>
            <w:tcW w:w="5103" w:type="dxa"/>
            <w:gridSpan w:val="4"/>
            <w:tcBorders>
              <w:top w:val="single" w:color="000000" w:sz="4" w:space="0"/>
              <w:left w:val="single" w:color="000000" w:sz="4" w:space="0"/>
              <w:right w:val="single" w:color="000000" w:sz="4" w:space="0"/>
            </w:tcBorders>
            <w:vAlign w:val="center"/>
          </w:tcPr>
          <w:p>
            <w:pPr>
              <w:spacing w:line="510" w:lineRule="exact"/>
              <w:jc w:val="center"/>
              <w:rPr>
                <w:rFonts w:hint="eastAsia" w:ascii="宋体" w:hAnsi="宋体" w:cs="宋体"/>
                <w:color w:val="auto"/>
                <w:sz w:val="24"/>
                <w:szCs w:val="24"/>
              </w:rPr>
            </w:pPr>
            <w:r>
              <w:rPr>
                <w:rFonts w:hint="eastAsia" w:ascii="宋体" w:hAnsi="宋体" w:cs="宋体"/>
                <w:color w:val="auto"/>
                <w:sz w:val="24"/>
                <w:szCs w:val="24"/>
              </w:rPr>
              <w:t>供货能力、供货渠道</w:t>
            </w:r>
          </w:p>
        </w:tc>
        <w:tc>
          <w:tcPr>
            <w:tcW w:w="2977" w:type="dxa"/>
            <w:tcBorders>
              <w:top w:val="single" w:color="000000" w:sz="4" w:space="0"/>
              <w:left w:val="single" w:color="000000" w:sz="4" w:space="0"/>
              <w:right w:val="single" w:color="000000" w:sz="4" w:space="0"/>
            </w:tcBorders>
            <w:vAlign w:val="center"/>
          </w:tcPr>
          <w:p>
            <w:pPr>
              <w:spacing w:line="540" w:lineRule="exact"/>
              <w:jc w:val="center"/>
              <w:rPr>
                <w:rFonts w:hint="eastAsia" w:ascii="宋体" w:hAnsi="宋体"/>
                <w:color w:val="auto"/>
                <w:sz w:val="24"/>
                <w:szCs w:val="24"/>
              </w:rPr>
            </w:pPr>
            <w:r>
              <w:rPr>
                <w:rFonts w:hint="eastAsia" w:ascii="宋体" w:hAnsi="宋体"/>
                <w:color w:val="auto"/>
                <w:sz w:val="24"/>
                <w:szCs w:val="24"/>
              </w:rPr>
              <w:t>满分10分</w:t>
            </w:r>
          </w:p>
        </w:tc>
      </w:tr>
      <w:tr>
        <w:tblPrEx>
          <w:tblLayout w:type="fixed"/>
          <w:tblCellMar>
            <w:top w:w="0" w:type="dxa"/>
            <w:left w:w="108" w:type="dxa"/>
            <w:bottom w:w="0" w:type="dxa"/>
            <w:right w:w="108" w:type="dxa"/>
          </w:tblCellMar>
        </w:tblPrEx>
        <w:trPr>
          <w:trHeight w:val="454" w:hRule="atLeast"/>
          <w:jc w:val="center"/>
        </w:trPr>
        <w:tc>
          <w:tcPr>
            <w:tcW w:w="9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5103" w:type="dxa"/>
            <w:gridSpan w:val="4"/>
            <w:tcBorders>
              <w:top w:val="single" w:color="000000" w:sz="4" w:space="0"/>
              <w:left w:val="single" w:color="000000" w:sz="4" w:space="0"/>
              <w:bottom w:val="single" w:color="000000" w:sz="4" w:space="0"/>
              <w:right w:val="single" w:color="000000" w:sz="4" w:space="0"/>
            </w:tcBorders>
            <w:vAlign w:val="center"/>
          </w:tcPr>
          <w:p>
            <w:pPr>
              <w:pStyle w:val="5"/>
              <w:spacing w:line="510" w:lineRule="exact"/>
              <w:jc w:val="center"/>
              <w:rPr>
                <w:rFonts w:hint="eastAsia"/>
                <w:color w:val="auto"/>
                <w:sz w:val="24"/>
                <w:szCs w:val="24"/>
                <w:lang w:eastAsia="zh-CN"/>
              </w:rPr>
            </w:pPr>
            <w:r>
              <w:rPr>
                <w:rFonts w:hint="eastAsia"/>
                <w:color w:val="auto"/>
                <w:sz w:val="24"/>
                <w:szCs w:val="24"/>
                <w:lang w:eastAsia="zh-CN"/>
              </w:rPr>
              <w:t>配送方案</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宋体" w:hAnsi="宋体"/>
                <w:color w:val="auto"/>
                <w:sz w:val="24"/>
                <w:szCs w:val="24"/>
              </w:rPr>
            </w:pPr>
            <w:r>
              <w:rPr>
                <w:rFonts w:hint="eastAsia" w:ascii="宋体" w:hAnsi="宋体"/>
                <w:color w:val="auto"/>
                <w:sz w:val="24"/>
                <w:szCs w:val="24"/>
              </w:rPr>
              <w:t>满分20分</w:t>
            </w:r>
          </w:p>
        </w:tc>
      </w:tr>
      <w:tr>
        <w:tblPrEx>
          <w:tblLayout w:type="fixed"/>
          <w:tblCellMar>
            <w:top w:w="0" w:type="dxa"/>
            <w:left w:w="108" w:type="dxa"/>
            <w:bottom w:w="0" w:type="dxa"/>
            <w:right w:w="108" w:type="dxa"/>
          </w:tblCellMar>
        </w:tblPrEx>
        <w:trPr>
          <w:trHeight w:val="454" w:hRule="atLeast"/>
          <w:jc w:val="center"/>
        </w:trPr>
        <w:tc>
          <w:tcPr>
            <w:tcW w:w="9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5103" w:type="dxa"/>
            <w:gridSpan w:val="4"/>
            <w:tcBorders>
              <w:top w:val="single" w:color="000000" w:sz="4" w:space="0"/>
              <w:left w:val="single" w:color="000000" w:sz="4" w:space="0"/>
              <w:bottom w:val="single" w:color="000000" w:sz="4" w:space="0"/>
              <w:right w:val="single" w:color="000000" w:sz="4" w:space="0"/>
            </w:tcBorders>
            <w:vAlign w:val="center"/>
          </w:tcPr>
          <w:p>
            <w:pPr>
              <w:pStyle w:val="5"/>
              <w:jc w:val="center"/>
              <w:rPr>
                <w:rFonts w:hint="eastAsia"/>
                <w:color w:val="auto"/>
                <w:sz w:val="24"/>
                <w:szCs w:val="24"/>
                <w:lang w:val="en-US" w:eastAsia="zh-CN"/>
              </w:rPr>
            </w:pPr>
            <w:r>
              <w:rPr>
                <w:rFonts w:hint="eastAsia"/>
                <w:color w:val="auto"/>
                <w:sz w:val="24"/>
                <w:szCs w:val="24"/>
                <w:lang w:val="en-US"/>
              </w:rPr>
              <w:t>药品管理</w:t>
            </w:r>
            <w:r>
              <w:rPr>
                <w:rFonts w:hint="eastAsia"/>
                <w:color w:val="auto"/>
                <w:sz w:val="24"/>
                <w:szCs w:val="24"/>
              </w:rPr>
              <w:t>方案</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宋体" w:hAnsi="宋体"/>
                <w:color w:val="auto"/>
                <w:sz w:val="24"/>
                <w:szCs w:val="24"/>
              </w:rPr>
            </w:pPr>
            <w:r>
              <w:rPr>
                <w:rFonts w:hint="eastAsia" w:ascii="宋体" w:hAnsi="宋体"/>
                <w:color w:val="auto"/>
                <w:sz w:val="24"/>
                <w:szCs w:val="24"/>
              </w:rPr>
              <w:t>满分5分</w:t>
            </w:r>
          </w:p>
        </w:tc>
      </w:tr>
      <w:tr>
        <w:tblPrEx>
          <w:tblLayout w:type="fixed"/>
          <w:tblCellMar>
            <w:top w:w="0" w:type="dxa"/>
            <w:left w:w="108" w:type="dxa"/>
            <w:bottom w:w="0" w:type="dxa"/>
            <w:right w:w="108" w:type="dxa"/>
          </w:tblCellMar>
        </w:tblPrEx>
        <w:trPr>
          <w:trHeight w:val="454" w:hRule="atLeast"/>
          <w:jc w:val="center"/>
        </w:trPr>
        <w:tc>
          <w:tcPr>
            <w:tcW w:w="9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5103"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40" w:lineRule="exact"/>
              <w:jc w:val="center"/>
              <w:rPr>
                <w:rFonts w:hint="eastAsia" w:ascii="宋体" w:hAnsi="宋体"/>
                <w:color w:val="auto"/>
                <w:sz w:val="24"/>
                <w:szCs w:val="24"/>
              </w:rPr>
            </w:pPr>
            <w:r>
              <w:rPr>
                <w:rFonts w:hint="eastAsia" w:ascii="宋体" w:hAnsi="宋体"/>
                <w:color w:val="auto"/>
                <w:sz w:val="24"/>
                <w:szCs w:val="24"/>
              </w:rPr>
              <w:t>项目组织机构及人员配备</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宋体" w:hAnsi="宋体"/>
                <w:color w:val="auto"/>
                <w:sz w:val="24"/>
                <w:szCs w:val="24"/>
              </w:rPr>
            </w:pPr>
            <w:r>
              <w:rPr>
                <w:rFonts w:hint="eastAsia" w:ascii="宋体" w:hAnsi="宋体"/>
                <w:color w:val="auto"/>
                <w:sz w:val="24"/>
                <w:szCs w:val="24"/>
              </w:rPr>
              <w:t>满分5分</w:t>
            </w:r>
          </w:p>
        </w:tc>
      </w:tr>
      <w:tr>
        <w:tblPrEx>
          <w:tblLayout w:type="fixed"/>
          <w:tblCellMar>
            <w:top w:w="0" w:type="dxa"/>
            <w:left w:w="108" w:type="dxa"/>
            <w:bottom w:w="0" w:type="dxa"/>
            <w:right w:w="108" w:type="dxa"/>
          </w:tblCellMar>
        </w:tblPrEx>
        <w:trPr>
          <w:trHeight w:val="454" w:hRule="atLeast"/>
          <w:jc w:val="center"/>
        </w:trPr>
        <w:tc>
          <w:tcPr>
            <w:tcW w:w="9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5103"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40" w:lineRule="exact"/>
              <w:jc w:val="center"/>
              <w:rPr>
                <w:rFonts w:hint="eastAsia" w:ascii="宋体" w:hAnsi="宋体"/>
                <w:color w:val="auto"/>
                <w:sz w:val="24"/>
                <w:szCs w:val="24"/>
              </w:rPr>
            </w:pPr>
            <w:r>
              <w:rPr>
                <w:rFonts w:hint="eastAsia" w:ascii="宋体" w:hAnsi="宋体"/>
                <w:color w:val="auto"/>
                <w:sz w:val="24"/>
                <w:szCs w:val="24"/>
                <w:lang w:bidi="zh-CN"/>
              </w:rPr>
              <w:t>质量保证措施及承诺</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宋体" w:hAnsi="宋体"/>
                <w:color w:val="auto"/>
                <w:sz w:val="24"/>
                <w:szCs w:val="24"/>
              </w:rPr>
            </w:pPr>
            <w:r>
              <w:rPr>
                <w:rFonts w:hint="eastAsia" w:ascii="宋体" w:hAnsi="宋体"/>
                <w:color w:val="auto"/>
                <w:sz w:val="24"/>
                <w:szCs w:val="24"/>
              </w:rPr>
              <w:t>满分10分</w:t>
            </w:r>
          </w:p>
        </w:tc>
      </w:tr>
      <w:tr>
        <w:tblPrEx>
          <w:tblLayout w:type="fixed"/>
          <w:tblCellMar>
            <w:top w:w="0" w:type="dxa"/>
            <w:left w:w="108" w:type="dxa"/>
            <w:bottom w:w="0" w:type="dxa"/>
            <w:right w:w="108" w:type="dxa"/>
          </w:tblCellMar>
        </w:tblPrEx>
        <w:trPr>
          <w:trHeight w:val="454" w:hRule="atLeast"/>
          <w:jc w:val="center"/>
        </w:trPr>
        <w:tc>
          <w:tcPr>
            <w:tcW w:w="9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5103"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00" w:lineRule="exact"/>
              <w:jc w:val="center"/>
              <w:rPr>
                <w:rFonts w:hint="eastAsia" w:ascii="宋体" w:hAnsi="宋体"/>
                <w:color w:val="auto"/>
                <w:sz w:val="24"/>
                <w:szCs w:val="24"/>
              </w:rPr>
            </w:pPr>
            <w:r>
              <w:rPr>
                <w:rFonts w:hint="eastAsia" w:ascii="宋体" w:hAnsi="宋体"/>
                <w:color w:val="auto"/>
                <w:sz w:val="24"/>
                <w:szCs w:val="24"/>
              </w:rPr>
              <w:t>应急预案</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宋体" w:hAnsi="宋体"/>
                <w:color w:val="auto"/>
                <w:sz w:val="24"/>
                <w:szCs w:val="24"/>
              </w:rPr>
            </w:pPr>
            <w:r>
              <w:rPr>
                <w:rFonts w:hint="eastAsia" w:ascii="宋体" w:hAnsi="宋体"/>
                <w:color w:val="auto"/>
                <w:sz w:val="24"/>
                <w:szCs w:val="24"/>
              </w:rPr>
              <w:t>满分5分</w:t>
            </w:r>
          </w:p>
        </w:tc>
      </w:tr>
      <w:tr>
        <w:tblPrEx>
          <w:tblLayout w:type="fixed"/>
          <w:tblCellMar>
            <w:top w:w="0" w:type="dxa"/>
            <w:left w:w="108" w:type="dxa"/>
            <w:bottom w:w="0" w:type="dxa"/>
            <w:right w:w="108" w:type="dxa"/>
          </w:tblCellMar>
        </w:tblPrEx>
        <w:trPr>
          <w:trHeight w:val="454" w:hRule="atLeast"/>
          <w:jc w:val="center"/>
        </w:trPr>
        <w:tc>
          <w:tcPr>
            <w:tcW w:w="9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5103" w:type="dxa"/>
            <w:gridSpan w:val="4"/>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line="480" w:lineRule="exact"/>
              <w:jc w:val="center"/>
              <w:rPr>
                <w:rFonts w:hint="eastAsia" w:ascii="宋体" w:hAnsi="宋体"/>
                <w:color w:val="auto"/>
                <w:sz w:val="24"/>
                <w:szCs w:val="24"/>
              </w:rPr>
            </w:pPr>
            <w:r>
              <w:rPr>
                <w:rFonts w:hint="eastAsia" w:ascii="宋体" w:hAnsi="宋体"/>
                <w:bCs/>
                <w:color w:val="auto"/>
                <w:sz w:val="24"/>
                <w:szCs w:val="24"/>
              </w:rPr>
              <w:t>拟投入配送需要的主要设备</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宋体" w:hAnsi="宋体"/>
                <w:color w:val="auto"/>
                <w:sz w:val="24"/>
                <w:szCs w:val="24"/>
              </w:rPr>
            </w:pPr>
            <w:r>
              <w:rPr>
                <w:rFonts w:hint="eastAsia" w:ascii="宋体" w:hAnsi="宋体"/>
                <w:color w:val="auto"/>
                <w:sz w:val="24"/>
                <w:szCs w:val="24"/>
              </w:rPr>
              <w:t>满分5分</w:t>
            </w:r>
          </w:p>
        </w:tc>
      </w:tr>
      <w:tr>
        <w:tblPrEx>
          <w:tblLayout w:type="fixed"/>
          <w:tblCellMar>
            <w:top w:w="0" w:type="dxa"/>
            <w:left w:w="108" w:type="dxa"/>
            <w:bottom w:w="0" w:type="dxa"/>
            <w:right w:w="108" w:type="dxa"/>
          </w:tblCellMar>
        </w:tblPrEx>
        <w:trPr>
          <w:trHeight w:val="454" w:hRule="atLeast"/>
          <w:jc w:val="center"/>
        </w:trPr>
        <w:tc>
          <w:tcPr>
            <w:tcW w:w="9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5103"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宋体" w:hAnsi="宋体" w:cs="宋体"/>
                <w:color w:val="auto"/>
                <w:sz w:val="24"/>
                <w:szCs w:val="24"/>
              </w:rPr>
            </w:pPr>
            <w:r>
              <w:rPr>
                <w:rFonts w:hint="eastAsia" w:ascii="宋体" w:hAnsi="宋体"/>
                <w:color w:val="auto"/>
                <w:sz w:val="24"/>
                <w:szCs w:val="24"/>
              </w:rPr>
              <w:t>售后服务内容及承诺</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宋体" w:hAnsi="宋体"/>
                <w:color w:val="auto"/>
                <w:sz w:val="24"/>
                <w:szCs w:val="24"/>
              </w:rPr>
            </w:pPr>
            <w:r>
              <w:rPr>
                <w:rFonts w:hint="eastAsia" w:ascii="宋体" w:hAnsi="宋体"/>
                <w:color w:val="auto"/>
                <w:sz w:val="24"/>
                <w:szCs w:val="24"/>
              </w:rPr>
              <w:t>满分5分</w:t>
            </w:r>
          </w:p>
        </w:tc>
      </w:tr>
      <w:tr>
        <w:tblPrEx>
          <w:tblLayout w:type="fixed"/>
          <w:tblCellMar>
            <w:top w:w="0" w:type="dxa"/>
            <w:left w:w="108" w:type="dxa"/>
            <w:bottom w:w="0" w:type="dxa"/>
            <w:right w:w="108" w:type="dxa"/>
          </w:tblCellMar>
        </w:tblPrEx>
        <w:trPr>
          <w:trHeight w:val="454" w:hRule="atLeast"/>
          <w:jc w:val="center"/>
        </w:trPr>
        <w:tc>
          <w:tcPr>
            <w:tcW w:w="9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600" w:lineRule="exact"/>
              <w:rPr>
                <w:rFonts w:hint="eastAsia" w:ascii="宋体" w:hAnsi="宋体" w:cs="宋体"/>
                <w:color w:val="auto"/>
                <w:sz w:val="24"/>
                <w:szCs w:val="24"/>
              </w:rPr>
            </w:pPr>
          </w:p>
        </w:tc>
        <w:tc>
          <w:tcPr>
            <w:tcW w:w="5103" w:type="dxa"/>
            <w:gridSpan w:val="4"/>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宋体" w:hAnsi="宋体"/>
                <w:color w:val="auto"/>
                <w:sz w:val="24"/>
                <w:szCs w:val="24"/>
              </w:rPr>
            </w:pPr>
            <w:r>
              <w:rPr>
                <w:rFonts w:hint="eastAsia" w:ascii="宋体" w:hAnsi="宋体"/>
                <w:color w:val="auto"/>
                <w:sz w:val="24"/>
                <w:szCs w:val="24"/>
              </w:rPr>
              <w:t>业绩</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宋体" w:hAnsi="宋体"/>
                <w:color w:val="auto"/>
                <w:sz w:val="24"/>
                <w:szCs w:val="24"/>
              </w:rPr>
            </w:pPr>
            <w:r>
              <w:rPr>
                <w:rFonts w:hint="eastAsia" w:ascii="宋体" w:hAnsi="宋体"/>
                <w:color w:val="auto"/>
                <w:sz w:val="24"/>
                <w:szCs w:val="24"/>
              </w:rPr>
              <w:t>满分5分</w:t>
            </w:r>
          </w:p>
        </w:tc>
      </w:tr>
    </w:tbl>
    <w:p>
      <w:pPr>
        <w:pStyle w:val="2"/>
        <w:spacing w:before="120" w:after="120" w:line="480" w:lineRule="exact"/>
        <w:jc w:val="center"/>
        <w:rPr>
          <w:rFonts w:ascii="宋体" w:hAnsi="宋体" w:cs="宋体"/>
          <w:color w:val="auto"/>
          <w:sz w:val="30"/>
          <w:szCs w:val="30"/>
          <w:lang w:val="zh-CN"/>
        </w:rPr>
      </w:pPr>
      <w:bookmarkStart w:id="1" w:name="_Toc398022654"/>
      <w:bookmarkEnd w:id="1"/>
      <w:bookmarkStart w:id="2" w:name="_Toc264493058"/>
      <w:bookmarkEnd w:id="2"/>
      <w:r>
        <w:rPr>
          <w:rFonts w:ascii="宋体" w:hAnsi="宋体" w:cs="宋体"/>
          <w:color w:val="auto"/>
          <w:sz w:val="30"/>
          <w:szCs w:val="30"/>
          <w:lang w:val="zh-CN"/>
        </w:rPr>
        <w:t>一、评标方法</w:t>
      </w:r>
    </w:p>
    <w:p>
      <w:pPr>
        <w:spacing w:line="480" w:lineRule="exact"/>
        <w:ind w:firstLine="472" w:firstLineChars="196"/>
        <w:rPr>
          <w:rFonts w:ascii="宋体" w:hAnsi="宋体" w:cs="宋体"/>
          <w:b/>
          <w:color w:val="auto"/>
          <w:sz w:val="24"/>
          <w:szCs w:val="24"/>
        </w:rPr>
      </w:pPr>
      <w:bookmarkStart w:id="3" w:name="_Toc264493059"/>
      <w:bookmarkEnd w:id="3"/>
      <w:r>
        <w:rPr>
          <w:rFonts w:ascii="宋体" w:hAnsi="宋体" w:cs="宋体"/>
          <w:b/>
          <w:color w:val="auto"/>
          <w:sz w:val="24"/>
          <w:szCs w:val="24"/>
        </w:rPr>
        <w:t>1.1评审办法</w:t>
      </w:r>
    </w:p>
    <w:p>
      <w:pPr>
        <w:spacing w:line="520" w:lineRule="exact"/>
        <w:ind w:firstLine="482"/>
        <w:rPr>
          <w:rFonts w:hint="eastAsia" w:ascii="宋体" w:hAnsi="宋体" w:cs="宋体"/>
          <w:color w:val="auto"/>
          <w:sz w:val="24"/>
          <w:szCs w:val="24"/>
        </w:rPr>
      </w:pPr>
      <w:r>
        <w:rPr>
          <w:rFonts w:hint="eastAsia" w:ascii="宋体" w:hAnsi="宋体" w:cs="宋体"/>
          <w:color w:val="auto"/>
          <w:sz w:val="24"/>
          <w:szCs w:val="24"/>
        </w:rPr>
        <w:t>1.1.1本次评审采用综合评分法。磋商小组</w:t>
      </w:r>
      <w:r>
        <w:rPr>
          <w:rFonts w:ascii="宋体" w:hAnsi="宋体" w:cs="宋体"/>
          <w:color w:val="auto"/>
          <w:sz w:val="24"/>
          <w:szCs w:val="24"/>
        </w:rPr>
        <w:t>将按</w:t>
      </w:r>
      <w:r>
        <w:rPr>
          <w:rFonts w:hint="eastAsia" w:ascii="宋体" w:hAnsi="宋体" w:cs="宋体"/>
          <w:color w:val="auto"/>
          <w:sz w:val="24"/>
          <w:szCs w:val="24"/>
        </w:rPr>
        <w:t>综合评分表中规定的各项分值进行打分并计算</w:t>
      </w:r>
      <w:r>
        <w:rPr>
          <w:rFonts w:ascii="宋体" w:hAnsi="宋体" w:cs="宋体"/>
          <w:color w:val="auto"/>
          <w:sz w:val="24"/>
          <w:szCs w:val="24"/>
        </w:rPr>
        <w:t>出各</w:t>
      </w:r>
      <w:r>
        <w:rPr>
          <w:rFonts w:hint="eastAsia" w:ascii="宋体" w:hAnsi="宋体" w:cs="宋体"/>
          <w:color w:val="auto"/>
          <w:sz w:val="24"/>
          <w:szCs w:val="24"/>
        </w:rPr>
        <w:t>供应商</w:t>
      </w:r>
      <w:r>
        <w:rPr>
          <w:rFonts w:ascii="宋体" w:hAnsi="宋体" w:cs="宋体"/>
          <w:color w:val="auto"/>
          <w:sz w:val="24"/>
          <w:szCs w:val="24"/>
        </w:rPr>
        <w:t>的综合得分，按得分由高到低推荐</w:t>
      </w:r>
      <w:r>
        <w:rPr>
          <w:rFonts w:hint="eastAsia" w:ascii="宋体" w:hAnsi="宋体" w:cs="宋体"/>
          <w:color w:val="auto"/>
          <w:sz w:val="24"/>
          <w:szCs w:val="24"/>
        </w:rPr>
        <w:t>成交候</w:t>
      </w:r>
      <w:r>
        <w:rPr>
          <w:rFonts w:ascii="宋体" w:hAnsi="宋体" w:cs="宋体"/>
          <w:color w:val="auto"/>
          <w:sz w:val="24"/>
          <w:szCs w:val="24"/>
        </w:rPr>
        <w:t>选</w:t>
      </w:r>
      <w:r>
        <w:rPr>
          <w:rFonts w:hint="eastAsia" w:ascii="宋体" w:hAnsi="宋体" w:cs="宋体"/>
          <w:color w:val="auto"/>
          <w:sz w:val="24"/>
          <w:szCs w:val="24"/>
        </w:rPr>
        <w:t>供应商</w:t>
      </w:r>
      <w:r>
        <w:rPr>
          <w:rFonts w:ascii="宋体" w:hAnsi="宋体" w:cs="宋体"/>
          <w:color w:val="auto"/>
          <w:sz w:val="24"/>
          <w:szCs w:val="24"/>
        </w:rPr>
        <w:t>排序</w:t>
      </w:r>
      <w:r>
        <w:rPr>
          <w:rFonts w:hint="eastAsia" w:ascii="宋体" w:hAnsi="宋体" w:cs="宋体"/>
          <w:color w:val="auto"/>
          <w:sz w:val="24"/>
          <w:szCs w:val="24"/>
        </w:rPr>
        <w:t>的评审方法。</w:t>
      </w:r>
    </w:p>
    <w:p>
      <w:pPr>
        <w:spacing w:line="520" w:lineRule="exact"/>
        <w:ind w:firstLine="482"/>
        <w:rPr>
          <w:rFonts w:ascii="宋体" w:hAnsi="宋体" w:cs="宋体"/>
          <w:b/>
          <w:color w:val="auto"/>
          <w:sz w:val="24"/>
          <w:szCs w:val="24"/>
        </w:rPr>
      </w:pPr>
      <w:r>
        <w:rPr>
          <w:rFonts w:hint="eastAsia" w:ascii="宋体" w:hAnsi="宋体" w:cs="宋体"/>
          <w:b/>
          <w:color w:val="auto"/>
          <w:sz w:val="24"/>
          <w:szCs w:val="24"/>
        </w:rPr>
        <w:t>1.1.2中小企业扶持政策</w:t>
      </w:r>
    </w:p>
    <w:p>
      <w:pPr>
        <w:spacing w:line="520" w:lineRule="exact"/>
        <w:ind w:firstLine="482"/>
        <w:rPr>
          <w:rFonts w:ascii="宋体" w:hAnsi="宋体" w:cs="宋体"/>
          <w:color w:val="auto"/>
          <w:sz w:val="24"/>
          <w:szCs w:val="24"/>
        </w:rPr>
      </w:pPr>
      <w:r>
        <w:rPr>
          <w:rFonts w:hint="eastAsia" w:ascii="宋体" w:hAnsi="宋体" w:cs="宋体"/>
          <w:color w:val="auto"/>
          <w:sz w:val="24"/>
          <w:szCs w:val="24"/>
        </w:rPr>
        <w:t>1.1.2.1根据《</w:t>
      </w:r>
      <w:r>
        <w:rPr>
          <w:rFonts w:ascii="宋体" w:hAnsi="宋体" w:cs="宋体"/>
          <w:color w:val="auto"/>
          <w:sz w:val="24"/>
          <w:szCs w:val="24"/>
        </w:rPr>
        <w:t>关于印发</w:t>
      </w:r>
      <w:r>
        <w:rPr>
          <w:rFonts w:hint="eastAsia" w:ascii="宋体" w:hAnsi="宋体" w:cs="宋体"/>
          <w:color w:val="auto"/>
          <w:sz w:val="24"/>
          <w:szCs w:val="24"/>
        </w:rPr>
        <w:t>&lt;政府采购促进中小企业发展管理办法&gt;</w:t>
      </w:r>
      <w:r>
        <w:rPr>
          <w:rFonts w:ascii="宋体" w:hAnsi="宋体" w:cs="宋体"/>
          <w:color w:val="auto"/>
          <w:sz w:val="24"/>
          <w:szCs w:val="24"/>
        </w:rPr>
        <w:t>的通知</w:t>
      </w:r>
      <w:r>
        <w:rPr>
          <w:rFonts w:hint="eastAsia" w:ascii="宋体" w:hAnsi="宋体" w:cs="宋体"/>
          <w:color w:val="auto"/>
          <w:sz w:val="24"/>
          <w:szCs w:val="24"/>
        </w:rPr>
        <w:t>》（财库【2020】46号）的规定，服务商提供的货物、工程或者服务符合下列情形的，享受评标方法中小企业扶持政策：</w:t>
      </w:r>
    </w:p>
    <w:p>
      <w:pPr>
        <w:spacing w:line="520" w:lineRule="exact"/>
        <w:ind w:firstLine="482"/>
        <w:rPr>
          <w:rFonts w:ascii="宋体" w:hAnsi="宋体" w:cs="宋体"/>
          <w:color w:val="auto"/>
          <w:sz w:val="24"/>
          <w:szCs w:val="24"/>
        </w:rPr>
      </w:pPr>
      <w:r>
        <w:rPr>
          <w:rFonts w:hint="eastAsia" w:ascii="宋体" w:hAnsi="宋体" w:cs="宋体"/>
          <w:color w:val="auto"/>
          <w:sz w:val="24"/>
          <w:szCs w:val="24"/>
        </w:rPr>
        <w:t>1.1.2.1.1在货物采购项目中，货物由中小企业制造，即货物由中小企业生产且使用该中小企业商号或者注册商标；</w:t>
      </w:r>
    </w:p>
    <w:p>
      <w:pPr>
        <w:spacing w:line="520" w:lineRule="exact"/>
        <w:ind w:firstLine="482"/>
        <w:rPr>
          <w:rFonts w:ascii="宋体" w:hAnsi="宋体" w:cs="宋体"/>
          <w:color w:val="auto"/>
          <w:sz w:val="24"/>
          <w:szCs w:val="24"/>
        </w:rPr>
      </w:pPr>
      <w:r>
        <w:rPr>
          <w:rFonts w:hint="eastAsia" w:ascii="宋体" w:hAnsi="宋体" w:cs="宋体"/>
          <w:color w:val="auto"/>
          <w:sz w:val="24"/>
          <w:szCs w:val="24"/>
        </w:rPr>
        <w:t>1.1.2.1.2在工程采购项目中，工程由中小企业承建，即工程施工单位为中小企业；</w:t>
      </w:r>
    </w:p>
    <w:p>
      <w:pPr>
        <w:spacing w:line="520" w:lineRule="exact"/>
        <w:ind w:firstLine="482"/>
        <w:rPr>
          <w:rFonts w:ascii="宋体" w:hAnsi="宋体" w:cs="宋体"/>
          <w:color w:val="auto"/>
          <w:sz w:val="24"/>
          <w:szCs w:val="24"/>
        </w:rPr>
      </w:pPr>
      <w:r>
        <w:rPr>
          <w:rFonts w:hint="eastAsia" w:ascii="宋体" w:hAnsi="宋体" w:cs="宋体"/>
          <w:color w:val="auto"/>
          <w:sz w:val="24"/>
          <w:szCs w:val="24"/>
        </w:rPr>
        <w:t>1.1.2.1.3在服务采购项目中，服务由中小企业承接，即提供服务的人员为中小企业依照《中华人民共和国劳动合同法》订立劳动合同的从业人员。</w:t>
      </w:r>
    </w:p>
    <w:p>
      <w:pPr>
        <w:spacing w:line="520" w:lineRule="exact"/>
        <w:ind w:firstLine="482"/>
        <w:rPr>
          <w:rFonts w:ascii="宋体" w:hAnsi="宋体" w:cs="宋体"/>
          <w:color w:val="auto"/>
          <w:sz w:val="24"/>
          <w:szCs w:val="24"/>
        </w:rPr>
      </w:pPr>
      <w:r>
        <w:rPr>
          <w:rFonts w:hint="eastAsia" w:ascii="宋体" w:hAnsi="宋体" w:cs="宋体"/>
          <w:color w:val="auto"/>
          <w:sz w:val="24"/>
          <w:szCs w:val="24"/>
        </w:rPr>
        <w:t>在货物采购项目中，服务商提供的货物既有中小企业制造货物，也有大型企业制造货物的，不享受评标方法规定的中小企业扶持政策。</w:t>
      </w:r>
    </w:p>
    <w:p>
      <w:pPr>
        <w:spacing w:line="520" w:lineRule="exact"/>
        <w:ind w:firstLine="482"/>
        <w:rPr>
          <w:rFonts w:ascii="宋体" w:hAnsi="宋体" w:cs="宋体"/>
          <w:color w:val="auto"/>
          <w:sz w:val="24"/>
          <w:szCs w:val="24"/>
        </w:rPr>
      </w:pPr>
      <w:r>
        <w:rPr>
          <w:rFonts w:hint="eastAsia" w:ascii="宋体" w:hAnsi="宋体" w:cs="宋体"/>
          <w:color w:val="auto"/>
          <w:sz w:val="24"/>
          <w:szCs w:val="24"/>
        </w:rPr>
        <w:t>以联合体形式参加政府采购活动，联合体各方均为中小企业的，联合体视同中小企业。其中，联合体各方均为小微企业的，联合体视同小微企业。</w:t>
      </w:r>
    </w:p>
    <w:p>
      <w:pPr>
        <w:spacing w:line="520" w:lineRule="exact"/>
        <w:ind w:firstLine="482"/>
        <w:rPr>
          <w:rFonts w:ascii="宋体" w:hAnsi="宋体" w:cs="宋体"/>
          <w:color w:val="auto"/>
          <w:sz w:val="24"/>
          <w:szCs w:val="24"/>
        </w:rPr>
      </w:pPr>
      <w:r>
        <w:rPr>
          <w:rFonts w:hint="eastAsia" w:ascii="宋体" w:hAnsi="宋体" w:cs="宋体"/>
          <w:color w:val="auto"/>
          <w:sz w:val="24"/>
          <w:szCs w:val="24"/>
        </w:rPr>
        <w:t>1.1.2.2根据《云南省工业和信息化厅关于落实政府采购促进中小企业发展 政策意见的通知》（云财采〔2022〕13号）的规定，服务商提供的货物既有中型企业制造，也有小微企业制造的，不享受《办法》规定的小微企业扶持政策。</w:t>
      </w:r>
    </w:p>
    <w:p>
      <w:pPr>
        <w:spacing w:line="520" w:lineRule="exact"/>
        <w:ind w:firstLine="482"/>
        <w:rPr>
          <w:rFonts w:ascii="宋体" w:hAnsi="宋体" w:cs="宋体"/>
          <w:color w:val="auto"/>
          <w:sz w:val="24"/>
          <w:szCs w:val="24"/>
        </w:rPr>
      </w:pPr>
      <w:r>
        <w:rPr>
          <w:rFonts w:hint="eastAsia" w:ascii="宋体" w:hAnsi="宋体" w:cs="宋体"/>
          <w:color w:val="auto"/>
          <w:sz w:val="24"/>
          <w:szCs w:val="24"/>
        </w:rPr>
        <w:t>1.1.2.</w:t>
      </w:r>
      <w:r>
        <w:rPr>
          <w:rFonts w:ascii="宋体" w:hAnsi="宋体" w:cs="宋体"/>
          <w:color w:val="auto"/>
          <w:sz w:val="24"/>
          <w:szCs w:val="24"/>
        </w:rPr>
        <w:t>3</w:t>
      </w:r>
      <w:r>
        <w:rPr>
          <w:rFonts w:hint="eastAsia" w:ascii="宋体" w:hAnsi="宋体" w:cs="宋体"/>
          <w:color w:val="auto"/>
          <w:sz w:val="24"/>
          <w:szCs w:val="24"/>
        </w:rPr>
        <w:t>评标方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520" w:lineRule="exact"/>
        <w:ind w:firstLine="482"/>
        <w:rPr>
          <w:rFonts w:ascii="宋体" w:hAnsi="宋体" w:cs="宋体"/>
          <w:color w:val="auto"/>
          <w:sz w:val="24"/>
          <w:szCs w:val="24"/>
        </w:rPr>
      </w:pPr>
      <w:r>
        <w:rPr>
          <w:rFonts w:hint="eastAsia" w:ascii="宋体" w:hAnsi="宋体" w:cs="宋体"/>
          <w:color w:val="auto"/>
          <w:sz w:val="24"/>
          <w:szCs w:val="24"/>
        </w:rPr>
        <w:t>符合中小企业划分标准的个体工商户，在政府采购活动中视同中小企业。</w:t>
      </w:r>
    </w:p>
    <w:p>
      <w:pPr>
        <w:spacing w:line="520" w:lineRule="exact"/>
        <w:ind w:firstLine="482"/>
        <w:rPr>
          <w:rFonts w:ascii="宋体" w:hAnsi="宋体" w:cs="宋体"/>
          <w:color w:val="auto"/>
          <w:sz w:val="24"/>
          <w:szCs w:val="24"/>
        </w:rPr>
      </w:pPr>
      <w:r>
        <w:rPr>
          <w:rFonts w:hint="eastAsia" w:ascii="宋体" w:hAnsi="宋体" w:cs="宋体"/>
          <w:color w:val="auto"/>
          <w:sz w:val="24"/>
          <w:szCs w:val="24"/>
        </w:rPr>
        <w:t>1.1.2.</w:t>
      </w:r>
      <w:r>
        <w:rPr>
          <w:rFonts w:ascii="宋体" w:hAnsi="宋体" w:cs="宋体"/>
          <w:color w:val="auto"/>
          <w:sz w:val="24"/>
          <w:szCs w:val="24"/>
        </w:rPr>
        <w:t>4</w:t>
      </w:r>
      <w:r>
        <w:rPr>
          <w:rFonts w:hint="eastAsia" w:ascii="宋体" w:hAnsi="宋体" w:cs="宋体"/>
          <w:color w:val="auto"/>
          <w:sz w:val="24"/>
          <w:szCs w:val="24"/>
        </w:rPr>
        <w:t>中小企业参加政府采购活动，应当出具《中小企业声明函》（详见《响应文件格式》），否则不得享受相关中小企业扶持政策。</w:t>
      </w:r>
    </w:p>
    <w:p>
      <w:pPr>
        <w:spacing w:line="510" w:lineRule="exact"/>
        <w:ind w:firstLine="482"/>
        <w:rPr>
          <w:rFonts w:ascii="宋体" w:hAnsi="宋体" w:cs="宋体"/>
          <w:color w:val="auto"/>
          <w:sz w:val="24"/>
          <w:szCs w:val="24"/>
        </w:rPr>
      </w:pPr>
      <w:r>
        <w:rPr>
          <w:rFonts w:hint="eastAsia" w:ascii="宋体" w:hAnsi="宋体" w:cs="宋体"/>
          <w:b/>
          <w:color w:val="auto"/>
          <w:sz w:val="24"/>
          <w:szCs w:val="24"/>
        </w:rPr>
        <w:t>1.1.3监狱企业</w:t>
      </w:r>
    </w:p>
    <w:p>
      <w:pPr>
        <w:spacing w:line="510" w:lineRule="exact"/>
        <w:ind w:firstLine="482"/>
        <w:rPr>
          <w:rFonts w:ascii="宋体" w:hAnsi="宋体" w:cs="宋体"/>
          <w:color w:val="auto"/>
          <w:sz w:val="24"/>
          <w:szCs w:val="24"/>
        </w:rPr>
      </w:pPr>
      <w:r>
        <w:rPr>
          <w:rFonts w:hint="eastAsia" w:ascii="宋体" w:hAnsi="宋体" w:cs="宋体"/>
          <w:color w:val="auto"/>
          <w:sz w:val="24"/>
          <w:szCs w:val="24"/>
        </w:rPr>
        <w:t>1.1.3.1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510" w:lineRule="exact"/>
        <w:ind w:firstLine="482"/>
        <w:rPr>
          <w:rFonts w:ascii="宋体" w:hAnsi="宋体" w:cs="宋体"/>
          <w:b/>
          <w:color w:val="auto"/>
          <w:sz w:val="24"/>
          <w:szCs w:val="24"/>
        </w:rPr>
      </w:pPr>
      <w:r>
        <w:rPr>
          <w:rFonts w:hint="eastAsia" w:ascii="宋体" w:hAnsi="宋体" w:cs="宋体"/>
          <w:b/>
          <w:color w:val="auto"/>
          <w:sz w:val="24"/>
          <w:szCs w:val="24"/>
        </w:rPr>
        <w:t>1.1.4残疾人福利性单位</w:t>
      </w:r>
    </w:p>
    <w:p>
      <w:pPr>
        <w:spacing w:line="510" w:lineRule="exact"/>
        <w:ind w:firstLine="482"/>
        <w:rPr>
          <w:rFonts w:ascii="宋体" w:hAnsi="宋体" w:cs="宋体"/>
          <w:color w:val="auto"/>
          <w:sz w:val="24"/>
          <w:szCs w:val="24"/>
        </w:rPr>
      </w:pPr>
      <w:r>
        <w:rPr>
          <w:rFonts w:hint="eastAsia" w:ascii="宋体" w:hAnsi="宋体" w:cs="宋体"/>
          <w:color w:val="auto"/>
          <w:sz w:val="24"/>
          <w:szCs w:val="24"/>
        </w:rPr>
        <w:t>1.1.4</w:t>
      </w:r>
      <w:r>
        <w:rPr>
          <w:rFonts w:ascii="宋体" w:hAnsi="宋体" w:cs="宋体"/>
          <w:color w:val="auto"/>
          <w:sz w:val="24"/>
          <w:szCs w:val="24"/>
        </w:rPr>
        <w:t>.1根据</w:t>
      </w:r>
      <w:r>
        <w:rPr>
          <w:rFonts w:hint="eastAsia" w:ascii="宋体" w:hAnsi="宋体" w:cs="宋体"/>
          <w:color w:val="auto"/>
          <w:sz w:val="24"/>
          <w:szCs w:val="24"/>
        </w:rPr>
        <w:t>《财政部 民政部 中国残疾人联合会关于促进残疾人就业政府采购政策的通知》，享受政府采购支持政策的残疾人福利性单位应当同时满足以下条件：</w:t>
      </w:r>
    </w:p>
    <w:p>
      <w:pPr>
        <w:spacing w:line="510" w:lineRule="exact"/>
        <w:ind w:firstLine="482"/>
        <w:rPr>
          <w:rFonts w:ascii="宋体" w:hAnsi="宋体" w:cs="宋体"/>
          <w:color w:val="auto"/>
          <w:sz w:val="24"/>
          <w:szCs w:val="24"/>
        </w:rPr>
      </w:pPr>
      <w:r>
        <w:rPr>
          <w:rFonts w:hint="eastAsia" w:ascii="宋体" w:hAnsi="宋体" w:cs="宋体"/>
          <w:color w:val="auto"/>
          <w:sz w:val="24"/>
          <w:szCs w:val="24"/>
        </w:rPr>
        <w:t>1.1.4</w:t>
      </w:r>
      <w:r>
        <w:rPr>
          <w:rFonts w:ascii="宋体" w:hAnsi="宋体" w:cs="宋体"/>
          <w:color w:val="auto"/>
          <w:sz w:val="24"/>
          <w:szCs w:val="24"/>
        </w:rPr>
        <w:t>.1</w:t>
      </w:r>
      <w:r>
        <w:rPr>
          <w:rFonts w:hint="eastAsia" w:ascii="宋体" w:hAnsi="宋体" w:cs="宋体"/>
          <w:color w:val="auto"/>
          <w:sz w:val="24"/>
          <w:szCs w:val="24"/>
        </w:rPr>
        <w:t>.1安置的残疾人占本单位在职职工人数的比例不低于25%（含25%），并且安置的残疾人人数不少于10人（含10人）；</w:t>
      </w:r>
    </w:p>
    <w:p>
      <w:pPr>
        <w:spacing w:line="510" w:lineRule="exact"/>
        <w:ind w:firstLine="482"/>
        <w:rPr>
          <w:rFonts w:ascii="宋体" w:hAnsi="宋体" w:cs="宋体"/>
          <w:color w:val="auto"/>
          <w:sz w:val="24"/>
          <w:szCs w:val="24"/>
        </w:rPr>
      </w:pPr>
      <w:r>
        <w:rPr>
          <w:rFonts w:hint="eastAsia" w:ascii="宋体" w:hAnsi="宋体" w:cs="宋体"/>
          <w:color w:val="auto"/>
          <w:sz w:val="24"/>
          <w:szCs w:val="24"/>
        </w:rPr>
        <w:t>1.1.4</w:t>
      </w:r>
      <w:r>
        <w:rPr>
          <w:rFonts w:ascii="宋体" w:hAnsi="宋体" w:cs="宋体"/>
          <w:color w:val="auto"/>
          <w:sz w:val="24"/>
          <w:szCs w:val="24"/>
        </w:rPr>
        <w:t>.1</w:t>
      </w:r>
      <w:r>
        <w:rPr>
          <w:rFonts w:hint="eastAsia" w:ascii="宋体" w:hAnsi="宋体" w:cs="宋体"/>
          <w:color w:val="auto"/>
          <w:sz w:val="24"/>
          <w:szCs w:val="24"/>
        </w:rPr>
        <w:t>.2依法与安置的每位残疾人签订了一年以上（含一年）的劳动合同或服务协议；</w:t>
      </w:r>
    </w:p>
    <w:p>
      <w:pPr>
        <w:spacing w:line="510" w:lineRule="exact"/>
        <w:ind w:firstLine="482"/>
        <w:rPr>
          <w:rFonts w:ascii="宋体" w:hAnsi="宋体" w:cs="宋体"/>
          <w:color w:val="auto"/>
          <w:sz w:val="24"/>
          <w:szCs w:val="24"/>
        </w:rPr>
      </w:pPr>
      <w:r>
        <w:rPr>
          <w:rFonts w:hint="eastAsia" w:ascii="宋体" w:hAnsi="宋体" w:cs="宋体"/>
          <w:color w:val="auto"/>
          <w:sz w:val="24"/>
          <w:szCs w:val="24"/>
        </w:rPr>
        <w:t>1.1.4</w:t>
      </w:r>
      <w:r>
        <w:rPr>
          <w:rFonts w:ascii="宋体" w:hAnsi="宋体" w:cs="宋体"/>
          <w:color w:val="auto"/>
          <w:sz w:val="24"/>
          <w:szCs w:val="24"/>
        </w:rPr>
        <w:t>.1</w:t>
      </w:r>
      <w:r>
        <w:rPr>
          <w:rFonts w:hint="eastAsia" w:ascii="宋体" w:hAnsi="宋体" w:cs="宋体"/>
          <w:color w:val="auto"/>
          <w:sz w:val="24"/>
          <w:szCs w:val="24"/>
        </w:rPr>
        <w:t>.3为安置的每位残疾人按月足额缴纳了基本养老保险、基本医疗保险、失业保险、工伤保险和生育保险等社会保险费；</w:t>
      </w:r>
    </w:p>
    <w:p>
      <w:pPr>
        <w:spacing w:line="510" w:lineRule="exact"/>
        <w:ind w:firstLine="482"/>
        <w:rPr>
          <w:rFonts w:ascii="宋体" w:hAnsi="宋体" w:cs="宋体"/>
          <w:color w:val="auto"/>
          <w:sz w:val="24"/>
          <w:szCs w:val="24"/>
        </w:rPr>
      </w:pPr>
      <w:r>
        <w:rPr>
          <w:rFonts w:hint="eastAsia" w:ascii="宋体" w:hAnsi="宋体" w:cs="宋体"/>
          <w:color w:val="auto"/>
          <w:sz w:val="24"/>
          <w:szCs w:val="24"/>
        </w:rPr>
        <w:t>1.1.4</w:t>
      </w:r>
      <w:r>
        <w:rPr>
          <w:rFonts w:ascii="宋体" w:hAnsi="宋体" w:cs="宋体"/>
          <w:color w:val="auto"/>
          <w:sz w:val="24"/>
          <w:szCs w:val="24"/>
        </w:rPr>
        <w:t>.1</w:t>
      </w:r>
      <w:r>
        <w:rPr>
          <w:rFonts w:hint="eastAsia" w:ascii="宋体" w:hAnsi="宋体" w:cs="宋体"/>
          <w:color w:val="auto"/>
          <w:sz w:val="24"/>
          <w:szCs w:val="24"/>
        </w:rPr>
        <w:t>.4通过银行等金融机构向安置的每位残疾人，按月支付了不低于单位所在区县适用的经省级人民政府批准的月最低工资标准的工资；</w:t>
      </w:r>
    </w:p>
    <w:p>
      <w:pPr>
        <w:spacing w:line="510" w:lineRule="exact"/>
        <w:ind w:firstLine="482"/>
        <w:rPr>
          <w:rFonts w:ascii="宋体" w:hAnsi="宋体" w:cs="宋体"/>
          <w:color w:val="auto"/>
          <w:sz w:val="24"/>
          <w:szCs w:val="24"/>
        </w:rPr>
      </w:pPr>
      <w:r>
        <w:rPr>
          <w:rFonts w:hint="eastAsia" w:ascii="宋体" w:hAnsi="宋体" w:cs="宋体"/>
          <w:color w:val="auto"/>
          <w:sz w:val="24"/>
          <w:szCs w:val="24"/>
        </w:rPr>
        <w:t>1.1.4</w:t>
      </w:r>
      <w:r>
        <w:rPr>
          <w:rFonts w:ascii="宋体" w:hAnsi="宋体" w:cs="宋体"/>
          <w:color w:val="auto"/>
          <w:sz w:val="24"/>
          <w:szCs w:val="24"/>
        </w:rPr>
        <w:t>.1</w:t>
      </w:r>
      <w:r>
        <w:rPr>
          <w:rFonts w:hint="eastAsia" w:ascii="宋体" w:hAnsi="宋体" w:cs="宋体"/>
          <w:color w:val="auto"/>
          <w:sz w:val="24"/>
          <w:szCs w:val="24"/>
        </w:rPr>
        <w:t>.5提供本单位制造的货物、承担的工程或者服务（以下简称产品），或者提供其他残疾人福利性单位制造的货物（不包括使用非残疾人福利性单位注册商标的货物）。</w:t>
      </w:r>
    </w:p>
    <w:p>
      <w:pPr>
        <w:spacing w:line="510" w:lineRule="exact"/>
        <w:ind w:firstLine="482"/>
        <w:rPr>
          <w:rFonts w:ascii="宋体" w:hAnsi="宋体" w:cs="宋体"/>
          <w:color w:val="auto"/>
          <w:sz w:val="24"/>
          <w:szCs w:val="24"/>
        </w:rPr>
      </w:pPr>
      <w:r>
        <w:rPr>
          <w:rFonts w:hint="eastAsia" w:ascii="宋体" w:hAnsi="宋体" w:cs="宋体"/>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510" w:lineRule="exact"/>
        <w:ind w:firstLine="482"/>
        <w:rPr>
          <w:rFonts w:ascii="宋体" w:hAnsi="宋体" w:cs="宋体"/>
          <w:color w:val="auto"/>
          <w:sz w:val="24"/>
          <w:szCs w:val="24"/>
        </w:rPr>
      </w:pPr>
      <w:r>
        <w:rPr>
          <w:rFonts w:hint="eastAsia" w:ascii="宋体" w:hAnsi="宋体" w:cs="宋体"/>
          <w:color w:val="auto"/>
          <w:sz w:val="24"/>
          <w:szCs w:val="24"/>
        </w:rPr>
        <w:t>1.1.4.2符合条件的残疾人福利性单位在参加政府采购活动时，应当提供《残疾人福利性单位声明函》，并对声明的真实性负责。</w:t>
      </w:r>
    </w:p>
    <w:p>
      <w:pPr>
        <w:spacing w:line="500" w:lineRule="exact"/>
        <w:ind w:firstLine="482"/>
        <w:rPr>
          <w:rFonts w:ascii="宋体" w:hAnsi="宋体" w:cs="宋体"/>
          <w:b/>
          <w:color w:val="auto"/>
          <w:sz w:val="24"/>
          <w:szCs w:val="24"/>
        </w:rPr>
      </w:pPr>
      <w:r>
        <w:rPr>
          <w:rFonts w:hint="eastAsia" w:ascii="宋体" w:hAnsi="宋体" w:cs="宋体"/>
          <w:b/>
          <w:color w:val="auto"/>
          <w:sz w:val="24"/>
          <w:szCs w:val="24"/>
        </w:rPr>
        <w:t>1.1.5关于节能、环境标志产品</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节能产品是指列入财政部和国家发改委公布的、在有效期内的《节能产品政府采购清单》中的货物，需对应到“节能清单”中所列的型号/系列。政府强制采购节能产品是指“节能清单”（非公示版）中以“★”标注类别的产品。</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环境标志产品是指列入财政部、原环保总局公布的、在有效期内的“环境标志产品政府采购清单”（非公示版）中的货物。</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本次采购清单中若有政府强制采购节能产品，只接受列入当期“节能产品政府采购清单”中政府强制采购的节能产品。供应商必须选报当期“节能清单”中所列产品，否则按不实质性响应竞争性磋商文件要求处理。</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供应商应在响应文件中提供产品在“节能清单”或“环境标志产品政府采购清单”中的单页复印件一份，并在复印件上标注出所投产品及型号。</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当期“节能清单”可通过中国政府采购网（http://www.ccgp.gov.cn/）、国家发展改革委网站（http://hzs.ndrc.gov.cn/）查阅、下载；当期“环境标志产品政府采购清单”可通过中国政府采购网（http://www.ccgp.gov.cn/）、国家环境保护部网（http://www.sepa.gov.cn/）查阅、下载。</w:t>
      </w:r>
    </w:p>
    <w:p>
      <w:pPr>
        <w:spacing w:line="480" w:lineRule="exact"/>
        <w:ind w:firstLine="480"/>
        <w:rPr>
          <w:rFonts w:ascii="宋体" w:hAnsi="宋体" w:cs="宋体"/>
          <w:b/>
          <w:color w:val="auto"/>
          <w:sz w:val="24"/>
          <w:szCs w:val="24"/>
        </w:rPr>
      </w:pPr>
      <w:r>
        <w:rPr>
          <w:rFonts w:ascii="宋体" w:hAnsi="宋体" w:cs="宋体"/>
          <w:b/>
          <w:color w:val="auto"/>
          <w:sz w:val="24"/>
          <w:szCs w:val="24"/>
        </w:rPr>
        <w:t>1.2评标机构</w:t>
      </w:r>
    </w:p>
    <w:p>
      <w:pPr>
        <w:spacing w:line="480" w:lineRule="exact"/>
        <w:ind w:firstLine="480"/>
        <w:rPr>
          <w:rFonts w:ascii="宋体" w:hAnsi="宋体" w:cs="宋体"/>
          <w:color w:val="auto"/>
          <w:sz w:val="24"/>
          <w:szCs w:val="24"/>
        </w:rPr>
      </w:pPr>
      <w:r>
        <w:rPr>
          <w:rFonts w:ascii="宋体" w:hAnsi="宋体" w:cs="宋体"/>
          <w:color w:val="auto"/>
          <w:sz w:val="24"/>
          <w:szCs w:val="24"/>
        </w:rPr>
        <w:t>1.2.1采购人依法组建磋商小组。</w:t>
      </w:r>
    </w:p>
    <w:p>
      <w:pPr>
        <w:spacing w:line="500" w:lineRule="exact"/>
        <w:rPr>
          <w:rFonts w:ascii="宋体" w:hAnsi="宋体" w:cs="宋体"/>
          <w:b/>
          <w:color w:val="auto"/>
          <w:sz w:val="24"/>
          <w:szCs w:val="24"/>
        </w:rPr>
      </w:pPr>
      <w:r>
        <w:rPr>
          <w:rFonts w:ascii="宋体" w:hAnsi="宋体" w:cs="宋体"/>
          <w:b/>
          <w:color w:val="auto"/>
          <w:sz w:val="24"/>
          <w:szCs w:val="24"/>
        </w:rPr>
        <w:t xml:space="preserve">    1.3评标纪律</w:t>
      </w:r>
    </w:p>
    <w:p>
      <w:pPr>
        <w:spacing w:line="500" w:lineRule="exact"/>
        <w:ind w:firstLine="480"/>
        <w:rPr>
          <w:rFonts w:ascii="宋体" w:hAnsi="宋体" w:cs="宋体"/>
          <w:color w:val="auto"/>
          <w:sz w:val="24"/>
          <w:szCs w:val="24"/>
        </w:rPr>
      </w:pPr>
      <w:r>
        <w:rPr>
          <w:rFonts w:ascii="宋体" w:hAnsi="宋体" w:cs="宋体"/>
          <w:color w:val="auto"/>
          <w:sz w:val="24"/>
          <w:szCs w:val="24"/>
        </w:rPr>
        <w:t>1.3.1磋商小组的成员应严格遵守保密规定，严格自律，自觉接受有关部门的监督。</w:t>
      </w:r>
    </w:p>
    <w:p>
      <w:pPr>
        <w:spacing w:line="500" w:lineRule="exact"/>
        <w:ind w:firstLine="480"/>
        <w:rPr>
          <w:rFonts w:ascii="宋体" w:hAnsi="宋体" w:cs="宋体"/>
          <w:color w:val="auto"/>
          <w:sz w:val="24"/>
          <w:szCs w:val="24"/>
        </w:rPr>
      </w:pPr>
      <w:r>
        <w:rPr>
          <w:rFonts w:ascii="宋体" w:hAnsi="宋体" w:cs="宋体"/>
          <w:color w:val="auto"/>
          <w:sz w:val="24"/>
          <w:szCs w:val="24"/>
        </w:rPr>
        <w:t>1.3.2磋商小组的成员必须对评标情况和评标结果保密，不得向竞标利害关系人泄露对响应文件的评审、比较，成交候选人的推荐以及与评标有关的其他情况。</w:t>
      </w:r>
    </w:p>
    <w:p>
      <w:pPr>
        <w:spacing w:line="500" w:lineRule="exact"/>
        <w:ind w:firstLine="480"/>
        <w:rPr>
          <w:rFonts w:ascii="宋体" w:hAnsi="宋体" w:cs="宋体"/>
          <w:color w:val="auto"/>
          <w:sz w:val="24"/>
          <w:szCs w:val="24"/>
        </w:rPr>
      </w:pPr>
      <w:r>
        <w:rPr>
          <w:rFonts w:ascii="宋体" w:hAnsi="宋体" w:cs="宋体"/>
          <w:color w:val="auto"/>
          <w:sz w:val="24"/>
          <w:szCs w:val="24"/>
        </w:rPr>
        <w:t>1.3.3评标完成后所有评标材料应如数交还。</w:t>
      </w:r>
    </w:p>
    <w:p>
      <w:pPr>
        <w:spacing w:line="500" w:lineRule="exact"/>
        <w:ind w:firstLine="480"/>
        <w:rPr>
          <w:rFonts w:ascii="宋体" w:hAnsi="宋体" w:cs="宋体"/>
          <w:color w:val="auto"/>
          <w:sz w:val="24"/>
          <w:szCs w:val="24"/>
        </w:rPr>
      </w:pPr>
      <w:r>
        <w:rPr>
          <w:rFonts w:ascii="宋体" w:hAnsi="宋体" w:cs="宋体"/>
          <w:color w:val="auto"/>
          <w:sz w:val="24"/>
          <w:szCs w:val="24"/>
        </w:rPr>
        <w:t>1.3.4评标期间，与会人员不得随意外出、缺席，因公有事确需外出，必须征得同意。</w:t>
      </w:r>
    </w:p>
    <w:p>
      <w:pPr>
        <w:spacing w:line="500" w:lineRule="exact"/>
        <w:ind w:firstLine="480"/>
        <w:rPr>
          <w:rFonts w:ascii="宋体" w:hAnsi="宋体" w:cs="宋体"/>
          <w:color w:val="auto"/>
          <w:sz w:val="24"/>
          <w:szCs w:val="24"/>
        </w:rPr>
      </w:pPr>
      <w:r>
        <w:rPr>
          <w:rFonts w:ascii="宋体" w:hAnsi="宋体" w:cs="宋体"/>
          <w:color w:val="auto"/>
          <w:sz w:val="24"/>
          <w:szCs w:val="24"/>
        </w:rPr>
        <w:t>1.3.5与会人员违反上述规定对评标造成不良影响的，后果由责任者承担。</w:t>
      </w:r>
    </w:p>
    <w:p>
      <w:pPr>
        <w:spacing w:line="500" w:lineRule="exact"/>
        <w:rPr>
          <w:rFonts w:ascii="宋体" w:hAnsi="宋体" w:cs="宋体"/>
          <w:b/>
          <w:color w:val="auto"/>
          <w:sz w:val="24"/>
          <w:szCs w:val="24"/>
        </w:rPr>
      </w:pPr>
      <w:r>
        <w:rPr>
          <w:rFonts w:ascii="宋体" w:hAnsi="宋体" w:cs="宋体"/>
          <w:b/>
          <w:color w:val="auto"/>
          <w:sz w:val="24"/>
          <w:szCs w:val="24"/>
        </w:rPr>
        <w:t xml:space="preserve">    1.4评审程序</w:t>
      </w:r>
    </w:p>
    <w:p>
      <w:pPr>
        <w:spacing w:line="500" w:lineRule="exact"/>
        <w:rPr>
          <w:rFonts w:ascii="宋体" w:hAnsi="宋体" w:cs="宋体"/>
          <w:color w:val="auto"/>
          <w:sz w:val="24"/>
          <w:szCs w:val="24"/>
        </w:rPr>
      </w:pPr>
      <w:r>
        <w:rPr>
          <w:rFonts w:ascii="宋体" w:hAnsi="宋体" w:cs="宋体"/>
          <w:color w:val="auto"/>
          <w:sz w:val="24"/>
          <w:szCs w:val="24"/>
        </w:rPr>
        <w:t xml:space="preserve">    1.4.1推选磋商小组组长，组长与其他成员有同等表决权。</w:t>
      </w:r>
    </w:p>
    <w:p>
      <w:pPr>
        <w:spacing w:line="500" w:lineRule="exact"/>
        <w:rPr>
          <w:rFonts w:ascii="宋体" w:hAnsi="宋体" w:cs="宋体"/>
          <w:color w:val="auto"/>
          <w:sz w:val="24"/>
          <w:szCs w:val="24"/>
        </w:rPr>
      </w:pPr>
      <w:r>
        <w:rPr>
          <w:rFonts w:ascii="宋体" w:hAnsi="宋体" w:cs="宋体"/>
          <w:color w:val="auto"/>
          <w:sz w:val="24"/>
          <w:szCs w:val="24"/>
        </w:rPr>
        <w:t xml:space="preserve">    1.4.2磋商小组成员阅读和研究竞争性磋商文件，了解和熟悉招标的目标、范围、性质、主要技术要求、评审标准、评审方法和在评审过程中考虑的相关因素。</w:t>
      </w:r>
    </w:p>
    <w:p>
      <w:pPr>
        <w:spacing w:line="500" w:lineRule="exact"/>
        <w:ind w:firstLine="360"/>
        <w:rPr>
          <w:rFonts w:ascii="宋体" w:hAnsi="宋体" w:cs="宋体"/>
          <w:color w:val="auto"/>
          <w:sz w:val="24"/>
          <w:szCs w:val="24"/>
        </w:rPr>
      </w:pPr>
      <w:r>
        <w:rPr>
          <w:rFonts w:ascii="宋体" w:hAnsi="宋体" w:cs="宋体"/>
          <w:color w:val="auto"/>
          <w:sz w:val="24"/>
          <w:szCs w:val="24"/>
        </w:rPr>
        <w:t xml:space="preserve"> 1.4.3对响应文件进行评审和比较，记录各家供应商的优点和缺陷。</w:t>
      </w:r>
    </w:p>
    <w:p>
      <w:pPr>
        <w:spacing w:line="500" w:lineRule="exact"/>
        <w:ind w:firstLine="360"/>
        <w:rPr>
          <w:rFonts w:ascii="宋体" w:hAnsi="宋体" w:cs="宋体"/>
          <w:color w:val="auto"/>
          <w:sz w:val="24"/>
          <w:szCs w:val="24"/>
        </w:rPr>
      </w:pPr>
      <w:r>
        <w:rPr>
          <w:rFonts w:ascii="宋体" w:hAnsi="宋体" w:cs="宋体"/>
          <w:color w:val="auto"/>
          <w:sz w:val="24"/>
          <w:szCs w:val="24"/>
        </w:rPr>
        <w:t xml:space="preserve"> 1.4.4磋商小组成员就响应文件发表专业的、客观的、公正的意见。为公平起见，每个成员对响应文件有任何的质疑，应当在讨论时向磋商小组提出，排序结果公布后才提出的质疑，不可作为改变排序结果的依据。</w:t>
      </w:r>
    </w:p>
    <w:p>
      <w:pPr>
        <w:spacing w:line="500" w:lineRule="exact"/>
        <w:ind w:firstLine="360"/>
        <w:rPr>
          <w:rFonts w:ascii="宋体" w:hAnsi="宋体" w:cs="宋体"/>
          <w:color w:val="auto"/>
          <w:sz w:val="24"/>
          <w:szCs w:val="24"/>
        </w:rPr>
      </w:pPr>
      <w:r>
        <w:rPr>
          <w:rFonts w:ascii="宋体" w:hAnsi="宋体" w:cs="宋体"/>
          <w:color w:val="auto"/>
          <w:sz w:val="24"/>
          <w:szCs w:val="24"/>
        </w:rPr>
        <w:t xml:space="preserve"> 1.4.5磋商小组各成员应自主评审，并签字确认。</w:t>
      </w:r>
    </w:p>
    <w:p>
      <w:pPr>
        <w:spacing w:line="500" w:lineRule="exact"/>
        <w:ind w:firstLine="360"/>
        <w:rPr>
          <w:rFonts w:ascii="宋体" w:hAnsi="宋体" w:cs="宋体"/>
          <w:color w:val="auto"/>
          <w:sz w:val="24"/>
          <w:szCs w:val="24"/>
        </w:rPr>
      </w:pPr>
      <w:r>
        <w:rPr>
          <w:rFonts w:ascii="宋体" w:hAnsi="宋体" w:cs="宋体"/>
          <w:color w:val="auto"/>
          <w:sz w:val="24"/>
          <w:szCs w:val="24"/>
        </w:rPr>
        <w:t xml:space="preserve"> 1.4.6磋商小组可以要求供应商提交竞争性磋商文件规定的有关证明和证件的</w:t>
      </w:r>
      <w:r>
        <w:rPr>
          <w:rFonts w:hint="eastAsia" w:ascii="宋体" w:hAnsi="宋体" w:cs="宋体"/>
          <w:color w:val="auto"/>
          <w:sz w:val="24"/>
          <w:szCs w:val="24"/>
        </w:rPr>
        <w:t>复印件或扫描件</w:t>
      </w:r>
      <w:r>
        <w:rPr>
          <w:rFonts w:ascii="宋体" w:hAnsi="宋体" w:cs="宋体"/>
          <w:color w:val="auto"/>
          <w:sz w:val="24"/>
          <w:szCs w:val="24"/>
        </w:rPr>
        <w:t>，以便核验。磋商小组依据本章规定的标准对响应文件进行资格审查、初步评审。有一项不符合评审标准的，作废标处理。</w:t>
      </w:r>
    </w:p>
    <w:p>
      <w:pPr>
        <w:widowControl w:val="0"/>
        <w:spacing w:line="500" w:lineRule="exact"/>
        <w:ind w:firstLine="360"/>
        <w:rPr>
          <w:rFonts w:ascii="宋体" w:hAnsi="宋体" w:cs="宋体"/>
          <w:color w:val="auto"/>
          <w:sz w:val="24"/>
          <w:szCs w:val="24"/>
        </w:rPr>
      </w:pPr>
      <w:r>
        <w:rPr>
          <w:rFonts w:ascii="宋体" w:hAnsi="宋体" w:cs="宋体"/>
          <w:color w:val="auto"/>
          <w:sz w:val="24"/>
          <w:szCs w:val="24"/>
        </w:rPr>
        <w:t xml:space="preserve"> 1.4.7供应商有以下情形之一的，其竞标作废标处理：</w:t>
      </w:r>
    </w:p>
    <w:p>
      <w:pPr>
        <w:widowControl w:val="0"/>
        <w:spacing w:line="500" w:lineRule="exact"/>
        <w:ind w:firstLine="361"/>
        <w:rPr>
          <w:rFonts w:ascii="宋体" w:hAnsi="宋体" w:cs="宋体"/>
          <w:b/>
          <w:color w:val="auto"/>
          <w:sz w:val="24"/>
          <w:szCs w:val="24"/>
        </w:rPr>
      </w:pPr>
      <w:r>
        <w:rPr>
          <w:rFonts w:ascii="宋体" w:hAnsi="宋体" w:cs="宋体"/>
          <w:b/>
          <w:color w:val="auto"/>
          <w:sz w:val="24"/>
          <w:szCs w:val="24"/>
        </w:rPr>
        <w:t xml:space="preserve"> 1.4.7.1未按规定的格式填写，内容不全或关键字迹模糊、无法辨认； </w:t>
      </w:r>
    </w:p>
    <w:p>
      <w:pPr>
        <w:widowControl w:val="0"/>
        <w:spacing w:line="500" w:lineRule="exact"/>
        <w:ind w:firstLine="361"/>
        <w:rPr>
          <w:rFonts w:ascii="宋体" w:hAnsi="宋体" w:cs="宋体"/>
          <w:b/>
          <w:color w:val="auto"/>
          <w:sz w:val="24"/>
          <w:szCs w:val="24"/>
        </w:rPr>
      </w:pPr>
      <w:r>
        <w:rPr>
          <w:rFonts w:ascii="宋体" w:hAnsi="宋体" w:cs="宋体"/>
          <w:b/>
          <w:color w:val="auto"/>
          <w:sz w:val="24"/>
          <w:szCs w:val="24"/>
        </w:rPr>
        <w:t xml:space="preserve"> 1.4.7.2</w:t>
      </w:r>
      <w:r>
        <w:rPr>
          <w:rFonts w:ascii="宋体" w:hAnsi="宋体" w:cs="宋体"/>
          <w:b/>
          <w:bCs/>
          <w:color w:val="auto"/>
          <w:sz w:val="24"/>
          <w:szCs w:val="24"/>
        </w:rPr>
        <w:t>供应商递交两份或多份内容不同的响应文件，或在一份响应文件中对同一招标项目报有两个或多个报价，且未声明哪一个有效；</w:t>
      </w:r>
    </w:p>
    <w:p>
      <w:pPr>
        <w:widowControl w:val="0"/>
        <w:spacing w:line="500" w:lineRule="exact"/>
        <w:ind w:firstLine="361"/>
        <w:rPr>
          <w:rFonts w:ascii="宋体" w:hAnsi="宋体" w:cs="宋体"/>
          <w:b/>
          <w:color w:val="auto"/>
          <w:sz w:val="24"/>
          <w:szCs w:val="24"/>
        </w:rPr>
      </w:pPr>
      <w:r>
        <w:rPr>
          <w:rFonts w:ascii="宋体" w:hAnsi="宋体" w:cs="宋体"/>
          <w:b/>
          <w:color w:val="auto"/>
          <w:sz w:val="24"/>
          <w:szCs w:val="24"/>
        </w:rPr>
        <w:t xml:space="preserve"> 1.4.7.3提供的相关证照不全、供应商名称与提供证照不一致的；</w:t>
      </w:r>
    </w:p>
    <w:p>
      <w:pPr>
        <w:spacing w:line="500" w:lineRule="exact"/>
        <w:ind w:firstLine="479" w:firstLineChars="199"/>
        <w:rPr>
          <w:rFonts w:ascii="宋体" w:hAnsi="宋体" w:cs="宋体"/>
          <w:b/>
          <w:color w:val="auto"/>
          <w:sz w:val="24"/>
          <w:szCs w:val="24"/>
        </w:rPr>
      </w:pPr>
      <w:r>
        <w:rPr>
          <w:rFonts w:ascii="宋体" w:hAnsi="宋体" w:cs="宋体"/>
          <w:b/>
          <w:color w:val="auto"/>
          <w:sz w:val="24"/>
          <w:szCs w:val="24"/>
        </w:rPr>
        <w:t>1.4.7.</w:t>
      </w:r>
      <w:r>
        <w:rPr>
          <w:rFonts w:hint="eastAsia" w:ascii="宋体" w:hAnsi="宋体" w:cs="宋体"/>
          <w:b/>
          <w:color w:val="auto"/>
          <w:sz w:val="24"/>
          <w:szCs w:val="24"/>
        </w:rPr>
        <w:t>4</w:t>
      </w:r>
      <w:r>
        <w:rPr>
          <w:rFonts w:ascii="宋体" w:hAnsi="宋体" w:cs="宋体"/>
          <w:b/>
          <w:color w:val="auto"/>
          <w:sz w:val="24"/>
          <w:szCs w:val="24"/>
        </w:rPr>
        <w:t>明显不符合质量要求与标准的；</w:t>
      </w:r>
    </w:p>
    <w:p>
      <w:pPr>
        <w:spacing w:line="500" w:lineRule="exact"/>
        <w:ind w:firstLine="361"/>
        <w:rPr>
          <w:rFonts w:ascii="宋体" w:hAnsi="宋体" w:cs="宋体"/>
          <w:b/>
          <w:color w:val="auto"/>
          <w:sz w:val="24"/>
          <w:szCs w:val="24"/>
        </w:rPr>
      </w:pPr>
      <w:r>
        <w:rPr>
          <w:rFonts w:ascii="宋体" w:hAnsi="宋体" w:cs="宋体"/>
          <w:b/>
          <w:color w:val="auto"/>
          <w:sz w:val="24"/>
          <w:szCs w:val="24"/>
        </w:rPr>
        <w:t xml:space="preserve"> 1.4.7.</w:t>
      </w:r>
      <w:r>
        <w:rPr>
          <w:rFonts w:hint="eastAsia" w:ascii="宋体" w:hAnsi="宋体" w:cs="宋体"/>
          <w:b/>
          <w:color w:val="auto"/>
          <w:sz w:val="24"/>
          <w:szCs w:val="24"/>
        </w:rPr>
        <w:t>5</w:t>
      </w:r>
      <w:r>
        <w:rPr>
          <w:rFonts w:ascii="宋体" w:hAnsi="宋体" w:cs="宋体"/>
          <w:b/>
          <w:color w:val="auto"/>
          <w:sz w:val="24"/>
          <w:szCs w:val="24"/>
        </w:rPr>
        <w:t>响应文件附有采购人不能接受的条件；</w:t>
      </w:r>
    </w:p>
    <w:p>
      <w:pPr>
        <w:spacing w:line="500" w:lineRule="exact"/>
        <w:ind w:firstLine="361"/>
        <w:rPr>
          <w:rFonts w:ascii="宋体" w:hAnsi="宋体" w:cs="宋体"/>
          <w:b/>
          <w:color w:val="auto"/>
          <w:sz w:val="24"/>
          <w:szCs w:val="24"/>
        </w:rPr>
      </w:pPr>
      <w:r>
        <w:rPr>
          <w:rFonts w:ascii="宋体" w:hAnsi="宋体" w:cs="宋体"/>
          <w:b/>
          <w:color w:val="auto"/>
          <w:sz w:val="24"/>
          <w:szCs w:val="24"/>
        </w:rPr>
        <w:t xml:space="preserve"> 1.4.7.</w:t>
      </w:r>
      <w:r>
        <w:rPr>
          <w:rFonts w:hint="eastAsia" w:ascii="宋体" w:hAnsi="宋体" w:cs="宋体"/>
          <w:b/>
          <w:color w:val="auto"/>
          <w:sz w:val="24"/>
          <w:szCs w:val="24"/>
        </w:rPr>
        <w:t>6</w:t>
      </w:r>
      <w:r>
        <w:rPr>
          <w:rFonts w:ascii="宋体" w:hAnsi="宋体" w:cs="宋体"/>
          <w:b/>
          <w:color w:val="auto"/>
          <w:sz w:val="24"/>
          <w:szCs w:val="24"/>
        </w:rPr>
        <w:t>提供虚假材料；</w:t>
      </w:r>
    </w:p>
    <w:p>
      <w:pPr>
        <w:spacing w:line="500" w:lineRule="exact"/>
        <w:ind w:firstLine="361"/>
        <w:rPr>
          <w:rFonts w:ascii="宋体" w:hAnsi="宋体" w:cs="宋体"/>
          <w:b/>
          <w:color w:val="auto"/>
          <w:sz w:val="24"/>
          <w:szCs w:val="24"/>
        </w:rPr>
      </w:pPr>
      <w:r>
        <w:rPr>
          <w:rFonts w:ascii="宋体" w:hAnsi="宋体" w:cs="宋体"/>
          <w:b/>
          <w:color w:val="auto"/>
          <w:sz w:val="24"/>
          <w:szCs w:val="24"/>
        </w:rPr>
        <w:t xml:space="preserve"> 1.4.7.</w:t>
      </w:r>
      <w:r>
        <w:rPr>
          <w:rFonts w:hint="eastAsia" w:ascii="宋体" w:hAnsi="宋体" w:cs="宋体"/>
          <w:b/>
          <w:color w:val="auto"/>
          <w:sz w:val="24"/>
          <w:szCs w:val="24"/>
        </w:rPr>
        <w:t>7</w:t>
      </w:r>
      <w:r>
        <w:rPr>
          <w:rFonts w:ascii="宋体" w:hAnsi="宋体" w:cs="宋体"/>
          <w:b/>
          <w:color w:val="auto"/>
          <w:sz w:val="24"/>
          <w:szCs w:val="24"/>
        </w:rPr>
        <w:t>响应文件未按规定装订、密封；</w:t>
      </w:r>
    </w:p>
    <w:p>
      <w:pPr>
        <w:spacing w:line="500" w:lineRule="exact"/>
        <w:ind w:firstLine="361"/>
        <w:rPr>
          <w:rFonts w:ascii="宋体" w:hAnsi="宋体" w:cs="宋体"/>
          <w:b/>
          <w:color w:val="auto"/>
          <w:sz w:val="24"/>
          <w:szCs w:val="24"/>
        </w:rPr>
      </w:pPr>
      <w:r>
        <w:rPr>
          <w:rFonts w:ascii="宋体" w:hAnsi="宋体" w:cs="宋体"/>
          <w:b/>
          <w:color w:val="auto"/>
          <w:sz w:val="24"/>
          <w:szCs w:val="24"/>
        </w:rPr>
        <w:t xml:space="preserve"> 1.4.7.</w:t>
      </w:r>
      <w:r>
        <w:rPr>
          <w:rFonts w:hint="eastAsia" w:ascii="宋体" w:hAnsi="宋体" w:cs="宋体"/>
          <w:b/>
          <w:color w:val="auto"/>
          <w:sz w:val="24"/>
          <w:szCs w:val="24"/>
        </w:rPr>
        <w:t>8</w:t>
      </w:r>
      <w:r>
        <w:rPr>
          <w:rFonts w:ascii="宋体" w:hAnsi="宋体" w:cs="宋体"/>
          <w:b/>
          <w:color w:val="auto"/>
          <w:sz w:val="24"/>
          <w:szCs w:val="24"/>
        </w:rPr>
        <w:t>无单位盖章或无法定代表人或委托代理人签字或盖章；</w:t>
      </w:r>
    </w:p>
    <w:p>
      <w:pPr>
        <w:spacing w:line="500" w:lineRule="exact"/>
        <w:ind w:firstLine="361"/>
        <w:rPr>
          <w:rFonts w:ascii="宋体" w:hAnsi="宋体" w:cs="宋体"/>
          <w:b/>
          <w:color w:val="auto"/>
          <w:sz w:val="24"/>
          <w:szCs w:val="24"/>
        </w:rPr>
      </w:pPr>
      <w:r>
        <w:rPr>
          <w:rFonts w:ascii="宋体" w:hAnsi="宋体" w:cs="宋体"/>
          <w:b/>
          <w:color w:val="auto"/>
          <w:sz w:val="24"/>
          <w:szCs w:val="24"/>
        </w:rPr>
        <w:t xml:space="preserve"> 1.4.7.</w:t>
      </w:r>
      <w:r>
        <w:rPr>
          <w:rFonts w:hint="eastAsia" w:ascii="宋体" w:hAnsi="宋体" w:cs="宋体"/>
          <w:b/>
          <w:color w:val="auto"/>
          <w:sz w:val="24"/>
          <w:szCs w:val="24"/>
        </w:rPr>
        <w:t>9</w:t>
      </w:r>
      <w:r>
        <w:rPr>
          <w:rFonts w:ascii="宋体" w:hAnsi="宋体" w:cs="宋体"/>
          <w:b/>
          <w:color w:val="auto"/>
          <w:sz w:val="24"/>
          <w:szCs w:val="24"/>
        </w:rPr>
        <w:t>不符合竞争性磋商文件中规定的其他实质性要求。</w:t>
      </w:r>
    </w:p>
    <w:p>
      <w:pPr>
        <w:spacing w:line="520" w:lineRule="exact"/>
        <w:ind w:firstLine="357"/>
        <w:rPr>
          <w:rFonts w:ascii="宋体" w:hAnsi="宋体" w:cs="宋体"/>
          <w:color w:val="auto"/>
          <w:sz w:val="24"/>
          <w:szCs w:val="24"/>
        </w:rPr>
      </w:pPr>
      <w:r>
        <w:rPr>
          <w:rFonts w:ascii="宋体" w:hAnsi="宋体" w:cs="宋体"/>
          <w:color w:val="auto"/>
          <w:sz w:val="24"/>
          <w:szCs w:val="24"/>
        </w:rPr>
        <w:t xml:space="preserve"> 1.4.8竞标报价有算术错误的，磋商小组按以下原则对竞标报价进行修正，修正的价格经供应商书面确认后具有约束力。供应商不接受修正价格的，其竞标作废标处理。</w:t>
      </w:r>
    </w:p>
    <w:p>
      <w:pPr>
        <w:widowControl w:val="0"/>
        <w:spacing w:line="520" w:lineRule="exact"/>
        <w:ind w:firstLine="357"/>
        <w:rPr>
          <w:rFonts w:ascii="宋体" w:hAnsi="宋体" w:cs="宋体"/>
          <w:color w:val="auto"/>
          <w:sz w:val="24"/>
          <w:szCs w:val="24"/>
        </w:rPr>
      </w:pPr>
      <w:r>
        <w:rPr>
          <w:rFonts w:hint="eastAsia" w:ascii="宋体" w:hAnsi="宋体" w:cs="宋体"/>
          <w:color w:val="auto"/>
          <w:sz w:val="24"/>
          <w:szCs w:val="24"/>
        </w:rPr>
        <w:t>1.4.8.1</w:t>
      </w:r>
      <w:r>
        <w:rPr>
          <w:rFonts w:ascii="宋体" w:hAnsi="宋体" w:cs="宋体"/>
          <w:color w:val="auto"/>
          <w:sz w:val="24"/>
          <w:szCs w:val="24"/>
        </w:rPr>
        <w:t>响应文件中的大写金额与小写金额不一致的，以大写金额为准；</w:t>
      </w:r>
    </w:p>
    <w:p>
      <w:pPr>
        <w:widowControl w:val="0"/>
        <w:spacing w:line="520" w:lineRule="exact"/>
        <w:ind w:firstLine="357"/>
        <w:rPr>
          <w:rFonts w:ascii="宋体" w:hAnsi="宋体" w:cs="宋体"/>
          <w:color w:val="auto"/>
          <w:sz w:val="24"/>
          <w:szCs w:val="24"/>
        </w:rPr>
      </w:pPr>
      <w:r>
        <w:rPr>
          <w:rFonts w:hint="eastAsia" w:ascii="宋体" w:hAnsi="宋体" w:cs="宋体"/>
          <w:color w:val="auto"/>
          <w:sz w:val="24"/>
          <w:szCs w:val="24"/>
        </w:rPr>
        <w:t>1.4.8.2</w:t>
      </w:r>
      <w:r>
        <w:rPr>
          <w:rFonts w:ascii="宋体" w:hAnsi="宋体" w:cs="宋体"/>
          <w:color w:val="auto"/>
          <w:sz w:val="24"/>
          <w:szCs w:val="24"/>
        </w:rPr>
        <w:t>当单价与数量的乘积与合价不一致时，以单价为准，如果单价有明显的小数点位置差错，应以标出的合价为准，同时对单价予以修正。</w:t>
      </w:r>
    </w:p>
    <w:p>
      <w:pPr>
        <w:widowControl w:val="0"/>
        <w:spacing w:line="520" w:lineRule="exact"/>
        <w:ind w:firstLine="357"/>
        <w:rPr>
          <w:rFonts w:ascii="宋体" w:hAnsi="宋体" w:cs="宋体"/>
          <w:color w:val="auto"/>
          <w:sz w:val="24"/>
          <w:szCs w:val="24"/>
        </w:rPr>
      </w:pPr>
      <w:r>
        <w:rPr>
          <w:rFonts w:ascii="宋体" w:hAnsi="宋体" w:cs="宋体"/>
          <w:color w:val="auto"/>
          <w:sz w:val="24"/>
          <w:szCs w:val="24"/>
        </w:rPr>
        <w:t xml:space="preserve"> 1.5在评标过程中，磋商小组成员2人以上认为需要供应商进行澄清的，磋商小组应以书面形式要求供应商对响应文件含义不明确、对同类问题表述不一致、有明显文字和计算错误的内容以及细微偏差的内容作必要的澄清或者说明，磋商小组各成员均需充分考虑供应商澄清、说明或者补正的内容。</w:t>
      </w:r>
    </w:p>
    <w:p>
      <w:pPr>
        <w:widowControl w:val="0"/>
        <w:spacing w:line="520" w:lineRule="exact"/>
        <w:ind w:firstLine="348"/>
        <w:rPr>
          <w:rFonts w:ascii="宋体" w:hAnsi="宋体" w:cs="宋体"/>
          <w:color w:val="auto"/>
          <w:spacing w:val="-4"/>
          <w:sz w:val="24"/>
          <w:szCs w:val="24"/>
        </w:rPr>
      </w:pPr>
      <w:r>
        <w:rPr>
          <w:rFonts w:ascii="宋体" w:hAnsi="宋体" w:cs="宋体"/>
          <w:color w:val="auto"/>
          <w:spacing w:val="-4"/>
          <w:sz w:val="24"/>
          <w:szCs w:val="24"/>
        </w:rPr>
        <w:t>磋商小组不得暗示或者诱导供应商作出澄清、说明，不得接受供应商主动提出的澄清、说明。</w:t>
      </w:r>
    </w:p>
    <w:p>
      <w:pPr>
        <w:pStyle w:val="4"/>
        <w:spacing w:before="0" w:after="0" w:line="520" w:lineRule="exact"/>
        <w:jc w:val="center"/>
        <w:rPr>
          <w:rFonts w:ascii="宋体" w:hAnsi="宋体" w:eastAsia="宋体" w:cs="宋体"/>
          <w:color w:val="auto"/>
          <w:lang w:val="zh-CN"/>
        </w:rPr>
      </w:pPr>
      <w:bookmarkStart w:id="4" w:name="_Toc357779234"/>
      <w:bookmarkEnd w:id="4"/>
      <w:bookmarkStart w:id="5" w:name="_Toc359334877"/>
      <w:bookmarkEnd w:id="5"/>
      <w:r>
        <w:rPr>
          <w:rFonts w:ascii="宋体" w:hAnsi="宋体" w:eastAsia="宋体" w:cs="宋体"/>
          <w:color w:val="auto"/>
          <w:lang w:val="zh-CN"/>
        </w:rPr>
        <w:t>二、资格审查及初步评审</w:t>
      </w:r>
    </w:p>
    <w:p>
      <w:pPr>
        <w:spacing w:line="520" w:lineRule="exact"/>
        <w:ind w:firstLine="360"/>
        <w:rPr>
          <w:rFonts w:ascii="宋体" w:hAnsi="宋体" w:cs="宋体"/>
          <w:color w:val="auto"/>
          <w:sz w:val="24"/>
          <w:szCs w:val="24"/>
        </w:rPr>
      </w:pPr>
      <w:r>
        <w:rPr>
          <w:rFonts w:ascii="宋体" w:hAnsi="宋体" w:cs="宋体"/>
          <w:color w:val="auto"/>
          <w:sz w:val="24"/>
          <w:szCs w:val="24"/>
        </w:rPr>
        <w:t>2.1资格审查标准详见评标办法前附表。</w:t>
      </w:r>
    </w:p>
    <w:p>
      <w:pPr>
        <w:spacing w:line="520" w:lineRule="exact"/>
        <w:ind w:firstLine="360"/>
        <w:rPr>
          <w:rFonts w:hint="eastAsia" w:ascii="宋体" w:hAnsi="宋体" w:cs="宋体"/>
          <w:color w:val="auto"/>
          <w:sz w:val="24"/>
          <w:szCs w:val="24"/>
        </w:rPr>
      </w:pPr>
      <w:r>
        <w:rPr>
          <w:rFonts w:ascii="宋体" w:hAnsi="宋体" w:cs="宋体"/>
          <w:color w:val="auto"/>
          <w:sz w:val="24"/>
          <w:szCs w:val="24"/>
        </w:rPr>
        <w:t>2.2初步评审标准详见评标办法前附表。</w:t>
      </w:r>
    </w:p>
    <w:p>
      <w:pPr>
        <w:spacing w:line="520" w:lineRule="exact"/>
        <w:ind w:firstLine="360"/>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3响应性</w:t>
      </w:r>
      <w:r>
        <w:rPr>
          <w:rFonts w:ascii="宋体" w:hAnsi="宋体" w:cs="宋体"/>
          <w:color w:val="auto"/>
          <w:sz w:val="24"/>
          <w:szCs w:val="24"/>
        </w:rPr>
        <w:t>评审标准详见评标办法前附表。</w:t>
      </w:r>
    </w:p>
    <w:p>
      <w:pPr>
        <w:pStyle w:val="4"/>
        <w:spacing w:before="0" w:after="0" w:line="520" w:lineRule="exact"/>
        <w:jc w:val="center"/>
        <w:rPr>
          <w:rFonts w:ascii="宋体" w:hAnsi="宋体" w:eastAsia="宋体" w:cs="宋体"/>
          <w:color w:val="auto"/>
          <w:lang w:val="zh-CN"/>
        </w:rPr>
      </w:pPr>
      <w:bookmarkStart w:id="6" w:name="_Toc359334878"/>
      <w:bookmarkEnd w:id="6"/>
      <w:r>
        <w:rPr>
          <w:rFonts w:ascii="宋体" w:hAnsi="宋体" w:eastAsia="宋体" w:cs="宋体"/>
          <w:color w:val="auto"/>
          <w:lang w:val="zh-CN"/>
        </w:rPr>
        <w:t>三、详细评审</w:t>
      </w:r>
    </w:p>
    <w:p>
      <w:pPr>
        <w:spacing w:line="520" w:lineRule="exact"/>
        <w:ind w:firstLine="480"/>
        <w:rPr>
          <w:rFonts w:ascii="宋体" w:hAnsi="宋体" w:cs="宋体"/>
          <w:color w:val="auto"/>
          <w:sz w:val="24"/>
          <w:szCs w:val="24"/>
        </w:rPr>
      </w:pPr>
      <w:r>
        <w:rPr>
          <w:rFonts w:hint="eastAsia" w:ascii="宋体" w:hAnsi="宋体" w:cs="宋体"/>
          <w:color w:val="auto"/>
          <w:sz w:val="24"/>
          <w:szCs w:val="24"/>
        </w:rPr>
        <w:t>本项目采用综合评分法，评标时先评技术标后评商务标，对有效供应商响应文件的技术,商务部分分别打分后，计算出供应商的最后得分。</w:t>
      </w:r>
    </w:p>
    <w:p>
      <w:pPr>
        <w:autoSpaceDE w:val="0"/>
        <w:autoSpaceDN w:val="0"/>
        <w:adjustRightInd w:val="0"/>
        <w:spacing w:line="520" w:lineRule="exact"/>
        <w:ind w:firstLine="482" w:firstLineChars="200"/>
        <w:rPr>
          <w:rFonts w:hint="eastAsia" w:ascii="宋体" w:hAnsi="宋体"/>
          <w:b/>
          <w:color w:val="auto"/>
          <w:sz w:val="24"/>
          <w:szCs w:val="24"/>
        </w:rPr>
      </w:pPr>
      <w:r>
        <w:rPr>
          <w:rFonts w:hint="eastAsia" w:ascii="宋体" w:hAnsi="宋体"/>
          <w:b/>
          <w:color w:val="auto"/>
          <w:sz w:val="24"/>
          <w:szCs w:val="24"/>
        </w:rPr>
        <w:t>3.1商务部分评审（满分30分）</w:t>
      </w:r>
    </w:p>
    <w:p>
      <w:pPr>
        <w:autoSpaceDE w:val="0"/>
        <w:autoSpaceDN w:val="0"/>
        <w:adjustRightInd w:val="0"/>
        <w:spacing w:line="510" w:lineRule="exact"/>
        <w:ind w:firstLine="470" w:firstLineChars="196"/>
        <w:rPr>
          <w:rFonts w:hint="eastAsia" w:ascii="宋体" w:hAnsi="宋体"/>
          <w:color w:val="auto"/>
          <w:sz w:val="24"/>
          <w:szCs w:val="24"/>
        </w:rPr>
      </w:pPr>
      <w:r>
        <w:rPr>
          <w:rFonts w:hint="eastAsia" w:ascii="宋体" w:hAnsi="宋体"/>
          <w:color w:val="auto"/>
          <w:sz w:val="24"/>
          <w:szCs w:val="24"/>
        </w:rPr>
        <w:t>3.1.1综合评分法中的价格分统一采用低价优先法计算，即满足招标文件实质性要求且投标报价最低的投标报价为评标基准价，其价格分为满分。其他供应商的价格分统一按照下列公式计算：</w:t>
      </w:r>
    </w:p>
    <w:p>
      <w:pPr>
        <w:spacing w:line="510" w:lineRule="exact"/>
        <w:rPr>
          <w:rFonts w:hint="eastAsia" w:ascii="宋体" w:hAnsi="宋体"/>
          <w:color w:val="auto"/>
          <w:sz w:val="24"/>
        </w:rPr>
      </w:pPr>
      <w:r>
        <w:rPr>
          <w:rFonts w:hint="eastAsia" w:ascii="宋体" w:hAnsi="宋体"/>
          <w:color w:val="auto"/>
          <w:sz w:val="24"/>
        </w:rPr>
        <w:t>各分项报价得分=（分项评标基准价/分项最后投标报价）×价格权值（15%）×100</w:t>
      </w:r>
    </w:p>
    <w:p>
      <w:pPr>
        <w:spacing w:line="510" w:lineRule="exact"/>
        <w:rPr>
          <w:rFonts w:hint="eastAsia" w:ascii="宋体" w:hAnsi="宋体"/>
          <w:color w:val="auto"/>
          <w:sz w:val="24"/>
        </w:rPr>
      </w:pPr>
      <w:r>
        <w:rPr>
          <w:rFonts w:hint="eastAsia" w:ascii="宋体" w:hAnsi="宋体"/>
          <w:color w:val="auto"/>
          <w:sz w:val="24"/>
        </w:rPr>
        <w:t>最终报价的得分=二种品类的得分之和（每个品种15分）</w:t>
      </w:r>
    </w:p>
    <w:p>
      <w:pPr>
        <w:autoSpaceDE w:val="0"/>
        <w:autoSpaceDN w:val="0"/>
        <w:adjustRightInd w:val="0"/>
        <w:spacing w:line="510" w:lineRule="exact"/>
        <w:ind w:firstLine="470" w:firstLineChars="196"/>
        <w:rPr>
          <w:rFonts w:hint="eastAsia" w:ascii="宋体" w:hAnsi="宋体"/>
          <w:color w:val="auto"/>
          <w:sz w:val="24"/>
          <w:szCs w:val="24"/>
        </w:rPr>
      </w:pPr>
      <w:r>
        <w:rPr>
          <w:rFonts w:hint="eastAsia" w:ascii="宋体" w:hAnsi="宋体"/>
          <w:color w:val="auto"/>
          <w:sz w:val="24"/>
          <w:szCs w:val="24"/>
        </w:rPr>
        <w:t>注：（1）参与以上价格分评审的投标报价均为：1-报价优惠下浮比例。例如：报价优惠下浮比例为10%，参与评审的投标报价即为90%，假如另一个报价（报价优惠下浮比例）为5%，其参与评审的投标报价为95%，此时，报价优惠下浮比例为10%为</w:t>
      </w:r>
      <w:r>
        <w:rPr>
          <w:rFonts w:ascii="宋体" w:hAnsi="宋体"/>
          <w:color w:val="auto"/>
          <w:sz w:val="24"/>
          <w:szCs w:val="24"/>
        </w:rPr>
        <w:t>最低报价，</w:t>
      </w:r>
      <w:r>
        <w:rPr>
          <w:rFonts w:hint="eastAsia" w:ascii="宋体" w:hAnsi="宋体"/>
          <w:color w:val="auto"/>
          <w:sz w:val="24"/>
          <w:szCs w:val="24"/>
        </w:rPr>
        <w:t>同时也是评标基准价。</w:t>
      </w:r>
    </w:p>
    <w:p>
      <w:pPr>
        <w:autoSpaceDE w:val="0"/>
        <w:autoSpaceDN w:val="0"/>
        <w:adjustRightInd w:val="0"/>
        <w:spacing w:line="510" w:lineRule="exact"/>
        <w:ind w:firstLine="470" w:firstLineChars="196"/>
        <w:rPr>
          <w:rFonts w:hint="eastAsia" w:ascii="宋体" w:hAnsi="宋体"/>
          <w:color w:val="auto"/>
          <w:sz w:val="24"/>
          <w:szCs w:val="24"/>
          <w:lang w:val="zh-CN"/>
        </w:rPr>
      </w:pPr>
      <w:r>
        <w:rPr>
          <w:rFonts w:hint="eastAsia" w:ascii="宋体" w:hAnsi="宋体"/>
          <w:color w:val="auto"/>
          <w:sz w:val="24"/>
        </w:rPr>
        <w:t>（2）</w:t>
      </w:r>
      <w:r>
        <w:rPr>
          <w:rFonts w:hint="eastAsia" w:ascii="宋体" w:hAnsi="宋体"/>
          <w:color w:val="auto"/>
          <w:sz w:val="24"/>
          <w:szCs w:val="24"/>
          <w:lang w:val="zh-CN"/>
        </w:rPr>
        <w:t>评标委员会</w:t>
      </w:r>
      <w:r>
        <w:rPr>
          <w:rFonts w:ascii="宋体" w:hAnsi="宋体"/>
          <w:color w:val="auto"/>
          <w:sz w:val="24"/>
          <w:szCs w:val="24"/>
          <w:lang w:val="zh-CN"/>
        </w:rPr>
        <w:t>发现</w:t>
      </w:r>
      <w:r>
        <w:rPr>
          <w:rFonts w:hint="eastAsia" w:ascii="宋体" w:hAnsi="宋体"/>
          <w:color w:val="auto"/>
          <w:sz w:val="24"/>
          <w:szCs w:val="24"/>
          <w:lang w:val="zh-CN"/>
        </w:rPr>
        <w:t>供应商</w:t>
      </w:r>
      <w:r>
        <w:rPr>
          <w:rFonts w:ascii="宋体" w:hAnsi="宋体"/>
          <w:color w:val="auto"/>
          <w:sz w:val="24"/>
          <w:szCs w:val="24"/>
          <w:lang w:val="zh-CN"/>
        </w:rPr>
        <w:t>的报价明显低于其他</w:t>
      </w:r>
      <w:r>
        <w:rPr>
          <w:rFonts w:hint="eastAsia" w:ascii="宋体" w:hAnsi="宋体"/>
          <w:color w:val="auto"/>
          <w:sz w:val="24"/>
          <w:szCs w:val="24"/>
          <w:lang w:val="zh-CN"/>
        </w:rPr>
        <w:t>供应商</w:t>
      </w:r>
      <w:r>
        <w:rPr>
          <w:rFonts w:ascii="宋体" w:hAnsi="宋体"/>
          <w:color w:val="auto"/>
          <w:sz w:val="24"/>
          <w:szCs w:val="24"/>
          <w:lang w:val="zh-CN"/>
        </w:rPr>
        <w:t>报价，使得其报价可能低于其成本的，应当要求该</w:t>
      </w:r>
      <w:r>
        <w:rPr>
          <w:rFonts w:hint="eastAsia" w:ascii="宋体" w:hAnsi="宋体"/>
          <w:color w:val="auto"/>
          <w:sz w:val="24"/>
          <w:szCs w:val="24"/>
          <w:lang w:val="zh-CN"/>
        </w:rPr>
        <w:t>供应商</w:t>
      </w:r>
      <w:r>
        <w:rPr>
          <w:rFonts w:ascii="宋体" w:hAnsi="宋体"/>
          <w:color w:val="auto"/>
          <w:sz w:val="24"/>
          <w:szCs w:val="24"/>
          <w:lang w:val="zh-CN"/>
        </w:rPr>
        <w:t>作出书面说明并提供相应的证明材料。</w:t>
      </w:r>
      <w:r>
        <w:rPr>
          <w:rFonts w:hint="eastAsia" w:ascii="宋体" w:hAnsi="宋体"/>
          <w:color w:val="auto"/>
          <w:sz w:val="24"/>
          <w:szCs w:val="24"/>
          <w:lang w:val="zh-CN"/>
        </w:rPr>
        <w:t>供应商</w:t>
      </w:r>
      <w:r>
        <w:rPr>
          <w:rFonts w:ascii="宋体" w:hAnsi="宋体"/>
          <w:color w:val="auto"/>
          <w:sz w:val="24"/>
          <w:szCs w:val="24"/>
          <w:lang w:val="zh-CN"/>
        </w:rPr>
        <w:t>不能合理说明或者不能提供相应证明材料的，由</w:t>
      </w:r>
      <w:r>
        <w:rPr>
          <w:rFonts w:hint="eastAsia" w:ascii="宋体" w:hAnsi="宋体"/>
          <w:color w:val="auto"/>
          <w:sz w:val="24"/>
          <w:szCs w:val="24"/>
          <w:lang w:val="zh-CN"/>
        </w:rPr>
        <w:t>评标委员会</w:t>
      </w:r>
      <w:r>
        <w:rPr>
          <w:rFonts w:ascii="宋体" w:hAnsi="宋体"/>
          <w:color w:val="auto"/>
          <w:sz w:val="24"/>
          <w:szCs w:val="24"/>
          <w:lang w:val="zh-CN"/>
        </w:rPr>
        <w:t>认定该</w:t>
      </w:r>
      <w:r>
        <w:rPr>
          <w:rFonts w:hint="eastAsia" w:ascii="宋体" w:hAnsi="宋体"/>
          <w:color w:val="auto"/>
          <w:sz w:val="24"/>
          <w:szCs w:val="24"/>
          <w:lang w:val="zh-CN"/>
        </w:rPr>
        <w:t>供应商</w:t>
      </w:r>
      <w:r>
        <w:rPr>
          <w:rFonts w:ascii="宋体" w:hAnsi="宋体"/>
          <w:color w:val="auto"/>
          <w:sz w:val="24"/>
          <w:szCs w:val="24"/>
          <w:lang w:val="zh-CN"/>
        </w:rPr>
        <w:t>以低于成本报价</w:t>
      </w:r>
      <w:r>
        <w:rPr>
          <w:rFonts w:hint="eastAsia" w:ascii="宋体" w:hAnsi="宋体"/>
          <w:color w:val="auto"/>
          <w:sz w:val="24"/>
          <w:szCs w:val="24"/>
          <w:lang w:val="zh-CN"/>
        </w:rPr>
        <w:t>恶性竞争</w:t>
      </w:r>
      <w:r>
        <w:rPr>
          <w:rFonts w:ascii="宋体" w:hAnsi="宋体"/>
          <w:color w:val="auto"/>
          <w:sz w:val="24"/>
          <w:szCs w:val="24"/>
          <w:lang w:val="zh-CN"/>
        </w:rPr>
        <w:t>，其</w:t>
      </w:r>
      <w:r>
        <w:rPr>
          <w:rFonts w:hint="eastAsia" w:ascii="宋体" w:hAnsi="宋体"/>
          <w:color w:val="auto"/>
          <w:sz w:val="24"/>
          <w:szCs w:val="24"/>
          <w:lang w:val="zh-CN"/>
        </w:rPr>
        <w:t>竞标</w:t>
      </w:r>
      <w:r>
        <w:rPr>
          <w:rFonts w:ascii="宋体" w:hAnsi="宋体"/>
          <w:color w:val="auto"/>
          <w:sz w:val="24"/>
          <w:szCs w:val="24"/>
          <w:lang w:val="zh-CN"/>
        </w:rPr>
        <w:t>作废标处理。</w:t>
      </w:r>
    </w:p>
    <w:p>
      <w:pPr>
        <w:spacing w:line="510" w:lineRule="exact"/>
        <w:ind w:firstLine="480"/>
        <w:rPr>
          <w:rFonts w:hint="eastAsia" w:ascii="宋体" w:hAnsi="宋体"/>
          <w:color w:val="auto"/>
          <w:sz w:val="24"/>
        </w:rPr>
      </w:pPr>
      <w:r>
        <w:rPr>
          <w:rFonts w:hint="eastAsia" w:ascii="宋体" w:hAnsi="宋体"/>
          <w:color w:val="auto"/>
          <w:sz w:val="24"/>
        </w:rPr>
        <w:t>（3）扶持中小企业政策：评审时小型和微型企业服务享受10%的价格折扣，用扣除后的价格参与评审。监狱企业和残疾人福利性单位视同小型、微型企业（小型、微型企业、监狱企业、残疾人福利性单位，不重复享受评审中价格扣除的政府采购政策，只进行一次价格扣除）。在技术、服务、价格等指标同等条件下，优先采购或强制采购节能清单所列的节能产品、环境标志产品等政府采购政策。</w:t>
      </w:r>
    </w:p>
    <w:p>
      <w:pPr>
        <w:autoSpaceDE w:val="0"/>
        <w:autoSpaceDN w:val="0"/>
        <w:adjustRightInd w:val="0"/>
        <w:spacing w:line="510" w:lineRule="exact"/>
        <w:ind w:firstLine="470" w:firstLineChars="196"/>
        <w:rPr>
          <w:rFonts w:hint="eastAsia" w:ascii="宋体" w:hAnsi="宋体"/>
          <w:color w:val="auto"/>
          <w:sz w:val="24"/>
          <w:szCs w:val="24"/>
        </w:rPr>
      </w:pPr>
      <w:r>
        <w:rPr>
          <w:rFonts w:hint="eastAsia" w:ascii="宋体" w:hAnsi="宋体"/>
          <w:color w:val="auto"/>
          <w:sz w:val="24"/>
          <w:szCs w:val="24"/>
        </w:rPr>
        <w:t>（4）项目评审过程中，不得去掉投标报价中的最高报价和最低报价。</w:t>
      </w:r>
    </w:p>
    <w:p>
      <w:pPr>
        <w:autoSpaceDE w:val="0"/>
        <w:autoSpaceDN w:val="0"/>
        <w:adjustRightInd w:val="0"/>
        <w:spacing w:line="510" w:lineRule="exact"/>
        <w:ind w:firstLine="470" w:firstLineChars="196"/>
        <w:rPr>
          <w:rFonts w:hint="eastAsia" w:ascii="宋体" w:hAnsi="宋体"/>
          <w:color w:val="auto"/>
          <w:sz w:val="24"/>
          <w:szCs w:val="24"/>
        </w:rPr>
      </w:pPr>
      <w:r>
        <w:rPr>
          <w:rFonts w:hint="eastAsia" w:ascii="宋体" w:hAnsi="宋体"/>
          <w:color w:val="auto"/>
          <w:sz w:val="24"/>
          <w:szCs w:val="24"/>
        </w:rPr>
        <w:t>（5）磋商报价得分采用插入法计算，保留两位小数。</w:t>
      </w:r>
    </w:p>
    <w:p>
      <w:pPr>
        <w:spacing w:line="510" w:lineRule="exact"/>
        <w:ind w:firstLine="482" w:firstLineChars="200"/>
        <w:rPr>
          <w:rFonts w:hint="eastAsia" w:ascii="宋体" w:hAnsi="宋体"/>
          <w:b/>
          <w:color w:val="auto"/>
          <w:sz w:val="24"/>
          <w:szCs w:val="24"/>
        </w:rPr>
      </w:pPr>
      <w:r>
        <w:rPr>
          <w:rFonts w:hint="eastAsia" w:ascii="宋体" w:hAnsi="宋体"/>
          <w:b/>
          <w:color w:val="auto"/>
          <w:sz w:val="24"/>
          <w:szCs w:val="24"/>
        </w:rPr>
        <w:t>3.2技术部分评审（满分70分）</w:t>
      </w:r>
    </w:p>
    <w:p>
      <w:pPr>
        <w:spacing w:line="510" w:lineRule="exact"/>
        <w:ind w:firstLine="472"/>
        <w:rPr>
          <w:rFonts w:hint="eastAsia" w:ascii="宋体" w:hAnsi="宋体" w:cs="宋体"/>
          <w:b/>
          <w:color w:val="auto"/>
          <w:sz w:val="24"/>
          <w:szCs w:val="24"/>
        </w:rPr>
      </w:pPr>
      <w:r>
        <w:rPr>
          <w:rFonts w:hint="eastAsia" w:ascii="宋体" w:hAnsi="宋体"/>
          <w:b/>
          <w:color w:val="auto"/>
          <w:sz w:val="24"/>
          <w:szCs w:val="24"/>
        </w:rPr>
        <w:t>3.2.1</w:t>
      </w:r>
      <w:r>
        <w:rPr>
          <w:rFonts w:hint="eastAsia" w:ascii="宋体" w:hAnsi="宋体" w:cs="宋体"/>
          <w:b/>
          <w:color w:val="auto"/>
          <w:sz w:val="24"/>
          <w:szCs w:val="24"/>
        </w:rPr>
        <w:t>供货能力、供货渠道(满分10分)</w:t>
      </w:r>
    </w:p>
    <w:p>
      <w:pPr>
        <w:autoSpaceDE w:val="0"/>
        <w:autoSpaceDN w:val="0"/>
        <w:adjustRightInd w:val="0"/>
        <w:spacing w:line="510" w:lineRule="exact"/>
        <w:ind w:firstLine="480" w:firstLineChars="200"/>
        <w:rPr>
          <w:rFonts w:hint="eastAsia" w:ascii="宋体" w:hAnsi="宋体"/>
          <w:color w:val="auto"/>
          <w:sz w:val="24"/>
          <w:szCs w:val="24"/>
        </w:rPr>
      </w:pPr>
      <w:r>
        <w:rPr>
          <w:rFonts w:hint="eastAsia" w:ascii="宋体" w:hAnsi="宋体"/>
          <w:color w:val="auto"/>
          <w:sz w:val="24"/>
          <w:szCs w:val="24"/>
        </w:rPr>
        <w:t>（1）供应商对本采购项目供货能力、供货渠道阐述详细，供货来源明确、正规的，得8～10分；</w:t>
      </w:r>
    </w:p>
    <w:p>
      <w:pPr>
        <w:autoSpaceDE w:val="0"/>
        <w:autoSpaceDN w:val="0"/>
        <w:adjustRightInd w:val="0"/>
        <w:spacing w:line="510" w:lineRule="exact"/>
        <w:ind w:firstLine="480" w:firstLineChars="200"/>
        <w:rPr>
          <w:rFonts w:hint="eastAsia" w:ascii="宋体" w:hAnsi="宋体"/>
          <w:color w:val="auto"/>
          <w:sz w:val="24"/>
          <w:szCs w:val="24"/>
        </w:rPr>
      </w:pPr>
      <w:r>
        <w:rPr>
          <w:rFonts w:hint="eastAsia" w:ascii="宋体" w:hAnsi="宋体"/>
          <w:color w:val="auto"/>
          <w:sz w:val="24"/>
          <w:szCs w:val="24"/>
        </w:rPr>
        <w:t>（2）供应商对本采购项目供货能力、供货渠道阐述一般，供货来源基本明确、正规的，得4～7分；</w:t>
      </w:r>
    </w:p>
    <w:p>
      <w:pPr>
        <w:autoSpaceDE w:val="0"/>
        <w:autoSpaceDN w:val="0"/>
        <w:adjustRightInd w:val="0"/>
        <w:spacing w:line="510" w:lineRule="exact"/>
        <w:ind w:firstLine="480" w:firstLineChars="200"/>
        <w:rPr>
          <w:rFonts w:hint="eastAsia" w:ascii="宋体" w:hAnsi="宋体"/>
          <w:color w:val="auto"/>
          <w:sz w:val="24"/>
          <w:szCs w:val="24"/>
        </w:rPr>
      </w:pPr>
      <w:r>
        <w:rPr>
          <w:rFonts w:hint="eastAsia" w:ascii="宋体" w:hAnsi="宋体"/>
          <w:color w:val="auto"/>
          <w:sz w:val="24"/>
          <w:szCs w:val="24"/>
        </w:rPr>
        <w:t>（3）供应商对本采购项目供货能力、供货渠道进行阐述差或供货来源不明确的，得0～3分。</w:t>
      </w:r>
    </w:p>
    <w:p>
      <w:pPr>
        <w:pStyle w:val="5"/>
        <w:widowControl/>
        <w:spacing w:line="510" w:lineRule="exact"/>
        <w:ind w:firstLine="472" w:firstLineChars="196"/>
        <w:rPr>
          <w:rFonts w:hint="eastAsia"/>
          <w:b/>
          <w:color w:val="auto"/>
          <w:sz w:val="24"/>
          <w:szCs w:val="24"/>
        </w:rPr>
      </w:pPr>
      <w:r>
        <w:rPr>
          <w:rFonts w:hint="eastAsia"/>
          <w:b/>
          <w:color w:val="auto"/>
          <w:sz w:val="24"/>
          <w:szCs w:val="24"/>
        </w:rPr>
        <w:t>3.2.2配送方案</w:t>
      </w:r>
      <w:r>
        <w:rPr>
          <w:b/>
          <w:color w:val="auto"/>
          <w:sz w:val="24"/>
        </w:rPr>
        <w:t>（满分</w:t>
      </w:r>
      <w:r>
        <w:rPr>
          <w:rFonts w:hint="eastAsia"/>
          <w:b/>
          <w:color w:val="auto"/>
          <w:sz w:val="24"/>
          <w:lang w:val="en-US"/>
        </w:rPr>
        <w:t>2</w:t>
      </w:r>
      <w:r>
        <w:rPr>
          <w:rFonts w:hint="eastAsia"/>
          <w:b/>
          <w:color w:val="auto"/>
          <w:sz w:val="24"/>
          <w:lang w:val="en-US" w:eastAsia="zh-CN"/>
        </w:rPr>
        <w:t>0</w:t>
      </w:r>
      <w:r>
        <w:rPr>
          <w:b/>
          <w:color w:val="auto"/>
          <w:sz w:val="24"/>
        </w:rPr>
        <w:t>分）</w:t>
      </w:r>
      <w:r>
        <w:rPr>
          <w:b/>
          <w:color w:val="auto"/>
          <w:sz w:val="24"/>
        </w:rPr>
        <w:tab/>
      </w:r>
    </w:p>
    <w:p>
      <w:pPr>
        <w:spacing w:line="510" w:lineRule="exact"/>
        <w:ind w:firstLine="472"/>
        <w:rPr>
          <w:rFonts w:ascii="宋体" w:hAnsi="宋体" w:cs="Courier New"/>
          <w:color w:val="auto"/>
          <w:sz w:val="24"/>
          <w:szCs w:val="21"/>
        </w:rPr>
      </w:pPr>
      <w:r>
        <w:rPr>
          <w:rFonts w:hint="eastAsia" w:ascii="宋体" w:hAnsi="宋体" w:cs="Courier New"/>
          <w:color w:val="auto"/>
          <w:sz w:val="24"/>
          <w:szCs w:val="21"/>
        </w:rPr>
        <w:t xml:space="preserve">根据供应商提供的针对本项目的配送方案，包含但不限于：(1)药品集中正常配送方案；(2)临时用药配送方案；(3)紧急用药配送方案等。 </w:t>
      </w:r>
    </w:p>
    <w:p>
      <w:pPr>
        <w:spacing w:line="510" w:lineRule="exact"/>
        <w:ind w:firstLine="472"/>
        <w:rPr>
          <w:rFonts w:ascii="宋体" w:hAnsi="宋体" w:cs="Courier New"/>
          <w:color w:val="auto"/>
          <w:sz w:val="24"/>
          <w:szCs w:val="21"/>
        </w:rPr>
      </w:pPr>
      <w:r>
        <w:rPr>
          <w:rFonts w:hint="eastAsia" w:ascii="宋体" w:hAnsi="宋体" w:cs="Courier New"/>
          <w:color w:val="auto"/>
          <w:sz w:val="24"/>
          <w:szCs w:val="21"/>
        </w:rPr>
        <w:t>（1）配送方案内容非常完整、方案优，计划周全、配送流程清晰得当、措施具体、能最大限度满足日常配送需求的，得16～20分；</w:t>
      </w:r>
    </w:p>
    <w:p>
      <w:pPr>
        <w:spacing w:line="510" w:lineRule="exact"/>
        <w:ind w:firstLine="472"/>
        <w:rPr>
          <w:rFonts w:ascii="宋体" w:hAnsi="宋体" w:cs="Courier New"/>
          <w:color w:val="auto"/>
          <w:sz w:val="24"/>
          <w:szCs w:val="21"/>
        </w:rPr>
      </w:pPr>
      <w:r>
        <w:rPr>
          <w:rFonts w:hint="eastAsia" w:ascii="宋体" w:hAnsi="宋体" w:cs="Courier New"/>
          <w:color w:val="auto"/>
          <w:sz w:val="24"/>
          <w:szCs w:val="21"/>
        </w:rPr>
        <w:t>（2）配送方案内容完整、方案良，计划一般、配送流程清晰、措施具体、能满足日常配送需求的，得11～15分；</w:t>
      </w:r>
    </w:p>
    <w:p>
      <w:pPr>
        <w:spacing w:line="510" w:lineRule="exact"/>
        <w:ind w:firstLine="472"/>
        <w:rPr>
          <w:rFonts w:ascii="宋体" w:hAnsi="宋体" w:cs="Courier New"/>
          <w:color w:val="auto"/>
          <w:sz w:val="24"/>
          <w:szCs w:val="21"/>
        </w:rPr>
      </w:pPr>
      <w:r>
        <w:rPr>
          <w:rFonts w:hint="eastAsia" w:ascii="宋体" w:hAnsi="宋体" w:cs="Courier New"/>
          <w:color w:val="auto"/>
          <w:sz w:val="24"/>
          <w:szCs w:val="21"/>
        </w:rPr>
        <w:t>（3）配送方案内容基本完整，方案一般，计划不周全、不能满足日常配送需求的，得6～10分；</w:t>
      </w:r>
    </w:p>
    <w:p>
      <w:pPr>
        <w:spacing w:line="510" w:lineRule="exact"/>
        <w:ind w:firstLine="472"/>
        <w:rPr>
          <w:rFonts w:hint="eastAsia" w:ascii="宋体" w:hAnsi="宋体" w:cs="Courier New"/>
          <w:color w:val="auto"/>
          <w:sz w:val="24"/>
          <w:szCs w:val="21"/>
        </w:rPr>
      </w:pPr>
      <w:r>
        <w:rPr>
          <w:rFonts w:hint="eastAsia" w:ascii="宋体" w:hAnsi="宋体" w:cs="Courier New"/>
          <w:color w:val="auto"/>
          <w:sz w:val="24"/>
          <w:szCs w:val="21"/>
        </w:rPr>
        <w:t>（4）配送服务方案内容不科学、不完整、针对性较弱的，得1～5分；</w:t>
      </w:r>
    </w:p>
    <w:p>
      <w:pPr>
        <w:spacing w:line="510" w:lineRule="exact"/>
        <w:ind w:firstLine="472"/>
        <w:rPr>
          <w:rFonts w:hint="eastAsia" w:ascii="宋体" w:hAnsi="宋体" w:cs="Courier New"/>
          <w:color w:val="auto"/>
          <w:sz w:val="24"/>
          <w:szCs w:val="21"/>
        </w:rPr>
      </w:pPr>
      <w:r>
        <w:rPr>
          <w:rFonts w:hint="eastAsia" w:ascii="宋体" w:hAnsi="宋体" w:cs="Courier New"/>
          <w:color w:val="auto"/>
          <w:sz w:val="24"/>
          <w:szCs w:val="21"/>
        </w:rPr>
        <w:t>（5）无配送服务方案的，得0分。</w:t>
      </w:r>
    </w:p>
    <w:p>
      <w:pPr>
        <w:autoSpaceDE w:val="0"/>
        <w:autoSpaceDN w:val="0"/>
        <w:adjustRightInd w:val="0"/>
        <w:spacing w:line="51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3.2.3药品管理</w:t>
      </w:r>
      <w:r>
        <w:rPr>
          <w:rFonts w:hint="eastAsia" w:ascii="宋体" w:hAnsi="宋体" w:cs="Courier New"/>
          <w:b/>
          <w:color w:val="auto"/>
          <w:sz w:val="24"/>
          <w:szCs w:val="24"/>
          <w:lang w:val="zh-CN"/>
        </w:rPr>
        <w:t>方案</w:t>
      </w:r>
      <w:r>
        <w:rPr>
          <w:rFonts w:ascii="宋体" w:hAnsi="宋体" w:cs="Courier New"/>
          <w:b/>
          <w:color w:val="auto"/>
          <w:sz w:val="24"/>
          <w:szCs w:val="24"/>
          <w:lang w:val="zh-CN"/>
        </w:rPr>
        <w:t>（满分</w:t>
      </w:r>
      <w:r>
        <w:rPr>
          <w:rFonts w:hint="eastAsia" w:ascii="宋体" w:hAnsi="宋体" w:cs="Courier New"/>
          <w:b/>
          <w:color w:val="auto"/>
          <w:sz w:val="24"/>
          <w:szCs w:val="24"/>
          <w:lang w:val="zh-CN"/>
        </w:rPr>
        <w:t>5</w:t>
      </w:r>
      <w:r>
        <w:rPr>
          <w:rFonts w:ascii="宋体" w:hAnsi="宋体" w:cs="Courier New"/>
          <w:b/>
          <w:color w:val="auto"/>
          <w:sz w:val="24"/>
          <w:szCs w:val="24"/>
          <w:lang w:val="zh-CN"/>
        </w:rPr>
        <w:t>分）</w:t>
      </w:r>
    </w:p>
    <w:p>
      <w:pPr>
        <w:spacing w:line="510" w:lineRule="exact"/>
        <w:ind w:firstLine="472"/>
        <w:rPr>
          <w:rFonts w:hint="eastAsia" w:ascii="宋体" w:hAnsi="宋体" w:cs="Courier New"/>
          <w:color w:val="auto"/>
          <w:sz w:val="24"/>
          <w:szCs w:val="21"/>
        </w:rPr>
      </w:pPr>
      <w:r>
        <w:rPr>
          <w:rFonts w:hint="eastAsia" w:ascii="宋体" w:hAnsi="宋体" w:cs="Courier New"/>
          <w:color w:val="auto"/>
          <w:sz w:val="24"/>
          <w:szCs w:val="21"/>
        </w:rPr>
        <w:t>（1）药品管理方案完全满足招标需求，急救药品配置齐全、破损药品、积压药品、近效期药品能退换，短缺药品以及小量药品有完善的供应计划，信息化管理，购进、储存、销售等环节全程质量控制科学严谨，可操作性强的，得5分；</w:t>
      </w:r>
    </w:p>
    <w:p>
      <w:pPr>
        <w:spacing w:line="510" w:lineRule="exact"/>
        <w:ind w:firstLine="472"/>
        <w:rPr>
          <w:rFonts w:hint="eastAsia" w:ascii="宋体" w:hAnsi="宋体" w:cs="Courier New"/>
          <w:color w:val="auto"/>
          <w:sz w:val="24"/>
          <w:szCs w:val="21"/>
        </w:rPr>
      </w:pPr>
      <w:r>
        <w:rPr>
          <w:rFonts w:hint="eastAsia" w:ascii="宋体" w:hAnsi="宋体" w:cs="Courier New"/>
          <w:color w:val="auto"/>
          <w:sz w:val="24"/>
          <w:szCs w:val="21"/>
        </w:rPr>
        <w:t>（2）药品管理方案能满足招标需求，药品管理方案能退换，短缺药品以及小量药品供应计划，信息化管理，急救药品配置齐全、破损药品、积压药品、近效期药品购进、储存、销售等环节全程质量控制简单，有可操作性的，得3～4分；</w:t>
      </w:r>
    </w:p>
    <w:p>
      <w:pPr>
        <w:spacing w:line="510" w:lineRule="exact"/>
        <w:ind w:firstLine="472"/>
        <w:rPr>
          <w:rFonts w:hint="eastAsia" w:ascii="宋体" w:hAnsi="宋体" w:cs="Courier New"/>
          <w:color w:val="auto"/>
          <w:sz w:val="24"/>
          <w:szCs w:val="21"/>
        </w:rPr>
      </w:pPr>
      <w:r>
        <w:rPr>
          <w:rFonts w:hint="eastAsia" w:ascii="宋体" w:hAnsi="宋体" w:cs="Courier New"/>
          <w:color w:val="auto"/>
          <w:sz w:val="24"/>
          <w:szCs w:val="21"/>
        </w:rPr>
        <w:t>（3）药品管理方案不能满足招标需求，急救药品配置不齐全、破损药品、积压药品、近效期药品不能退换，短缺药品以及小量药品有供应计划，信息化管理，购进、储存、销售等环节全程质量控制粗糙，可操作性欠佳的，得1～2分；</w:t>
      </w:r>
    </w:p>
    <w:p>
      <w:pPr>
        <w:spacing w:line="510" w:lineRule="exact"/>
        <w:ind w:firstLine="472"/>
        <w:rPr>
          <w:rFonts w:hint="eastAsia" w:ascii="宋体" w:hAnsi="宋体" w:cs="Courier New"/>
          <w:color w:val="auto"/>
          <w:sz w:val="24"/>
          <w:szCs w:val="21"/>
        </w:rPr>
      </w:pPr>
      <w:r>
        <w:rPr>
          <w:rFonts w:hint="eastAsia" w:ascii="宋体" w:hAnsi="宋体" w:cs="Courier New"/>
          <w:color w:val="auto"/>
          <w:sz w:val="24"/>
          <w:szCs w:val="21"/>
        </w:rPr>
        <w:t>（4）无药品管理方案的，得0分。</w:t>
      </w:r>
    </w:p>
    <w:p>
      <w:pPr>
        <w:autoSpaceDE w:val="0"/>
        <w:autoSpaceDN w:val="0"/>
        <w:adjustRightInd w:val="0"/>
        <w:spacing w:line="510" w:lineRule="exact"/>
        <w:ind w:firstLine="482" w:firstLineChars="200"/>
        <w:rPr>
          <w:rFonts w:hint="eastAsia" w:ascii="宋体" w:hAnsi="宋体"/>
          <w:b/>
          <w:color w:val="auto"/>
          <w:sz w:val="24"/>
          <w:szCs w:val="24"/>
        </w:rPr>
      </w:pPr>
      <w:r>
        <w:rPr>
          <w:rFonts w:hint="eastAsia" w:ascii="宋体" w:hAnsi="宋体" w:cs="宋体"/>
          <w:b/>
          <w:color w:val="auto"/>
          <w:sz w:val="24"/>
          <w:szCs w:val="24"/>
        </w:rPr>
        <w:t>3.2.4</w:t>
      </w:r>
      <w:r>
        <w:rPr>
          <w:rFonts w:hint="eastAsia" w:ascii="宋体" w:hAnsi="宋体"/>
          <w:b/>
          <w:color w:val="auto"/>
          <w:sz w:val="24"/>
          <w:szCs w:val="24"/>
        </w:rPr>
        <w:t>项目组织机构及人员配备（满分5分）</w:t>
      </w:r>
    </w:p>
    <w:p>
      <w:pPr>
        <w:spacing w:line="510" w:lineRule="exact"/>
        <w:ind w:firstLine="472"/>
        <w:rPr>
          <w:rFonts w:hint="eastAsia" w:ascii="宋体" w:hAnsi="宋体" w:cs="Courier New"/>
          <w:color w:val="auto"/>
          <w:sz w:val="24"/>
          <w:szCs w:val="21"/>
        </w:rPr>
      </w:pPr>
      <w:r>
        <w:rPr>
          <w:rFonts w:hint="eastAsia" w:ascii="宋体" w:hAnsi="宋体" w:cs="Courier New"/>
          <w:color w:val="auto"/>
          <w:sz w:val="24"/>
          <w:szCs w:val="21"/>
        </w:rPr>
        <w:t>（1）项目组织机构配备合理、管理体系完善、人员数量安排科学、合理、可行，针对性强，有科学严谨的管理程序，人员配置合理齐全的，能完全满足项目实施要求的，得5分；</w:t>
      </w:r>
    </w:p>
    <w:p>
      <w:pPr>
        <w:spacing w:line="510" w:lineRule="exact"/>
        <w:ind w:firstLine="472"/>
        <w:rPr>
          <w:rFonts w:ascii="宋体" w:hAnsi="宋体" w:cs="Courier New"/>
          <w:color w:val="auto"/>
          <w:sz w:val="24"/>
          <w:szCs w:val="21"/>
        </w:rPr>
      </w:pPr>
      <w:r>
        <w:rPr>
          <w:rFonts w:hint="eastAsia" w:ascii="宋体" w:hAnsi="宋体" w:cs="Courier New"/>
          <w:color w:val="auto"/>
          <w:sz w:val="24"/>
          <w:szCs w:val="21"/>
        </w:rPr>
        <w:t>（2）项目组织机构配备基本合理、管理体系完善、人员数量安排科学、合理、有针对性，有管理程序，主要人员配置基本合理的，基本能满足项目实施要求的，得3～4分；</w:t>
      </w:r>
    </w:p>
    <w:p>
      <w:pPr>
        <w:spacing w:line="510" w:lineRule="exact"/>
        <w:ind w:firstLine="472"/>
        <w:rPr>
          <w:rFonts w:hint="eastAsia" w:ascii="宋体" w:hAnsi="宋体" w:cs="Courier New"/>
          <w:color w:val="auto"/>
          <w:sz w:val="24"/>
          <w:szCs w:val="21"/>
        </w:rPr>
      </w:pPr>
      <w:r>
        <w:rPr>
          <w:rFonts w:hint="eastAsia" w:ascii="宋体" w:hAnsi="宋体" w:cs="Courier New"/>
          <w:color w:val="auto"/>
          <w:sz w:val="24"/>
          <w:szCs w:val="21"/>
        </w:rPr>
        <w:t>（3）项目组织机构配备不合理、管理体系不完善，管理程序不清晰，主要人员安排的专业配置有疏漏，不能满足项目要求的,得1～2分；</w:t>
      </w:r>
    </w:p>
    <w:p>
      <w:pPr>
        <w:spacing w:line="510" w:lineRule="exact"/>
        <w:ind w:firstLine="472"/>
        <w:rPr>
          <w:rFonts w:hint="eastAsia" w:ascii="宋体" w:hAnsi="宋体" w:cs="Courier New"/>
          <w:color w:val="auto"/>
          <w:sz w:val="24"/>
          <w:szCs w:val="21"/>
        </w:rPr>
      </w:pPr>
      <w:r>
        <w:rPr>
          <w:rFonts w:hint="eastAsia" w:ascii="宋体" w:hAnsi="宋体" w:cs="Courier New"/>
          <w:color w:val="auto"/>
          <w:sz w:val="24"/>
          <w:szCs w:val="21"/>
        </w:rPr>
        <w:t>（4）无项目组织机构及人员配备的，得0分。</w:t>
      </w:r>
    </w:p>
    <w:p>
      <w:pPr>
        <w:autoSpaceDE w:val="0"/>
        <w:autoSpaceDN w:val="0"/>
        <w:adjustRightInd w:val="0"/>
        <w:spacing w:line="510" w:lineRule="exact"/>
        <w:ind w:firstLine="482" w:firstLineChars="200"/>
        <w:rPr>
          <w:rFonts w:hint="eastAsia" w:ascii="宋体" w:hAnsi="宋体"/>
          <w:b/>
          <w:color w:val="auto"/>
          <w:sz w:val="24"/>
          <w:szCs w:val="24"/>
        </w:rPr>
      </w:pPr>
      <w:r>
        <w:rPr>
          <w:rFonts w:hint="eastAsia" w:ascii="宋体" w:hAnsi="宋体" w:cs="宋体"/>
          <w:b/>
          <w:color w:val="auto"/>
          <w:sz w:val="24"/>
          <w:szCs w:val="24"/>
        </w:rPr>
        <w:t>3.2.5</w:t>
      </w:r>
      <w:r>
        <w:rPr>
          <w:rFonts w:hint="eastAsia" w:ascii="宋体" w:hAnsi="宋体"/>
          <w:b/>
          <w:color w:val="auto"/>
          <w:sz w:val="24"/>
          <w:szCs w:val="24"/>
          <w:lang w:bidi="zh-CN"/>
        </w:rPr>
        <w:t>质量保证措施及承诺</w:t>
      </w:r>
      <w:r>
        <w:rPr>
          <w:rFonts w:hint="eastAsia" w:ascii="宋体" w:hAnsi="宋体"/>
          <w:b/>
          <w:color w:val="auto"/>
          <w:sz w:val="24"/>
          <w:szCs w:val="24"/>
        </w:rPr>
        <w:t>（满分10分）</w:t>
      </w:r>
    </w:p>
    <w:p>
      <w:pPr>
        <w:spacing w:line="510" w:lineRule="exact"/>
        <w:ind w:firstLine="482"/>
        <w:rPr>
          <w:rFonts w:ascii="宋体" w:hAnsi="宋体"/>
          <w:color w:val="auto"/>
          <w:sz w:val="24"/>
          <w:szCs w:val="24"/>
          <w:lang w:val="zh-CN" w:bidi="zh-CN"/>
        </w:rPr>
      </w:pPr>
      <w:r>
        <w:rPr>
          <w:rFonts w:hint="eastAsia" w:ascii="宋体" w:hAnsi="宋体"/>
          <w:color w:val="auto"/>
          <w:sz w:val="24"/>
          <w:szCs w:val="24"/>
          <w:lang w:val="zh-CN" w:bidi="zh-CN"/>
        </w:rPr>
        <w:t>（1）质量保证措施及承诺内容完整、详细，针对性强，完全满足采购人实际需求，且有具体可行的违约惩罚措施</w:t>
      </w:r>
      <w:r>
        <w:rPr>
          <w:rFonts w:hint="eastAsia" w:ascii="宋体" w:hAnsi="宋体" w:cs="Courier New"/>
          <w:color w:val="auto"/>
          <w:sz w:val="24"/>
          <w:szCs w:val="21"/>
        </w:rPr>
        <w:t>的，得7～10分；</w:t>
      </w:r>
    </w:p>
    <w:p>
      <w:pPr>
        <w:spacing w:line="510" w:lineRule="exact"/>
        <w:ind w:firstLine="482"/>
        <w:rPr>
          <w:rFonts w:ascii="宋体" w:hAnsi="宋体"/>
          <w:color w:val="auto"/>
          <w:sz w:val="24"/>
          <w:szCs w:val="24"/>
          <w:lang w:val="zh-CN" w:bidi="zh-CN"/>
        </w:rPr>
      </w:pPr>
      <w:r>
        <w:rPr>
          <w:rFonts w:hint="eastAsia" w:ascii="宋体" w:hAnsi="宋体"/>
          <w:color w:val="auto"/>
          <w:sz w:val="24"/>
          <w:szCs w:val="24"/>
          <w:lang w:val="zh-CN" w:bidi="zh-CN"/>
        </w:rPr>
        <w:t>（2）质量保证措施及承诺内容较完整、针对性较强，基本满足采购人实际需求，有违约惩罚措施但不具体</w:t>
      </w:r>
      <w:r>
        <w:rPr>
          <w:rFonts w:hint="eastAsia" w:ascii="宋体" w:hAnsi="宋体" w:cs="Courier New"/>
          <w:color w:val="auto"/>
          <w:sz w:val="24"/>
          <w:szCs w:val="21"/>
        </w:rPr>
        <w:t>的，得4～6分；</w:t>
      </w:r>
    </w:p>
    <w:p>
      <w:pPr>
        <w:spacing w:line="510" w:lineRule="exact"/>
        <w:ind w:firstLine="482"/>
        <w:rPr>
          <w:rFonts w:ascii="宋体" w:hAnsi="宋体"/>
          <w:color w:val="auto"/>
          <w:sz w:val="24"/>
          <w:szCs w:val="24"/>
          <w:lang w:val="zh-CN" w:bidi="zh-CN"/>
        </w:rPr>
      </w:pPr>
      <w:r>
        <w:rPr>
          <w:rFonts w:hint="eastAsia" w:ascii="宋体" w:hAnsi="宋体"/>
          <w:color w:val="auto"/>
          <w:sz w:val="24"/>
          <w:szCs w:val="24"/>
          <w:lang w:val="zh-CN" w:bidi="zh-CN"/>
        </w:rPr>
        <w:t>（3）质量保证措施及承诺内容缺漏，针对性差，无法满足采购人实际需求</w:t>
      </w:r>
      <w:r>
        <w:rPr>
          <w:rFonts w:hint="eastAsia" w:ascii="宋体" w:hAnsi="宋体" w:cs="Courier New"/>
          <w:color w:val="auto"/>
          <w:sz w:val="24"/>
          <w:szCs w:val="21"/>
        </w:rPr>
        <w:t>的，得1～3分；</w:t>
      </w:r>
    </w:p>
    <w:p>
      <w:pPr>
        <w:spacing w:line="510" w:lineRule="exact"/>
        <w:ind w:firstLine="482"/>
        <w:rPr>
          <w:rFonts w:hint="eastAsia" w:ascii="宋体" w:hAnsi="宋体" w:cs="宋体"/>
          <w:color w:val="auto"/>
          <w:sz w:val="24"/>
          <w:szCs w:val="28"/>
        </w:rPr>
      </w:pPr>
      <w:r>
        <w:rPr>
          <w:rFonts w:hint="eastAsia" w:ascii="宋体" w:hAnsi="宋体"/>
          <w:color w:val="auto"/>
          <w:sz w:val="24"/>
          <w:szCs w:val="24"/>
          <w:lang w:val="zh-CN" w:bidi="zh-CN"/>
        </w:rPr>
        <w:t>（4）服务商未提供质量保证措施及承诺或无违约惩罚措施的，得0分。</w:t>
      </w:r>
    </w:p>
    <w:p>
      <w:pPr>
        <w:autoSpaceDE w:val="0"/>
        <w:autoSpaceDN w:val="0"/>
        <w:adjustRightInd w:val="0"/>
        <w:spacing w:line="510" w:lineRule="exact"/>
        <w:ind w:firstLine="482" w:firstLineChars="200"/>
        <w:rPr>
          <w:rFonts w:hint="eastAsia" w:ascii="宋体" w:hAnsi="宋体"/>
          <w:b/>
          <w:color w:val="auto"/>
          <w:sz w:val="24"/>
          <w:szCs w:val="24"/>
        </w:rPr>
      </w:pPr>
      <w:r>
        <w:rPr>
          <w:rFonts w:hint="eastAsia" w:ascii="宋体" w:hAnsi="宋体"/>
          <w:b/>
          <w:color w:val="auto"/>
          <w:sz w:val="24"/>
          <w:szCs w:val="24"/>
        </w:rPr>
        <w:t>3</w:t>
      </w:r>
      <w:r>
        <w:rPr>
          <w:rFonts w:ascii="宋体" w:hAnsi="宋体"/>
          <w:b/>
          <w:color w:val="auto"/>
          <w:sz w:val="24"/>
          <w:szCs w:val="24"/>
        </w:rPr>
        <w:t>.2.</w:t>
      </w:r>
      <w:r>
        <w:rPr>
          <w:rFonts w:hint="eastAsia" w:ascii="宋体" w:hAnsi="宋体"/>
          <w:b/>
          <w:color w:val="auto"/>
          <w:sz w:val="24"/>
          <w:szCs w:val="24"/>
        </w:rPr>
        <w:t>6应急预案（满分5分）</w:t>
      </w:r>
    </w:p>
    <w:p>
      <w:pPr>
        <w:spacing w:line="510" w:lineRule="exact"/>
        <w:ind w:firstLine="472"/>
        <w:rPr>
          <w:rFonts w:ascii="宋体" w:hAnsi="宋体" w:cs="Courier New"/>
          <w:color w:val="auto"/>
          <w:sz w:val="24"/>
          <w:szCs w:val="21"/>
        </w:rPr>
      </w:pPr>
      <w:r>
        <w:rPr>
          <w:rFonts w:hint="eastAsia" w:ascii="宋体" w:hAnsi="宋体" w:cs="Courier New"/>
          <w:color w:val="auto"/>
          <w:sz w:val="24"/>
          <w:szCs w:val="21"/>
        </w:rPr>
        <w:t>（1）供应商提供的应急处理科学合理，能够有效解决实际问题，并对采购人管理工作有帮助的，得5分；</w:t>
      </w:r>
    </w:p>
    <w:p>
      <w:pPr>
        <w:spacing w:line="510" w:lineRule="exact"/>
        <w:ind w:firstLine="472"/>
        <w:rPr>
          <w:rFonts w:ascii="宋体" w:hAnsi="宋体" w:cs="Courier New"/>
          <w:color w:val="auto"/>
          <w:sz w:val="24"/>
          <w:szCs w:val="21"/>
        </w:rPr>
      </w:pPr>
      <w:r>
        <w:rPr>
          <w:rFonts w:hint="eastAsia" w:ascii="宋体" w:hAnsi="宋体" w:cs="Courier New"/>
          <w:color w:val="auto"/>
          <w:sz w:val="24"/>
          <w:szCs w:val="21"/>
        </w:rPr>
        <w:t xml:space="preserve">（2）供应商提供的应急处理能满足要求，但未能完全解决实际问题，对采购人管理工作有一定帮助的，得3～4分； </w:t>
      </w:r>
    </w:p>
    <w:p>
      <w:pPr>
        <w:spacing w:line="510" w:lineRule="exact"/>
        <w:ind w:firstLine="472"/>
        <w:rPr>
          <w:rFonts w:hint="eastAsia" w:ascii="宋体" w:hAnsi="宋体" w:cs="Courier New"/>
          <w:color w:val="auto"/>
          <w:sz w:val="24"/>
          <w:szCs w:val="21"/>
        </w:rPr>
      </w:pPr>
      <w:r>
        <w:rPr>
          <w:rFonts w:hint="eastAsia" w:ascii="宋体" w:hAnsi="宋体" w:cs="Courier New"/>
          <w:color w:val="auto"/>
          <w:sz w:val="24"/>
          <w:szCs w:val="21"/>
        </w:rPr>
        <w:t>（3）供应商提供的应急处理未结合实际，未能完全解决实际问题，对采购人管理工作帮助不大的，得1～2分；</w:t>
      </w:r>
    </w:p>
    <w:p>
      <w:pPr>
        <w:spacing w:line="510" w:lineRule="exact"/>
        <w:ind w:firstLine="472"/>
        <w:rPr>
          <w:rFonts w:hint="eastAsia" w:ascii="宋体" w:hAnsi="宋体" w:cs="Courier New"/>
          <w:color w:val="auto"/>
          <w:sz w:val="24"/>
          <w:szCs w:val="21"/>
        </w:rPr>
      </w:pPr>
      <w:r>
        <w:rPr>
          <w:rFonts w:hint="eastAsia" w:ascii="宋体" w:hAnsi="宋体" w:cs="Courier New"/>
          <w:color w:val="auto"/>
          <w:sz w:val="24"/>
          <w:szCs w:val="21"/>
        </w:rPr>
        <w:t>（4）供应商未提供应急处理的，得0分。</w:t>
      </w:r>
    </w:p>
    <w:p>
      <w:pPr>
        <w:autoSpaceDE w:val="0"/>
        <w:autoSpaceDN w:val="0"/>
        <w:adjustRightInd w:val="0"/>
        <w:spacing w:line="510" w:lineRule="exact"/>
        <w:ind w:firstLine="470" w:firstLineChars="195"/>
        <w:rPr>
          <w:rFonts w:hint="eastAsia" w:ascii="宋体" w:hAnsi="宋体"/>
          <w:b/>
          <w:color w:val="auto"/>
          <w:sz w:val="24"/>
          <w:szCs w:val="24"/>
        </w:rPr>
      </w:pPr>
      <w:r>
        <w:rPr>
          <w:rFonts w:hint="eastAsia" w:ascii="宋体" w:hAnsi="宋体"/>
          <w:b/>
          <w:color w:val="auto"/>
          <w:sz w:val="24"/>
          <w:szCs w:val="24"/>
        </w:rPr>
        <w:t>3.2.7</w:t>
      </w:r>
      <w:r>
        <w:rPr>
          <w:rFonts w:hint="eastAsia" w:ascii="宋体" w:hAnsi="宋体"/>
          <w:b/>
          <w:bCs/>
          <w:color w:val="auto"/>
          <w:sz w:val="24"/>
          <w:szCs w:val="24"/>
        </w:rPr>
        <w:t>拟投入配送需要的主要设备</w:t>
      </w:r>
      <w:r>
        <w:rPr>
          <w:rFonts w:hint="eastAsia" w:ascii="宋体" w:hAnsi="宋体"/>
          <w:b/>
          <w:color w:val="auto"/>
          <w:sz w:val="24"/>
          <w:szCs w:val="24"/>
        </w:rPr>
        <w:t>(满分5分</w:t>
      </w:r>
      <w:r>
        <w:rPr>
          <w:rFonts w:ascii="宋体" w:hAnsi="宋体"/>
          <w:b/>
          <w:color w:val="auto"/>
          <w:sz w:val="24"/>
          <w:szCs w:val="24"/>
        </w:rPr>
        <w:t>)</w:t>
      </w:r>
    </w:p>
    <w:p>
      <w:pPr>
        <w:spacing w:line="510" w:lineRule="exact"/>
        <w:ind w:firstLine="480" w:firstLineChars="200"/>
        <w:rPr>
          <w:rFonts w:hint="eastAsia" w:ascii="宋体" w:hAnsi="宋体"/>
          <w:color w:val="auto"/>
          <w:sz w:val="24"/>
          <w:szCs w:val="24"/>
        </w:rPr>
      </w:pPr>
      <w:r>
        <w:rPr>
          <w:rFonts w:hint="eastAsia" w:ascii="宋体" w:hAnsi="宋体"/>
          <w:color w:val="auto"/>
          <w:sz w:val="24"/>
          <w:szCs w:val="24"/>
        </w:rPr>
        <w:t>（1）供应商针对本采购项目配备的主要设备满足配送需要，且搭配得当的，得4～5分；</w:t>
      </w:r>
    </w:p>
    <w:p>
      <w:pPr>
        <w:spacing w:line="510" w:lineRule="exact"/>
        <w:ind w:firstLine="480" w:firstLineChars="200"/>
        <w:rPr>
          <w:rFonts w:hint="eastAsia" w:ascii="宋体" w:hAnsi="宋体"/>
          <w:color w:val="auto"/>
          <w:sz w:val="24"/>
          <w:szCs w:val="24"/>
        </w:rPr>
      </w:pPr>
      <w:r>
        <w:rPr>
          <w:rFonts w:hint="eastAsia" w:ascii="宋体" w:hAnsi="宋体"/>
          <w:color w:val="auto"/>
          <w:sz w:val="24"/>
          <w:szCs w:val="24"/>
        </w:rPr>
        <w:t>（2）供应商针对本采购项目配备的主要设备基本满足配送需要，但搭配不当的得2～3分；</w:t>
      </w:r>
    </w:p>
    <w:p>
      <w:pPr>
        <w:spacing w:line="510" w:lineRule="exact"/>
        <w:ind w:left="360" w:leftChars="180" w:firstLine="120" w:firstLineChars="50"/>
        <w:rPr>
          <w:rFonts w:hint="eastAsia" w:ascii="宋体" w:hAnsi="宋体"/>
          <w:color w:val="auto"/>
          <w:sz w:val="24"/>
          <w:szCs w:val="24"/>
        </w:rPr>
      </w:pPr>
      <w:r>
        <w:rPr>
          <w:rFonts w:hint="eastAsia" w:ascii="宋体" w:hAnsi="宋体"/>
          <w:color w:val="auto"/>
          <w:sz w:val="24"/>
          <w:szCs w:val="24"/>
        </w:rPr>
        <w:t>（3）供应商针对本采购项目配备的主要设备不能满足配送需要的，得0～1分。</w:t>
      </w:r>
    </w:p>
    <w:p>
      <w:pPr>
        <w:autoSpaceDE w:val="0"/>
        <w:autoSpaceDN w:val="0"/>
        <w:adjustRightInd w:val="0"/>
        <w:spacing w:line="510" w:lineRule="exact"/>
        <w:ind w:firstLine="470" w:firstLineChars="195"/>
        <w:rPr>
          <w:rFonts w:hint="eastAsia" w:ascii="宋体" w:hAnsi="宋体"/>
          <w:b/>
          <w:color w:val="auto"/>
          <w:sz w:val="24"/>
          <w:szCs w:val="24"/>
        </w:rPr>
      </w:pPr>
      <w:r>
        <w:rPr>
          <w:rFonts w:hint="eastAsia" w:ascii="宋体" w:hAnsi="宋体"/>
          <w:b/>
          <w:color w:val="auto"/>
          <w:sz w:val="24"/>
          <w:szCs w:val="24"/>
        </w:rPr>
        <w:t>3.2.8售后服务内容及承诺(满分5分)</w:t>
      </w:r>
    </w:p>
    <w:p>
      <w:pPr>
        <w:autoSpaceDE w:val="0"/>
        <w:autoSpaceDN w:val="0"/>
        <w:adjustRightInd w:val="0"/>
        <w:spacing w:line="510" w:lineRule="exact"/>
        <w:ind w:firstLine="470" w:firstLineChars="196"/>
        <w:rPr>
          <w:rFonts w:hint="eastAsia" w:ascii="宋体" w:hAnsi="宋体"/>
          <w:color w:val="auto"/>
          <w:sz w:val="24"/>
          <w:szCs w:val="24"/>
        </w:rPr>
      </w:pPr>
      <w:r>
        <w:rPr>
          <w:rFonts w:hint="eastAsia" w:ascii="宋体" w:hAnsi="宋体"/>
          <w:color w:val="auto"/>
          <w:sz w:val="24"/>
          <w:szCs w:val="24"/>
        </w:rPr>
        <w:t>（1）供应商售后服务能力强，能快速响应售后服务的方案，所承诺的售后服务计划内容全面，保证措施、违约承诺详细，计划完善、组织合理的，能很好的满足采购人需求的，得5分；</w:t>
      </w:r>
    </w:p>
    <w:p>
      <w:pPr>
        <w:autoSpaceDE w:val="0"/>
        <w:autoSpaceDN w:val="0"/>
        <w:adjustRightInd w:val="0"/>
        <w:spacing w:line="510" w:lineRule="exact"/>
        <w:ind w:firstLine="470" w:firstLineChars="196"/>
        <w:rPr>
          <w:rFonts w:hint="eastAsia" w:ascii="宋体" w:hAnsi="宋体"/>
          <w:color w:val="auto"/>
          <w:sz w:val="24"/>
          <w:szCs w:val="24"/>
        </w:rPr>
      </w:pPr>
      <w:r>
        <w:rPr>
          <w:rFonts w:hint="eastAsia" w:ascii="宋体" w:hAnsi="宋体"/>
          <w:color w:val="auto"/>
          <w:sz w:val="24"/>
          <w:szCs w:val="24"/>
        </w:rPr>
        <w:t>（2）供应商售后服务能力较强，能快速响应售后服务的方案，所承诺的售后服务计划内容较全面，保证措施、违约承诺较详细，计划完善、组织合理的，能较好的满足采购人需求的，得3～4分；</w:t>
      </w:r>
    </w:p>
    <w:p>
      <w:pPr>
        <w:autoSpaceDE w:val="0"/>
        <w:autoSpaceDN w:val="0"/>
        <w:adjustRightInd w:val="0"/>
        <w:spacing w:line="510" w:lineRule="exact"/>
        <w:ind w:firstLine="470" w:firstLineChars="196"/>
        <w:rPr>
          <w:rFonts w:hint="eastAsia" w:ascii="宋体" w:hAnsi="宋体"/>
          <w:color w:val="auto"/>
          <w:sz w:val="24"/>
          <w:szCs w:val="24"/>
        </w:rPr>
      </w:pPr>
      <w:r>
        <w:rPr>
          <w:rFonts w:hint="eastAsia" w:ascii="宋体" w:hAnsi="宋体"/>
          <w:color w:val="auto"/>
          <w:sz w:val="24"/>
          <w:szCs w:val="24"/>
        </w:rPr>
        <w:t>（3）供应商有一定的售后服务能力，能快速响应售后服务的方案，所承诺的售后服务计划内容较全面，保证措施、违约承诺较详细，计划完善、组织合理的，能较好的满足采购人需求的，得1～2分；</w:t>
      </w:r>
    </w:p>
    <w:p>
      <w:pPr>
        <w:spacing w:line="510" w:lineRule="exact"/>
        <w:ind w:left="360" w:leftChars="180" w:firstLine="120" w:firstLineChars="50"/>
        <w:rPr>
          <w:rFonts w:hint="eastAsia" w:ascii="宋体" w:hAnsi="宋体"/>
          <w:b/>
          <w:color w:val="auto"/>
          <w:sz w:val="24"/>
          <w:szCs w:val="24"/>
        </w:rPr>
      </w:pPr>
      <w:r>
        <w:rPr>
          <w:rFonts w:ascii="宋体" w:hAnsi="宋体"/>
          <w:b/>
          <w:color w:val="auto"/>
          <w:sz w:val="24"/>
          <w:szCs w:val="24"/>
        </w:rPr>
        <w:t>3.2.</w:t>
      </w:r>
      <w:r>
        <w:rPr>
          <w:rFonts w:hint="eastAsia" w:ascii="宋体" w:hAnsi="宋体"/>
          <w:b/>
          <w:color w:val="auto"/>
          <w:sz w:val="24"/>
          <w:szCs w:val="24"/>
        </w:rPr>
        <w:t xml:space="preserve">9业绩(满分5分) </w:t>
      </w:r>
    </w:p>
    <w:p>
      <w:pPr>
        <w:autoSpaceDE w:val="0"/>
        <w:autoSpaceDN w:val="0"/>
        <w:adjustRightInd w:val="0"/>
        <w:spacing w:line="510" w:lineRule="exact"/>
        <w:ind w:firstLine="468" w:firstLineChars="195"/>
        <w:rPr>
          <w:rFonts w:hint="eastAsia" w:ascii="宋体" w:hAnsi="宋体"/>
          <w:color w:val="auto"/>
          <w:sz w:val="24"/>
          <w:szCs w:val="24"/>
          <w:lang w:bidi="zh-CN"/>
        </w:rPr>
      </w:pPr>
      <w:r>
        <w:rPr>
          <w:rFonts w:hint="eastAsia" w:ascii="宋体" w:hAnsi="宋体"/>
          <w:color w:val="auto"/>
          <w:sz w:val="24"/>
          <w:szCs w:val="24"/>
          <w:lang w:bidi="zh-CN"/>
        </w:rPr>
        <w:t>（1）2021年至今服务经验较优，具有类似项目经验，附有相关证明资料（提供合同复印件或成交通知书复印件等）的，得3～5分；</w:t>
      </w:r>
    </w:p>
    <w:p>
      <w:pPr>
        <w:autoSpaceDE w:val="0"/>
        <w:autoSpaceDN w:val="0"/>
        <w:adjustRightInd w:val="0"/>
        <w:spacing w:line="510" w:lineRule="exact"/>
        <w:ind w:firstLine="468" w:firstLineChars="195"/>
        <w:rPr>
          <w:rFonts w:hint="eastAsia" w:ascii="宋体" w:hAnsi="宋体"/>
          <w:color w:val="auto"/>
          <w:sz w:val="24"/>
          <w:szCs w:val="24"/>
          <w:lang w:bidi="zh-CN"/>
        </w:rPr>
      </w:pPr>
      <w:r>
        <w:rPr>
          <w:rFonts w:hint="eastAsia" w:ascii="宋体" w:hAnsi="宋体"/>
          <w:color w:val="auto"/>
          <w:sz w:val="24"/>
          <w:szCs w:val="24"/>
          <w:lang w:bidi="zh-CN"/>
        </w:rPr>
        <w:t>（2）2021年至今服务经验一般，附有相关证明资料（提供合同复印件或成交通知书复印件等）的，得1～2分；</w:t>
      </w:r>
    </w:p>
    <w:p>
      <w:pPr>
        <w:autoSpaceDE w:val="0"/>
        <w:autoSpaceDN w:val="0"/>
        <w:adjustRightInd w:val="0"/>
        <w:spacing w:line="510" w:lineRule="exact"/>
        <w:ind w:firstLine="468" w:firstLineChars="195"/>
        <w:rPr>
          <w:rFonts w:hint="eastAsia" w:ascii="宋体" w:hAnsi="宋体"/>
          <w:color w:val="auto"/>
          <w:sz w:val="24"/>
          <w:szCs w:val="24"/>
          <w:lang w:bidi="zh-CN"/>
        </w:rPr>
      </w:pPr>
      <w:r>
        <w:rPr>
          <w:rFonts w:hint="eastAsia" w:ascii="宋体" w:hAnsi="宋体"/>
          <w:color w:val="auto"/>
          <w:sz w:val="24"/>
          <w:szCs w:val="24"/>
          <w:lang w:bidi="zh-CN"/>
        </w:rPr>
        <w:t>（3）2021年至今无服务经验或未提供相关证明资料，得0分。</w:t>
      </w:r>
    </w:p>
    <w:p>
      <w:pPr>
        <w:autoSpaceDE w:val="0"/>
        <w:autoSpaceDN w:val="0"/>
        <w:adjustRightInd w:val="0"/>
        <w:spacing w:line="510" w:lineRule="exact"/>
        <w:ind w:firstLine="468" w:firstLineChars="195"/>
        <w:rPr>
          <w:rFonts w:hint="eastAsia" w:ascii="宋体" w:hAnsi="宋体"/>
          <w:color w:val="auto"/>
          <w:sz w:val="24"/>
          <w:szCs w:val="24"/>
          <w:lang w:bidi="zh-CN"/>
        </w:rPr>
      </w:pPr>
      <w:r>
        <w:rPr>
          <w:rFonts w:hint="eastAsia" w:ascii="宋体" w:hAnsi="宋体"/>
          <w:color w:val="auto"/>
          <w:sz w:val="24"/>
          <w:szCs w:val="24"/>
          <w:lang w:bidi="zh-CN"/>
        </w:rPr>
        <w:t>注：服务经验证明材料（如合同、成交通知书或其它有效证明）复印件应装订在响应文件内，否则视为无服务经验或未提供相关证明资料。</w:t>
      </w:r>
    </w:p>
    <w:p>
      <w:pPr>
        <w:autoSpaceDE w:val="0"/>
        <w:autoSpaceDN w:val="0"/>
        <w:adjustRightInd w:val="0"/>
        <w:spacing w:line="520" w:lineRule="exact"/>
        <w:ind w:firstLine="470" w:firstLineChars="195"/>
        <w:rPr>
          <w:rFonts w:ascii="宋体" w:hAnsi="宋体" w:cs="宋体"/>
          <w:b/>
          <w:color w:val="auto"/>
          <w:sz w:val="24"/>
          <w:szCs w:val="24"/>
        </w:rPr>
      </w:pPr>
      <w:r>
        <w:rPr>
          <w:rFonts w:ascii="宋体" w:hAnsi="宋体" w:cs="宋体"/>
          <w:b/>
          <w:color w:val="auto"/>
          <w:sz w:val="24"/>
          <w:szCs w:val="24"/>
        </w:rPr>
        <w:t>评分要求和统计分数原则</w:t>
      </w:r>
    </w:p>
    <w:p>
      <w:pPr>
        <w:widowControl w:val="0"/>
        <w:autoSpaceDE w:val="0"/>
        <w:autoSpaceDN w:val="0"/>
        <w:adjustRightInd w:val="0"/>
        <w:spacing w:line="520" w:lineRule="exact"/>
        <w:ind w:firstLine="468" w:firstLineChars="195"/>
        <w:rPr>
          <w:rFonts w:ascii="宋体" w:hAnsi="宋体"/>
          <w:color w:val="auto"/>
          <w:sz w:val="24"/>
          <w:szCs w:val="24"/>
          <w:lang w:bidi="zh-CN"/>
        </w:rPr>
      </w:pPr>
      <w:r>
        <w:rPr>
          <w:rFonts w:ascii="宋体" w:hAnsi="宋体"/>
          <w:color w:val="auto"/>
          <w:sz w:val="24"/>
          <w:szCs w:val="24"/>
          <w:lang w:bidi="zh-CN"/>
        </w:rPr>
        <w:t>1、磋商小组评委应首先对各供应商</w:t>
      </w:r>
      <w:r>
        <w:rPr>
          <w:rFonts w:hint="eastAsia" w:ascii="宋体" w:hAnsi="宋体"/>
          <w:color w:val="auto"/>
          <w:sz w:val="24"/>
          <w:szCs w:val="24"/>
          <w:lang w:bidi="zh-CN"/>
        </w:rPr>
        <w:t>响应文件</w:t>
      </w:r>
      <w:r>
        <w:rPr>
          <w:rFonts w:ascii="宋体" w:hAnsi="宋体"/>
          <w:color w:val="auto"/>
          <w:sz w:val="24"/>
          <w:szCs w:val="24"/>
          <w:lang w:bidi="zh-CN"/>
        </w:rPr>
        <w:t>进行评审，并按竞争性磋商文件规定分值评分，各分档评分中间不得用插入法评分。</w:t>
      </w:r>
    </w:p>
    <w:p>
      <w:pPr>
        <w:widowControl w:val="0"/>
        <w:autoSpaceDE w:val="0"/>
        <w:autoSpaceDN w:val="0"/>
        <w:adjustRightInd w:val="0"/>
        <w:spacing w:line="520" w:lineRule="exact"/>
        <w:ind w:firstLine="468" w:firstLineChars="195"/>
        <w:rPr>
          <w:rFonts w:ascii="宋体" w:hAnsi="宋体"/>
          <w:color w:val="auto"/>
          <w:sz w:val="24"/>
          <w:szCs w:val="24"/>
          <w:lang w:bidi="zh-CN"/>
        </w:rPr>
      </w:pPr>
      <w:r>
        <w:rPr>
          <w:rFonts w:ascii="宋体" w:hAnsi="宋体"/>
          <w:color w:val="auto"/>
          <w:sz w:val="24"/>
          <w:szCs w:val="24"/>
          <w:lang w:bidi="zh-CN"/>
        </w:rPr>
        <w:t>2、技术部分评分中，各评委应自主评分并签字确认。</w:t>
      </w:r>
    </w:p>
    <w:p>
      <w:pPr>
        <w:widowControl w:val="0"/>
        <w:autoSpaceDE w:val="0"/>
        <w:autoSpaceDN w:val="0"/>
        <w:adjustRightInd w:val="0"/>
        <w:spacing w:line="520" w:lineRule="exact"/>
        <w:ind w:firstLine="468" w:firstLineChars="195"/>
        <w:rPr>
          <w:rFonts w:ascii="宋体" w:hAnsi="宋体"/>
          <w:color w:val="auto"/>
          <w:sz w:val="24"/>
          <w:szCs w:val="24"/>
          <w:lang w:bidi="zh-CN"/>
        </w:rPr>
      </w:pPr>
      <w:r>
        <w:rPr>
          <w:rFonts w:ascii="宋体" w:hAnsi="宋体"/>
          <w:color w:val="auto"/>
          <w:sz w:val="24"/>
          <w:szCs w:val="24"/>
          <w:lang w:bidi="zh-CN"/>
        </w:rPr>
        <w:t>3、统计分数原则：当评委有效评分份数在5份以上时，去掉最高和最低评分后计算平均分值为供应商技术部分得分；当评委有效评分份数少于5份（含5份）时，计算算术平均分值为供应商的技术部分得分（保留小数点后两位）。</w:t>
      </w:r>
    </w:p>
    <w:p>
      <w:pPr>
        <w:widowControl w:val="0"/>
        <w:autoSpaceDE w:val="0"/>
        <w:autoSpaceDN w:val="0"/>
        <w:adjustRightInd w:val="0"/>
        <w:spacing w:line="520" w:lineRule="exact"/>
        <w:ind w:firstLine="470" w:firstLineChars="195"/>
        <w:rPr>
          <w:rFonts w:ascii="宋体" w:hAnsi="宋体" w:cs="宋体"/>
          <w:b/>
          <w:color w:val="auto"/>
          <w:sz w:val="24"/>
          <w:szCs w:val="24"/>
        </w:rPr>
      </w:pPr>
      <w:r>
        <w:rPr>
          <w:rFonts w:ascii="宋体" w:hAnsi="宋体" w:cs="宋体"/>
          <w:b/>
          <w:color w:val="auto"/>
          <w:sz w:val="24"/>
          <w:szCs w:val="24"/>
        </w:rPr>
        <w:t>3.4评标最后得分</w:t>
      </w:r>
    </w:p>
    <w:p>
      <w:pPr>
        <w:autoSpaceDE w:val="0"/>
        <w:autoSpaceDN w:val="0"/>
        <w:adjustRightInd w:val="0"/>
        <w:spacing w:line="520" w:lineRule="exact"/>
        <w:ind w:firstLine="470" w:firstLineChars="196"/>
        <w:rPr>
          <w:rFonts w:ascii="宋体" w:hAnsi="宋体"/>
          <w:color w:val="auto"/>
          <w:sz w:val="24"/>
          <w:szCs w:val="24"/>
          <w:lang w:val="zh-CN"/>
        </w:rPr>
      </w:pPr>
      <w:r>
        <w:rPr>
          <w:rFonts w:ascii="宋体" w:hAnsi="宋体"/>
          <w:color w:val="auto"/>
          <w:sz w:val="24"/>
          <w:szCs w:val="24"/>
          <w:lang w:val="zh-CN"/>
        </w:rPr>
        <w:t>对通过初步评审的响应文件的商务部分和技术部分按</w:t>
      </w:r>
      <w:r>
        <w:rPr>
          <w:rFonts w:hint="eastAsia" w:ascii="宋体" w:hAnsi="宋体"/>
          <w:color w:val="auto"/>
          <w:sz w:val="24"/>
          <w:szCs w:val="24"/>
          <w:lang w:val="zh-CN"/>
        </w:rPr>
        <w:t>评标</w:t>
      </w:r>
      <w:r>
        <w:rPr>
          <w:rFonts w:ascii="宋体" w:hAnsi="宋体"/>
          <w:color w:val="auto"/>
          <w:sz w:val="24"/>
          <w:szCs w:val="24"/>
          <w:lang w:val="zh-CN"/>
        </w:rPr>
        <w:t>办法进行打分，供应商的最后得分按下列公式计算：</w:t>
      </w:r>
    </w:p>
    <w:p>
      <w:pPr>
        <w:autoSpaceDE w:val="0"/>
        <w:autoSpaceDN w:val="0"/>
        <w:adjustRightInd w:val="0"/>
        <w:spacing w:line="520" w:lineRule="exact"/>
        <w:ind w:firstLine="470" w:firstLineChars="196"/>
        <w:rPr>
          <w:rFonts w:ascii="宋体" w:hAnsi="宋体"/>
          <w:color w:val="auto"/>
          <w:sz w:val="24"/>
          <w:szCs w:val="24"/>
          <w:lang w:val="zh-CN"/>
        </w:rPr>
      </w:pPr>
      <w:r>
        <w:rPr>
          <w:rFonts w:ascii="宋体" w:hAnsi="宋体"/>
          <w:color w:val="auto"/>
          <w:sz w:val="24"/>
          <w:szCs w:val="24"/>
          <w:lang w:val="zh-CN"/>
        </w:rPr>
        <w:t>Z=S+J</w:t>
      </w:r>
    </w:p>
    <w:p>
      <w:pPr>
        <w:autoSpaceDE w:val="0"/>
        <w:autoSpaceDN w:val="0"/>
        <w:adjustRightInd w:val="0"/>
        <w:spacing w:line="520" w:lineRule="exact"/>
        <w:ind w:firstLine="470" w:firstLineChars="196"/>
        <w:rPr>
          <w:rFonts w:ascii="宋体" w:hAnsi="宋体"/>
          <w:color w:val="auto"/>
          <w:sz w:val="24"/>
          <w:szCs w:val="24"/>
          <w:lang w:val="zh-CN"/>
        </w:rPr>
      </w:pPr>
      <w:r>
        <w:rPr>
          <w:rFonts w:ascii="宋体" w:hAnsi="宋体"/>
          <w:color w:val="auto"/>
          <w:sz w:val="24"/>
          <w:szCs w:val="24"/>
          <w:lang w:val="zh-CN"/>
        </w:rPr>
        <w:t>Z：指供应商的最后得分；</w:t>
      </w:r>
    </w:p>
    <w:p>
      <w:pPr>
        <w:autoSpaceDE w:val="0"/>
        <w:autoSpaceDN w:val="0"/>
        <w:adjustRightInd w:val="0"/>
        <w:spacing w:line="520" w:lineRule="exact"/>
        <w:ind w:firstLine="470" w:firstLineChars="196"/>
        <w:rPr>
          <w:rFonts w:ascii="宋体" w:hAnsi="宋体"/>
          <w:color w:val="auto"/>
          <w:sz w:val="24"/>
          <w:szCs w:val="24"/>
          <w:lang w:val="zh-CN"/>
        </w:rPr>
      </w:pPr>
      <w:r>
        <w:rPr>
          <w:rFonts w:ascii="宋体" w:hAnsi="宋体"/>
          <w:color w:val="auto"/>
          <w:sz w:val="24"/>
          <w:szCs w:val="24"/>
          <w:lang w:val="zh-CN"/>
        </w:rPr>
        <w:t>S：指供应商商务部分得分；</w:t>
      </w:r>
    </w:p>
    <w:p>
      <w:pPr>
        <w:autoSpaceDE w:val="0"/>
        <w:autoSpaceDN w:val="0"/>
        <w:adjustRightInd w:val="0"/>
        <w:spacing w:line="520" w:lineRule="exact"/>
        <w:ind w:firstLine="470" w:firstLineChars="196"/>
        <w:rPr>
          <w:rFonts w:hint="eastAsia" w:ascii="宋体" w:hAnsi="宋体"/>
          <w:color w:val="auto"/>
          <w:sz w:val="24"/>
          <w:szCs w:val="24"/>
          <w:lang w:val="zh-CN"/>
        </w:rPr>
      </w:pPr>
      <w:r>
        <w:rPr>
          <w:rFonts w:ascii="宋体" w:hAnsi="宋体"/>
          <w:color w:val="auto"/>
          <w:sz w:val="24"/>
          <w:szCs w:val="24"/>
          <w:lang w:val="zh-CN"/>
        </w:rPr>
        <w:t>J：指供应商技术部分得分；</w:t>
      </w:r>
    </w:p>
    <w:p>
      <w:pPr>
        <w:autoSpaceDE w:val="0"/>
        <w:autoSpaceDN w:val="0"/>
        <w:adjustRightInd w:val="0"/>
        <w:spacing w:line="520" w:lineRule="exact"/>
        <w:ind w:firstLine="470" w:firstLineChars="196"/>
        <w:rPr>
          <w:rFonts w:ascii="宋体" w:hAnsi="宋体"/>
          <w:color w:val="auto"/>
          <w:sz w:val="24"/>
          <w:szCs w:val="24"/>
          <w:lang w:val="zh-CN"/>
        </w:rPr>
      </w:pPr>
      <w:r>
        <w:rPr>
          <w:rFonts w:hint="eastAsia" w:ascii="宋体" w:hAnsi="宋体"/>
          <w:color w:val="auto"/>
          <w:sz w:val="24"/>
          <w:szCs w:val="24"/>
          <w:lang w:val="zh-CN"/>
        </w:rPr>
        <w:t>磋商小组将按照供应商的最后得分从高到低推荐第一至第三中标候选人。评审得分相同的，按照最后报价由低到高的顺序推荐。评审得分且最后报价相同的，按照技术指标优劣顺序推荐。</w:t>
      </w:r>
    </w:p>
    <w:p>
      <w:pPr>
        <w:pStyle w:val="4"/>
        <w:spacing w:before="0" w:after="0" w:line="520" w:lineRule="exact"/>
        <w:jc w:val="center"/>
        <w:rPr>
          <w:rFonts w:ascii="宋体" w:hAnsi="宋体" w:eastAsia="宋体" w:cs="宋体"/>
          <w:color w:val="auto"/>
          <w:lang w:val="zh-CN"/>
        </w:rPr>
      </w:pPr>
      <w:r>
        <w:rPr>
          <w:rFonts w:ascii="宋体" w:hAnsi="宋体" w:eastAsia="宋体" w:cs="宋体"/>
          <w:color w:val="auto"/>
          <w:lang w:val="zh-CN"/>
        </w:rPr>
        <w:t>四、评标报告</w:t>
      </w:r>
    </w:p>
    <w:p>
      <w:pPr>
        <w:autoSpaceDE w:val="0"/>
        <w:autoSpaceDN w:val="0"/>
        <w:adjustRightInd w:val="0"/>
        <w:spacing w:line="520" w:lineRule="exact"/>
        <w:ind w:firstLine="470" w:firstLineChars="196"/>
        <w:rPr>
          <w:rFonts w:ascii="宋体" w:hAnsi="宋体"/>
          <w:color w:val="auto"/>
          <w:sz w:val="24"/>
          <w:szCs w:val="24"/>
          <w:lang w:val="zh-CN"/>
        </w:rPr>
      </w:pPr>
      <w:r>
        <w:rPr>
          <w:rFonts w:ascii="宋体" w:hAnsi="宋体"/>
          <w:color w:val="auto"/>
          <w:sz w:val="24"/>
          <w:szCs w:val="24"/>
          <w:lang w:val="zh-CN"/>
        </w:rPr>
        <w:t>4.1磋商小组完成评标后，应当向采购人提交书面评标报告。</w:t>
      </w:r>
    </w:p>
    <w:p>
      <w:pPr>
        <w:autoSpaceDE w:val="0"/>
        <w:autoSpaceDN w:val="0"/>
        <w:adjustRightInd w:val="0"/>
        <w:spacing w:line="520" w:lineRule="exact"/>
        <w:ind w:firstLine="470" w:firstLineChars="196"/>
        <w:rPr>
          <w:rFonts w:hint="eastAsia" w:ascii="宋体" w:hAnsi="宋体"/>
          <w:color w:val="auto"/>
          <w:sz w:val="24"/>
          <w:szCs w:val="24"/>
          <w:lang w:val="zh-CN"/>
        </w:rPr>
      </w:pPr>
      <w:r>
        <w:rPr>
          <w:rFonts w:hint="eastAsia" w:ascii="宋体" w:hAnsi="宋体"/>
          <w:color w:val="auto"/>
          <w:sz w:val="24"/>
          <w:szCs w:val="24"/>
          <w:lang w:val="zh-CN"/>
        </w:rPr>
        <w:t>4.2评标过程中如遇特殊情况由磋商小组依据相关法律、法规集体研究确定。</w:t>
      </w:r>
    </w:p>
    <w:p>
      <w:pPr>
        <w:autoSpaceDE w:val="0"/>
        <w:autoSpaceDN w:val="0"/>
        <w:adjustRightInd w:val="0"/>
        <w:spacing w:line="480" w:lineRule="exact"/>
        <w:ind w:firstLine="470" w:firstLineChars="196"/>
        <w:rPr>
          <w:rFonts w:hint="eastAsia" w:ascii="宋体" w:hAnsi="宋体"/>
          <w:color w:val="auto"/>
          <w:sz w:val="24"/>
          <w:szCs w:val="24"/>
          <w:lang w:val="zh-CN"/>
        </w:rPr>
      </w:pPr>
    </w:p>
    <w:p>
      <w:pPr>
        <w:spacing w:line="500" w:lineRule="exact"/>
        <w:ind w:firstLine="470"/>
        <w:rPr>
          <w:rFonts w:hint="eastAsia" w:ascii="宋体" w:hAnsi="宋体" w:cs="宋体"/>
          <w:color w:val="auto"/>
          <w:sz w:val="24"/>
          <w:szCs w:val="24"/>
        </w:rPr>
      </w:pPr>
    </w:p>
    <w:p>
      <w:pPr>
        <w:spacing w:line="500" w:lineRule="exact"/>
        <w:ind w:firstLine="470"/>
        <w:rPr>
          <w:rFonts w:hint="eastAsia" w:ascii="宋体" w:hAnsi="宋体" w:cs="宋体"/>
          <w:color w:val="auto"/>
          <w:sz w:val="24"/>
          <w:szCs w:val="24"/>
        </w:rPr>
      </w:pPr>
    </w:p>
    <w:p>
      <w:pPr>
        <w:spacing w:line="500" w:lineRule="exact"/>
        <w:ind w:firstLine="470"/>
        <w:rPr>
          <w:rFonts w:hint="eastAsia" w:ascii="宋体" w:hAnsi="宋体" w:cs="宋体"/>
          <w:color w:val="auto"/>
          <w:sz w:val="24"/>
          <w:szCs w:val="24"/>
        </w:rPr>
      </w:pPr>
      <w:bookmarkStart w:id="7" w:name="_GoBack"/>
      <w:bookmarkEnd w:id="7"/>
    </w:p>
    <w:p/>
    <w:sectPr>
      <w:pgSz w:w="11906" w:h="16838"/>
      <w:pgMar w:top="1417" w:right="1134" w:bottom="1417" w:left="1134" w:header="851" w:footer="992" w:gutter="0"/>
      <w:paperSrc/>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51"/>
    <w:rsid w:val="005F0551"/>
    <w:rsid w:val="36C20D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Calibri"/>
      <w:color w:val="000000"/>
      <w:sz w:val="21"/>
      <w:szCs w:val="22"/>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sz w:val="32"/>
      <w:szCs w:val="3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after="290" w:line="374" w:lineRule="auto"/>
      <w:outlineLvl w:val="3"/>
    </w:pPr>
    <w:rPr>
      <w:rFonts w:ascii="Arial" w:hAnsi="Arial" w:eastAsia="黑体" w:cs="Arial"/>
      <w:b/>
      <w:sz w:val="28"/>
      <w:szCs w:val="28"/>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Plain Text"/>
    <w:basedOn w:val="1"/>
    <w:uiPriority w:val="0"/>
    <w:pPr>
      <w:widowControl w:val="0"/>
      <w:jc w:val="both"/>
    </w:pPr>
    <w:rPr>
      <w:rFonts w:ascii="宋体" w:hAnsi="宋体" w:cs="Courier New"/>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2024-05-27T08:33:00Z</dcterms:created>
  <dc:creator>Administrator</dc:creator>
  <cp:lastModifiedBy>Administrator</cp:lastModifiedBy>
  <dcterms:modified xsi:type="dcterms:W3CDTF">2024-05-27T08:36:23Z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