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  <w:r>
        <w:rPr>
          <w:rFonts w:hint="eastAsia" w:ascii="宋体" w:hAnsi="宋体" w:cs="宋体"/>
          <w:b/>
          <w:bCs/>
          <w:szCs w:val="28"/>
        </w:rPr>
        <w:t>评审标准</w:t>
      </w:r>
    </w:p>
    <w:p>
      <w:pPr>
        <w:pStyle w:val="7"/>
        <w:rPr>
          <w:color w:val="auto"/>
        </w:rPr>
      </w:pPr>
    </w:p>
    <w:tbl>
      <w:tblPr>
        <w:tblStyle w:val="5"/>
        <w:tblpPr w:leftFromText="180" w:rightFromText="180" w:vertAnchor="text" w:horzAnchor="page" w:tblpX="1495" w:tblpY="298"/>
        <w:tblOverlap w:val="never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391"/>
        <w:gridCol w:w="1700"/>
        <w:gridCol w:w="4273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166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条款号</w:t>
            </w:r>
          </w:p>
        </w:tc>
        <w:tc>
          <w:tcPr>
            <w:tcW w:w="1700" w:type="dxa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评审因素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775" w:type="dxa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2.1</w:t>
            </w:r>
          </w:p>
        </w:tc>
        <w:tc>
          <w:tcPr>
            <w:tcW w:w="139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分值构成（100）</w:t>
            </w:r>
          </w:p>
        </w:tc>
        <w:tc>
          <w:tcPr>
            <w:tcW w:w="7092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报价部分（30分）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技术部分（50分）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综合部分（20分）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775" w:type="dxa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2.2.1</w:t>
            </w:r>
          </w:p>
        </w:tc>
        <w:tc>
          <w:tcPr>
            <w:tcW w:w="139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报价部分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评分标准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（30分）</w:t>
            </w:r>
          </w:p>
        </w:tc>
        <w:tc>
          <w:tcPr>
            <w:tcW w:w="7092" w:type="dxa"/>
            <w:gridSpan w:val="3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满足谈判文件要求且最后报价最低的供应商报价为评标基准价，其报价得分为满分。其他供应商的价格得分统一按照下列公式计算：投标报价得分=(评标基准价／最后投标报价)×30（小数点后保留2位小数）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775" w:type="dxa"/>
            <w:vMerge w:val="restart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2.2.2</w:t>
            </w:r>
          </w:p>
        </w:tc>
        <w:tc>
          <w:tcPr>
            <w:tcW w:w="1391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技术部分</w:t>
            </w:r>
          </w:p>
          <w:p>
            <w:pPr>
              <w:spacing w:line="400" w:lineRule="exact"/>
              <w:ind w:left="280" w:leftChars="1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（50分）</w:t>
            </w: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审查内容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施工方案与技术措施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质量管理体系与措施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安全管理体系与措施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文明施工、环境保护管理体系及施工现场扬尘治理措施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工程进度计划与措施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拟投入资源配备计划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施工进度表或施工网络图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新工艺、新技术、新设备、新材料的采用程度，其在确保质量、降低成本、缩短工期、减轻劳动强度、提高工效等方面的作用。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在节能减排、绿色施工、工艺创新方面，具体措施落实可行。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3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备注：以上项目若有缺项或不能满足施工要求或与该工程要求不相符，该项为0分；得分=所有评委计分后算术平均值。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75" w:type="dxa"/>
            <w:vMerge w:val="restart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2.2.3</w:t>
            </w:r>
          </w:p>
        </w:tc>
        <w:tc>
          <w:tcPr>
            <w:tcW w:w="1391" w:type="dxa"/>
            <w:vMerge w:val="restart"/>
            <w:noWrap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综合标评标分值（20分）</w:t>
            </w:r>
          </w:p>
        </w:tc>
        <w:tc>
          <w:tcPr>
            <w:tcW w:w="17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项目主要管理人员</w:t>
            </w:r>
            <w:r>
              <w:rPr>
                <w:rFonts w:hint="eastAsia" w:ascii="宋体" w:hAnsi="宋体" w:cs="宋体"/>
                <w:sz w:val="24"/>
                <w:szCs w:val="24"/>
              </w:rPr>
              <w:t>（10分）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项目部主要成员（施工员、质量员或质检员、安全员、材料员、预算员或造价员），具有以上相关岗位证书每个得2分，最多得10分；需提供岗位证书（或执业证书）没有不得分。响应性文件附证件复印件。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优惠条件的承诺（0-4分）</w:t>
            </w:r>
          </w:p>
        </w:tc>
        <w:tc>
          <w:tcPr>
            <w:tcW w:w="5392" w:type="dxa"/>
            <w:gridSpan w:val="2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优惠承诺应是书面的符合工程实际情况，确保依法依规，优惠合理，详实可行。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根据各供应商优惠条件承诺综合评比、比较后</w:t>
            </w:r>
            <w:r>
              <w:rPr>
                <w:rFonts w:hint="eastAsia" w:ascii="宋体" w:hAnsi="宋体" w:cs="宋体"/>
                <w:sz w:val="24"/>
                <w:szCs w:val="24"/>
              </w:rPr>
              <w:t>优惠合理，详实可行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得0-4分。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服务承诺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（0-6分）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1、服务承诺目标明确、具体、可行，0～2分。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2、供应商在项目实施完成后所承诺的责任、服务内容；0～2分。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3、保证不拖欠农民工工资的承诺；0～2分。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9258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注：供应商最后得分=报价部分得分+技术部分得分+综合部分得分。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hint="eastAsia" w:ascii="宋体" w:hAnsi="宋体" w:cs="宋体"/>
                <w:sz w:val="24"/>
                <w:szCs w:val="24"/>
              </w:rPr>
              <w:t>供应商的最终得分为全部评委打分的算术平均值。本条计算分值均保留两位小数</w:t>
            </w:r>
            <w:r>
              <w:rPr>
                <w:rFonts w:hint="eastAsia"/>
              </w:rPr>
              <w:t>。</w:t>
            </w:r>
          </w:p>
        </w:tc>
      </w:tr>
    </w:tbl>
    <w:p>
      <w:pPr>
        <w:spacing w:line="312" w:lineRule="auto"/>
        <w:jc w:val="center"/>
        <w:rPr>
          <w:rFonts w:ascii="宋体" w:hAnsi="宋体" w:cs="宋体"/>
          <w:b/>
          <w:szCs w:val="28"/>
        </w:rPr>
        <w:sectPr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ZjdkOWFiNWQzMjZhMGM3ZjhhNzA3NzA2ZDE2NzAifQ=="/>
  </w:docVars>
  <w:rsids>
    <w:rsidRoot w:val="0FD037B3"/>
    <w:rsid w:val="0FD0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sz w:val="32"/>
    </w:rPr>
  </w:style>
  <w:style w:type="paragraph" w:styleId="4">
    <w:name w:val="Body Text 2"/>
    <w:basedOn w:val="1"/>
    <w:next w:val="3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customStyle="1" w:styleId="7">
    <w:name w:val="Default"/>
    <w:next w:val="8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8">
    <w:name w:val="表格文字"/>
    <w:basedOn w:val="1"/>
    <w:next w:val="3"/>
    <w:qFormat/>
    <w:uiPriority w:val="99"/>
    <w:pPr>
      <w:adjustRightInd w:val="0"/>
      <w:spacing w:line="420" w:lineRule="atLeast"/>
      <w:jc w:val="lef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2024-05-24T08:22:00Z</dcterms:created>
  <dc:creator>admin</dc:creator>
  <cp:lastModifiedBy>admin</cp:lastModifiedBy>
  <dcterms:modified xsi:type="dcterms:W3CDTF">2024-05-24T08:23:24Z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4E4FD1C0345148F5853785192A668340_11</vt:lpwstr>
  </property>
</Properties>
</file>