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9" w:lineRule="exact"/>
        <w:ind w:firstLine="723" w:firstLineChars="200"/>
        <w:jc w:val="center"/>
        <w:rPr>
          <w:rFonts w:ascii="宋体" w:hAnsi="宋体" w:cs="宋体"/>
          <w:color w:val="FF0000"/>
          <w:sz w:val="24"/>
          <w:szCs w:val="24"/>
        </w:rPr>
      </w:pPr>
      <w:r>
        <w:rPr>
          <w:rFonts w:hint="eastAsia" w:ascii="宋体" w:hAnsi="宋体" w:eastAsia="宋体" w:cs="Times New Roman"/>
          <w:b/>
          <w:bCs/>
          <w:sz w:val="36"/>
          <w:szCs w:val="36"/>
        </w:rPr>
        <w:t>评审标准</w:t>
      </w:r>
      <w:r>
        <w:rPr>
          <w:rFonts w:hint="eastAsia" w:ascii="宋体" w:hAnsi="宋体" w:eastAsia="宋体"/>
          <w:b/>
          <w:bCs/>
          <w:sz w:val="36"/>
          <w:szCs w:val="36"/>
        </w:rPr>
        <w:t>（综合评分法）</w:t>
      </w:r>
    </w:p>
    <w:tbl>
      <w:tblPr>
        <w:tblStyle w:val="4"/>
        <w:tblpPr w:leftFromText="180" w:rightFromText="180" w:vertAnchor="text" w:tblpXSpec="center" w:tblpY="1"/>
        <w:tblOverlap w:val="never"/>
        <w:tblW w:w="10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94"/>
        <w:gridCol w:w="974"/>
        <w:gridCol w:w="611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9" w:type="dxa"/>
            <w:noWrap w:val="0"/>
            <w:vAlign w:val="center"/>
          </w:tcPr>
          <w:p>
            <w:pPr>
              <w:spacing w:line="440" w:lineRule="exact"/>
              <w:jc w:val="center"/>
              <w:rPr>
                <w:rFonts w:ascii="宋体" w:hAnsi="宋体" w:cs="宋体"/>
                <w:b/>
                <w:color w:val="000000"/>
                <w:sz w:val="22"/>
                <w:szCs w:val="22"/>
              </w:rPr>
            </w:pPr>
            <w:r>
              <w:rPr>
                <w:rFonts w:hint="eastAsia" w:ascii="宋体" w:hAnsi="宋体" w:cs="宋体"/>
                <w:b/>
                <w:color w:val="000000"/>
                <w:sz w:val="22"/>
                <w:szCs w:val="22"/>
              </w:rPr>
              <w:t>序号</w:t>
            </w:r>
          </w:p>
        </w:tc>
        <w:tc>
          <w:tcPr>
            <w:tcW w:w="1294" w:type="dxa"/>
            <w:noWrap w:val="0"/>
            <w:vAlign w:val="center"/>
          </w:tcPr>
          <w:p>
            <w:pPr>
              <w:spacing w:line="440" w:lineRule="exact"/>
              <w:jc w:val="center"/>
              <w:rPr>
                <w:rFonts w:ascii="宋体" w:hAnsi="宋体" w:cs="宋体"/>
                <w:b/>
                <w:color w:val="000000"/>
                <w:sz w:val="22"/>
                <w:szCs w:val="22"/>
              </w:rPr>
            </w:pPr>
            <w:r>
              <w:rPr>
                <w:rFonts w:hint="eastAsia" w:ascii="宋体" w:hAnsi="宋体" w:cs="宋体"/>
                <w:b/>
                <w:color w:val="000000"/>
                <w:sz w:val="22"/>
                <w:szCs w:val="22"/>
              </w:rPr>
              <w:t>评分因素</w:t>
            </w:r>
          </w:p>
        </w:tc>
        <w:tc>
          <w:tcPr>
            <w:tcW w:w="974" w:type="dxa"/>
            <w:noWrap w:val="0"/>
            <w:vAlign w:val="center"/>
          </w:tcPr>
          <w:p>
            <w:pPr>
              <w:spacing w:line="440" w:lineRule="exact"/>
              <w:jc w:val="center"/>
              <w:rPr>
                <w:rFonts w:ascii="宋体" w:hAnsi="宋体" w:cs="宋体"/>
                <w:b/>
                <w:color w:val="000000"/>
                <w:sz w:val="22"/>
                <w:szCs w:val="22"/>
              </w:rPr>
            </w:pPr>
            <w:r>
              <w:rPr>
                <w:rFonts w:hint="eastAsia" w:ascii="宋体" w:hAnsi="宋体" w:cs="宋体"/>
                <w:b/>
                <w:color w:val="000000"/>
                <w:sz w:val="22"/>
                <w:szCs w:val="22"/>
              </w:rPr>
              <w:t>分值</w:t>
            </w:r>
          </w:p>
        </w:tc>
        <w:tc>
          <w:tcPr>
            <w:tcW w:w="6118" w:type="dxa"/>
            <w:noWrap w:val="0"/>
            <w:vAlign w:val="center"/>
          </w:tcPr>
          <w:p>
            <w:pPr>
              <w:spacing w:line="440" w:lineRule="exact"/>
              <w:jc w:val="center"/>
              <w:rPr>
                <w:rFonts w:ascii="宋体" w:hAnsi="宋体" w:cs="宋体"/>
                <w:b/>
                <w:color w:val="000000"/>
                <w:sz w:val="22"/>
                <w:szCs w:val="22"/>
              </w:rPr>
            </w:pPr>
            <w:r>
              <w:rPr>
                <w:rFonts w:hint="eastAsia" w:ascii="宋体" w:hAnsi="宋体" w:cs="宋体"/>
                <w:b/>
                <w:color w:val="000000"/>
                <w:sz w:val="22"/>
                <w:szCs w:val="22"/>
              </w:rPr>
              <w:t>评分标准（以下评分标准为举例）</w:t>
            </w:r>
          </w:p>
        </w:tc>
        <w:tc>
          <w:tcPr>
            <w:tcW w:w="1432" w:type="dxa"/>
            <w:noWrap w:val="0"/>
            <w:vAlign w:val="center"/>
          </w:tcPr>
          <w:p>
            <w:pPr>
              <w:pStyle w:val="6"/>
              <w:spacing w:before="0" w:after="0" w:line="440" w:lineRule="exact"/>
              <w:rPr>
                <w:rFonts w:ascii="宋体" w:hAnsi="宋体" w:eastAsia="宋体" w:cs="宋体"/>
                <w:color w:val="000000"/>
                <w:sz w:val="22"/>
                <w:szCs w:val="22"/>
              </w:rPr>
            </w:pPr>
            <w:r>
              <w:rPr>
                <w:rFonts w:hint="eastAsia" w:ascii="宋体" w:hAnsi="宋体" w:eastAsia="宋体" w:cs="宋体"/>
                <w:color w:val="00000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trPr>
        <w:tc>
          <w:tcPr>
            <w:tcW w:w="719" w:type="dxa"/>
            <w:noWrap w:val="0"/>
            <w:vAlign w:val="center"/>
          </w:tcPr>
          <w:p>
            <w:pPr>
              <w:spacing w:line="360" w:lineRule="exact"/>
              <w:jc w:val="center"/>
              <w:rPr>
                <w:rFonts w:ascii="宋体" w:hAnsi="宋体" w:cs="方正仿宋_GBK"/>
                <w:color w:val="000000"/>
                <w:sz w:val="22"/>
                <w:szCs w:val="22"/>
              </w:rPr>
            </w:pPr>
            <w:r>
              <w:rPr>
                <w:rFonts w:hint="eastAsia" w:ascii="宋体" w:hAnsi="宋体" w:cs="方正仿宋_GBK"/>
                <w:color w:val="000000"/>
                <w:sz w:val="22"/>
                <w:szCs w:val="22"/>
              </w:rPr>
              <w:t>1</w:t>
            </w:r>
          </w:p>
        </w:tc>
        <w:tc>
          <w:tcPr>
            <w:tcW w:w="1294" w:type="dxa"/>
            <w:noWrap w:val="0"/>
            <w:vAlign w:val="center"/>
          </w:tcPr>
          <w:p>
            <w:pPr>
              <w:spacing w:line="360" w:lineRule="exact"/>
              <w:rPr>
                <w:rFonts w:ascii="宋体" w:hAnsi="宋体" w:cs="方正仿宋_GBK"/>
                <w:color w:val="000000"/>
                <w:sz w:val="22"/>
                <w:szCs w:val="22"/>
              </w:rPr>
            </w:pPr>
            <w:r>
              <w:rPr>
                <w:rFonts w:hint="eastAsia" w:ascii="宋体" w:hAnsi="宋体" w:cs="方正仿宋_GBK"/>
                <w:color w:val="000000"/>
                <w:sz w:val="22"/>
                <w:szCs w:val="22"/>
              </w:rPr>
              <w:t>投标报价</w:t>
            </w:r>
          </w:p>
        </w:tc>
        <w:tc>
          <w:tcPr>
            <w:tcW w:w="974" w:type="dxa"/>
            <w:noWrap w:val="0"/>
            <w:vAlign w:val="center"/>
          </w:tcPr>
          <w:p>
            <w:pPr>
              <w:spacing w:line="360" w:lineRule="exact"/>
              <w:jc w:val="center"/>
              <w:rPr>
                <w:rFonts w:hint="default" w:ascii="宋体" w:hAnsi="宋体" w:eastAsia="宋体" w:cs="方正仿宋_GBK"/>
                <w:color w:val="000000"/>
                <w:sz w:val="22"/>
                <w:szCs w:val="22"/>
                <w:lang w:val="en-US" w:eastAsia="zh-CN"/>
              </w:rPr>
            </w:pPr>
            <w:r>
              <w:rPr>
                <w:rFonts w:hint="eastAsia" w:ascii="宋体" w:hAnsi="宋体" w:cs="方正仿宋_GBK"/>
                <w:color w:val="000000"/>
                <w:sz w:val="22"/>
                <w:szCs w:val="22"/>
                <w:lang w:val="en-US" w:eastAsia="zh-CN"/>
              </w:rPr>
              <w:t>10</w:t>
            </w:r>
          </w:p>
        </w:tc>
        <w:tc>
          <w:tcPr>
            <w:tcW w:w="6118" w:type="dxa"/>
            <w:noWrap w:val="0"/>
            <w:vAlign w:val="center"/>
          </w:tcPr>
          <w:p>
            <w:pPr>
              <w:widowControl/>
              <w:spacing w:line="300" w:lineRule="exact"/>
              <w:outlineLvl w:val="2"/>
              <w:rPr>
                <w:rFonts w:ascii="宋体" w:hAnsi="宋体" w:cs="宋体"/>
                <w:color w:val="000000"/>
                <w:sz w:val="22"/>
                <w:szCs w:val="22"/>
              </w:rPr>
            </w:pPr>
            <w:r>
              <w:rPr>
                <w:rFonts w:hint="eastAsia" w:ascii="宋体" w:hAnsi="宋体" w:cs="宋体"/>
                <w:color w:val="000000"/>
                <w:sz w:val="22"/>
                <w:szCs w:val="22"/>
              </w:rPr>
              <w:t>有效的投标报价中的最低价为评标基准价，按照下列公式计算每个投标人的投标价格得分。</w:t>
            </w:r>
          </w:p>
          <w:p>
            <w:pPr>
              <w:widowControl/>
              <w:spacing w:line="300" w:lineRule="exact"/>
              <w:outlineLvl w:val="2"/>
              <w:rPr>
                <w:rFonts w:ascii="宋体" w:hAnsi="宋体" w:cs="方正仿宋_GBK"/>
                <w:color w:val="000000"/>
                <w:sz w:val="22"/>
                <w:szCs w:val="22"/>
              </w:rPr>
            </w:pPr>
            <w:r>
              <w:rPr>
                <w:rFonts w:hint="eastAsia" w:ascii="宋体" w:hAnsi="宋体" w:cs="宋体"/>
                <w:color w:val="000000"/>
                <w:sz w:val="22"/>
                <w:szCs w:val="22"/>
              </w:rPr>
              <w:t>投标报价得分＝（评标基准价/投标报价）×价格权重×100。</w:t>
            </w:r>
          </w:p>
        </w:tc>
        <w:tc>
          <w:tcPr>
            <w:tcW w:w="1432" w:type="dxa"/>
            <w:noWrap w:val="0"/>
            <w:vAlign w:val="center"/>
          </w:tcPr>
          <w:p>
            <w:pPr>
              <w:spacing w:line="360" w:lineRule="exact"/>
              <w:rPr>
                <w:rFonts w:ascii="宋体" w:hAnsi="宋体" w:cs="方正仿宋_GBK"/>
                <w:color w:val="000000"/>
                <w:sz w:val="22"/>
                <w:szCs w:val="22"/>
              </w:rPr>
            </w:pPr>
            <w:r>
              <w:rPr>
                <w:rFonts w:hint="eastAsia" w:ascii="宋体" w:hAnsi="宋体" w:cs="宋体"/>
                <w:color w:val="000000"/>
                <w:sz w:val="22"/>
                <w:szCs w:val="22"/>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7" w:hRule="atLeast"/>
        </w:trPr>
        <w:tc>
          <w:tcPr>
            <w:tcW w:w="719" w:type="dxa"/>
            <w:noWrap w:val="0"/>
            <w:vAlign w:val="center"/>
          </w:tcPr>
          <w:p>
            <w:pPr>
              <w:spacing w:line="320" w:lineRule="exact"/>
              <w:jc w:val="center"/>
              <w:rPr>
                <w:rFonts w:hint="eastAsia" w:ascii="宋体" w:hAnsi="宋体" w:eastAsia="宋体" w:cs="方正仿宋_GBK"/>
                <w:sz w:val="22"/>
                <w:szCs w:val="22"/>
                <w:lang w:eastAsia="zh-CN"/>
              </w:rPr>
            </w:pPr>
            <w:r>
              <w:rPr>
                <w:rFonts w:hint="eastAsia" w:ascii="宋体" w:hAnsi="宋体" w:cs="方正仿宋_GBK"/>
                <w:sz w:val="22"/>
                <w:szCs w:val="22"/>
                <w:lang w:val="en-US" w:eastAsia="zh-CN"/>
              </w:rPr>
              <w:t>2</w:t>
            </w:r>
          </w:p>
        </w:tc>
        <w:tc>
          <w:tcPr>
            <w:tcW w:w="1294" w:type="dxa"/>
            <w:noWrap w:val="0"/>
            <w:vAlign w:val="center"/>
          </w:tcPr>
          <w:p>
            <w:pPr>
              <w:spacing w:line="360" w:lineRule="exact"/>
              <w:jc w:val="center"/>
              <w:rPr>
                <w:rFonts w:ascii="宋体" w:hAnsi="宋体" w:cs="方正仿宋_GBK"/>
                <w:sz w:val="22"/>
                <w:szCs w:val="22"/>
              </w:rPr>
            </w:pPr>
            <w:r>
              <w:rPr>
                <w:rFonts w:hint="eastAsia" w:ascii="宋体" w:hAnsi="宋体" w:cs="方正仿宋_GBK"/>
                <w:color w:val="000000"/>
                <w:sz w:val="22"/>
                <w:szCs w:val="22"/>
              </w:rPr>
              <w:t>服务部分</w:t>
            </w:r>
          </w:p>
        </w:tc>
        <w:tc>
          <w:tcPr>
            <w:tcW w:w="974" w:type="dxa"/>
            <w:noWrap w:val="0"/>
            <w:vAlign w:val="center"/>
          </w:tcPr>
          <w:p>
            <w:pPr>
              <w:spacing w:line="240" w:lineRule="exact"/>
              <w:jc w:val="center"/>
              <w:rPr>
                <w:rFonts w:ascii="宋体" w:hAnsi="宋体" w:cs="宋体"/>
                <w:sz w:val="22"/>
                <w:szCs w:val="22"/>
              </w:rPr>
            </w:pPr>
            <w:r>
              <w:rPr>
                <w:rFonts w:hint="eastAsia" w:ascii="宋体" w:hAnsi="宋体" w:cs="方正仿宋_GBK"/>
                <w:color w:val="000000"/>
                <w:sz w:val="22"/>
                <w:szCs w:val="22"/>
                <w:lang w:val="en-US" w:eastAsia="zh-CN"/>
              </w:rPr>
              <w:t>6</w:t>
            </w:r>
            <w:r>
              <w:rPr>
                <w:rFonts w:hint="eastAsia" w:ascii="宋体" w:hAnsi="宋体" w:cs="方正仿宋_GBK"/>
                <w:color w:val="000000"/>
                <w:sz w:val="22"/>
                <w:szCs w:val="22"/>
              </w:rPr>
              <w:t>0</w:t>
            </w:r>
          </w:p>
        </w:tc>
        <w:tc>
          <w:tcPr>
            <w:tcW w:w="6118" w:type="dxa"/>
            <w:noWrap w:val="0"/>
            <w:vAlign w:val="center"/>
          </w:tcPr>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服务需求内容提供书面方案。</w:t>
            </w:r>
          </w:p>
          <w:p>
            <w:pPr>
              <w:widowControl/>
              <w:spacing w:line="300" w:lineRule="exact"/>
              <w:outlineLvl w:val="2"/>
              <w:rPr>
                <w:rFonts w:hint="eastAsia" w:ascii="宋体" w:hAnsi="宋体" w:eastAsia="宋体" w:cs="宋体"/>
                <w:color w:val="000000"/>
                <w:sz w:val="22"/>
                <w:szCs w:val="22"/>
              </w:rPr>
            </w:pPr>
            <w:r>
              <w:rPr>
                <w:rFonts w:hint="eastAsia" w:ascii="宋体" w:hAnsi="宋体" w:cs="宋体"/>
                <w:color w:val="000000"/>
                <w:sz w:val="22"/>
                <w:szCs w:val="22"/>
              </w:rPr>
              <w:t>1、</w:t>
            </w:r>
            <w:r>
              <w:rPr>
                <w:rFonts w:hint="eastAsia" w:ascii="宋体" w:hAnsi="宋体" w:eastAsia="宋体" w:cs="宋体"/>
                <w:color w:val="000000"/>
                <w:sz w:val="22"/>
                <w:szCs w:val="22"/>
              </w:rPr>
              <w:t>监理大纲及监理规划 (</w:t>
            </w:r>
            <w:r>
              <w:rPr>
                <w:rFonts w:hint="eastAsia" w:ascii="宋体" w:hAnsi="宋体" w:eastAsia="宋体" w:cs="宋体"/>
                <w:color w:val="000000"/>
                <w:sz w:val="22"/>
                <w:szCs w:val="22"/>
                <w:lang w:val="en-US" w:eastAsia="zh-CN"/>
              </w:rPr>
              <w:t>20</w:t>
            </w:r>
            <w:r>
              <w:rPr>
                <w:rFonts w:hint="eastAsia" w:ascii="宋体" w:hAnsi="宋体" w:eastAsia="宋体" w:cs="宋体"/>
                <w:color w:val="000000"/>
                <w:sz w:val="22"/>
                <w:szCs w:val="22"/>
              </w:rPr>
              <w:t>分)</w:t>
            </w:r>
            <w:r>
              <w:rPr>
                <w:rFonts w:hint="eastAsia" w:ascii="宋体" w:hAnsi="宋体" w:eastAsia="宋体" w:cs="宋体"/>
                <w:color w:val="000000"/>
                <w:sz w:val="22"/>
                <w:szCs w:val="22"/>
              </w:rPr>
              <w:tab/>
            </w:r>
          </w:p>
          <w:p>
            <w:pPr>
              <w:widowControl/>
              <w:spacing w:line="300" w:lineRule="exact"/>
              <w:outlineLvl w:val="2"/>
              <w:rPr>
                <w:rFonts w:hint="eastAsia" w:ascii="宋体" w:hAnsi="宋体" w:cs="宋体"/>
                <w:color w:val="000000"/>
                <w:sz w:val="22"/>
                <w:szCs w:val="22"/>
              </w:rPr>
            </w:pPr>
            <w:r>
              <w:rPr>
                <w:rFonts w:hint="eastAsia" w:ascii="宋体" w:hAnsi="宋体" w:eastAsia="宋体" w:cs="宋体"/>
                <w:color w:val="000000"/>
                <w:sz w:val="22"/>
                <w:szCs w:val="22"/>
              </w:rPr>
              <w:t>质量、进度、投资控制、安全文明和合同、信息管理的方法与措施的针对性</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①</w:t>
            </w:r>
            <w:r>
              <w:rPr>
                <w:rFonts w:hint="eastAsia" w:ascii="宋体" w:hAnsi="宋体" w:cs="宋体"/>
                <w:color w:val="000000"/>
                <w:sz w:val="22"/>
                <w:szCs w:val="22"/>
              </w:rPr>
              <w:t>方案描述清晰，完整可行，得1</w:t>
            </w:r>
            <w:r>
              <w:rPr>
                <w:rFonts w:hint="eastAsia" w:ascii="宋体" w:hAnsi="宋体" w:cs="宋体"/>
                <w:color w:val="000000"/>
                <w:sz w:val="22"/>
                <w:szCs w:val="22"/>
                <w:lang w:val="en-US" w:eastAsia="zh-CN"/>
              </w:rPr>
              <w:t>5-20</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②方案描述较清晰，较可行，得</w:t>
            </w:r>
            <w:r>
              <w:rPr>
                <w:rFonts w:hint="eastAsia" w:ascii="宋体" w:hAnsi="宋体" w:cs="宋体"/>
                <w:color w:val="000000"/>
                <w:sz w:val="22"/>
                <w:szCs w:val="22"/>
                <w:lang w:val="en-US" w:eastAsia="zh-CN"/>
              </w:rPr>
              <w:t>10</w:t>
            </w:r>
            <w:r>
              <w:rPr>
                <w:rFonts w:hint="eastAsia" w:ascii="宋体" w:hAnsi="宋体" w:cs="宋体"/>
                <w:color w:val="000000"/>
                <w:sz w:val="22"/>
                <w:szCs w:val="22"/>
              </w:rPr>
              <w:t>-</w:t>
            </w:r>
            <w:r>
              <w:rPr>
                <w:rFonts w:hint="eastAsia" w:ascii="宋体" w:hAnsi="宋体" w:cs="宋体"/>
                <w:color w:val="000000"/>
                <w:sz w:val="22"/>
                <w:szCs w:val="22"/>
                <w:lang w:val="en-US" w:eastAsia="zh-CN"/>
              </w:rPr>
              <w:t>14</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③方案描述不够清晰，可行性一般，得1-</w:t>
            </w:r>
            <w:r>
              <w:rPr>
                <w:rFonts w:hint="eastAsia" w:ascii="宋体" w:hAnsi="宋体" w:cs="宋体"/>
                <w:color w:val="000000"/>
                <w:sz w:val="22"/>
                <w:szCs w:val="22"/>
                <w:lang w:val="en-US" w:eastAsia="zh-CN"/>
              </w:rPr>
              <w:t>9</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④无方案，得0分。</w:t>
            </w:r>
          </w:p>
          <w:p>
            <w:pPr>
              <w:widowControl/>
              <w:spacing w:line="300" w:lineRule="exact"/>
              <w:outlineLvl w:val="2"/>
              <w:rPr>
                <w:rFonts w:hint="eastAsia" w:ascii="宋体" w:hAnsi="宋体" w:cs="宋体"/>
                <w:color w:val="000000"/>
                <w:sz w:val="22"/>
                <w:szCs w:val="22"/>
              </w:rPr>
            </w:pPr>
          </w:p>
          <w:p>
            <w:pPr>
              <w:widowControl/>
              <w:spacing w:line="300" w:lineRule="exact"/>
              <w:outlineLvl w:val="2"/>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资源配置(</w:t>
            </w:r>
            <w:r>
              <w:rPr>
                <w:rFonts w:hint="eastAsia" w:ascii="宋体" w:hAnsi="宋体" w:eastAsia="宋体" w:cs="宋体"/>
                <w:color w:val="000000"/>
                <w:sz w:val="22"/>
                <w:szCs w:val="22"/>
                <w:lang w:val="en-US" w:eastAsia="zh-CN"/>
              </w:rPr>
              <w:t>20</w:t>
            </w:r>
            <w:r>
              <w:rPr>
                <w:rFonts w:hint="eastAsia" w:ascii="宋体" w:hAnsi="宋体" w:eastAsia="宋体" w:cs="宋体"/>
                <w:color w:val="000000"/>
                <w:sz w:val="22"/>
                <w:szCs w:val="22"/>
              </w:rPr>
              <w:t>分)</w:t>
            </w:r>
            <w:r>
              <w:rPr>
                <w:rFonts w:hint="eastAsia" w:ascii="宋体" w:hAnsi="宋体" w:eastAsia="宋体" w:cs="宋体"/>
                <w:color w:val="000000"/>
                <w:sz w:val="22"/>
                <w:szCs w:val="22"/>
              </w:rPr>
              <w:tab/>
            </w:r>
          </w:p>
          <w:p>
            <w:pPr>
              <w:widowControl/>
              <w:spacing w:line="300" w:lineRule="exact"/>
              <w:outlineLvl w:val="2"/>
              <w:rPr>
                <w:rFonts w:hint="eastAsia" w:ascii="宋体" w:hAnsi="宋体" w:cs="宋体"/>
                <w:color w:val="000000"/>
                <w:sz w:val="22"/>
                <w:szCs w:val="22"/>
              </w:rPr>
            </w:pPr>
            <w:r>
              <w:rPr>
                <w:rFonts w:hint="eastAsia" w:ascii="宋体" w:hAnsi="宋体" w:eastAsia="宋体" w:cs="宋体"/>
                <w:color w:val="000000"/>
                <w:sz w:val="22"/>
                <w:szCs w:val="22"/>
              </w:rPr>
              <w:t>①可为本工程项目提供的检测及办公设备（包括车辆和信息管理工具）</w:t>
            </w:r>
            <w:r>
              <w:rPr>
                <w:rFonts w:hint="eastAsia" w:ascii="宋体" w:hAnsi="宋体" w:cs="宋体"/>
                <w:color w:val="000000"/>
                <w:sz w:val="22"/>
                <w:szCs w:val="22"/>
                <w:lang w:eastAsia="zh-CN"/>
              </w:rPr>
              <w:t>配置齐全</w:t>
            </w:r>
            <w:r>
              <w:rPr>
                <w:rFonts w:hint="eastAsia" w:ascii="宋体" w:hAnsi="宋体" w:cs="宋体"/>
                <w:color w:val="000000"/>
                <w:sz w:val="22"/>
                <w:szCs w:val="22"/>
              </w:rPr>
              <w:t>，</w:t>
            </w:r>
            <w:r>
              <w:rPr>
                <w:rFonts w:hint="eastAsia" w:ascii="宋体" w:hAnsi="宋体" w:cs="宋体"/>
                <w:color w:val="000000"/>
                <w:sz w:val="22"/>
                <w:szCs w:val="22"/>
                <w:lang w:eastAsia="zh-CN"/>
              </w:rPr>
              <w:t>方案</w:t>
            </w:r>
            <w:r>
              <w:rPr>
                <w:rFonts w:hint="eastAsia" w:ascii="宋体" w:hAnsi="宋体" w:cs="宋体"/>
                <w:color w:val="000000"/>
                <w:sz w:val="22"/>
                <w:szCs w:val="22"/>
              </w:rPr>
              <w:t>完整可行，得1</w:t>
            </w:r>
            <w:r>
              <w:rPr>
                <w:rFonts w:hint="eastAsia" w:ascii="宋体" w:hAnsi="宋体" w:cs="宋体"/>
                <w:color w:val="000000"/>
                <w:sz w:val="22"/>
                <w:szCs w:val="22"/>
                <w:lang w:val="en-US" w:eastAsia="zh-CN"/>
              </w:rPr>
              <w:t>5-20</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②</w:t>
            </w:r>
            <w:r>
              <w:rPr>
                <w:rFonts w:hint="eastAsia" w:ascii="宋体" w:hAnsi="宋体" w:cs="宋体"/>
                <w:color w:val="000000"/>
                <w:sz w:val="22"/>
                <w:szCs w:val="22"/>
                <w:lang w:eastAsia="zh-CN"/>
              </w:rPr>
              <w:t>配置</w:t>
            </w:r>
            <w:r>
              <w:rPr>
                <w:rFonts w:hint="eastAsia" w:ascii="宋体" w:hAnsi="宋体" w:cs="宋体"/>
                <w:color w:val="000000"/>
                <w:sz w:val="22"/>
                <w:szCs w:val="22"/>
              </w:rPr>
              <w:t>较</w:t>
            </w:r>
            <w:r>
              <w:rPr>
                <w:rFonts w:hint="eastAsia" w:ascii="宋体" w:hAnsi="宋体" w:cs="宋体"/>
                <w:color w:val="000000"/>
                <w:sz w:val="22"/>
                <w:szCs w:val="22"/>
                <w:lang w:eastAsia="zh-CN"/>
              </w:rPr>
              <w:t>齐全</w:t>
            </w:r>
            <w:r>
              <w:rPr>
                <w:rFonts w:hint="eastAsia" w:ascii="宋体" w:hAnsi="宋体" w:cs="宋体"/>
                <w:color w:val="000000"/>
                <w:sz w:val="22"/>
                <w:szCs w:val="22"/>
              </w:rPr>
              <w:t>，</w:t>
            </w:r>
            <w:r>
              <w:rPr>
                <w:rFonts w:hint="eastAsia" w:ascii="宋体" w:hAnsi="宋体" w:cs="宋体"/>
                <w:color w:val="000000"/>
                <w:sz w:val="22"/>
                <w:szCs w:val="22"/>
                <w:lang w:eastAsia="zh-CN"/>
              </w:rPr>
              <w:t>方案</w:t>
            </w:r>
            <w:r>
              <w:rPr>
                <w:rFonts w:hint="eastAsia" w:ascii="宋体" w:hAnsi="宋体" w:cs="宋体"/>
                <w:color w:val="000000"/>
                <w:sz w:val="22"/>
                <w:szCs w:val="22"/>
              </w:rPr>
              <w:t>较可行，得</w:t>
            </w:r>
            <w:r>
              <w:rPr>
                <w:rFonts w:hint="eastAsia" w:ascii="宋体" w:hAnsi="宋体" w:cs="宋体"/>
                <w:color w:val="000000"/>
                <w:sz w:val="22"/>
                <w:szCs w:val="22"/>
                <w:lang w:val="en-US" w:eastAsia="zh-CN"/>
              </w:rPr>
              <w:t>10</w:t>
            </w:r>
            <w:r>
              <w:rPr>
                <w:rFonts w:hint="eastAsia" w:ascii="宋体" w:hAnsi="宋体" w:cs="宋体"/>
                <w:color w:val="000000"/>
                <w:sz w:val="22"/>
                <w:szCs w:val="22"/>
              </w:rPr>
              <w:t>-</w:t>
            </w:r>
            <w:r>
              <w:rPr>
                <w:rFonts w:hint="eastAsia" w:ascii="宋体" w:hAnsi="宋体" w:cs="宋体"/>
                <w:color w:val="000000"/>
                <w:sz w:val="22"/>
                <w:szCs w:val="22"/>
                <w:lang w:val="en-US" w:eastAsia="zh-CN"/>
              </w:rPr>
              <w:t>14</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③</w:t>
            </w:r>
            <w:r>
              <w:rPr>
                <w:rFonts w:hint="eastAsia" w:ascii="宋体" w:hAnsi="宋体" w:cs="宋体"/>
                <w:color w:val="000000"/>
                <w:sz w:val="22"/>
                <w:szCs w:val="22"/>
                <w:lang w:eastAsia="zh-CN"/>
              </w:rPr>
              <w:t>配置</w:t>
            </w:r>
            <w:r>
              <w:rPr>
                <w:rFonts w:hint="eastAsia" w:ascii="宋体" w:hAnsi="宋体" w:cs="宋体"/>
                <w:color w:val="000000"/>
                <w:sz w:val="22"/>
                <w:szCs w:val="22"/>
              </w:rPr>
              <w:t>不够</w:t>
            </w:r>
            <w:r>
              <w:rPr>
                <w:rFonts w:hint="eastAsia" w:ascii="宋体" w:hAnsi="宋体" w:cs="宋体"/>
                <w:color w:val="000000"/>
                <w:sz w:val="22"/>
                <w:szCs w:val="22"/>
                <w:lang w:eastAsia="zh-CN"/>
              </w:rPr>
              <w:t>齐全</w:t>
            </w:r>
            <w:r>
              <w:rPr>
                <w:rFonts w:hint="eastAsia" w:ascii="宋体" w:hAnsi="宋体" w:cs="宋体"/>
                <w:color w:val="000000"/>
                <w:sz w:val="22"/>
                <w:szCs w:val="22"/>
              </w:rPr>
              <w:t>，</w:t>
            </w:r>
            <w:r>
              <w:rPr>
                <w:rFonts w:hint="eastAsia" w:ascii="宋体" w:hAnsi="宋体" w:cs="宋体"/>
                <w:color w:val="000000"/>
                <w:sz w:val="22"/>
                <w:szCs w:val="22"/>
                <w:lang w:eastAsia="zh-CN"/>
              </w:rPr>
              <w:t>方案</w:t>
            </w:r>
            <w:r>
              <w:rPr>
                <w:rFonts w:hint="eastAsia" w:ascii="宋体" w:hAnsi="宋体" w:cs="宋体"/>
                <w:color w:val="000000"/>
                <w:sz w:val="22"/>
                <w:szCs w:val="22"/>
              </w:rPr>
              <w:t>可行性一般，得1-</w:t>
            </w:r>
            <w:r>
              <w:rPr>
                <w:rFonts w:hint="eastAsia" w:ascii="宋体" w:hAnsi="宋体" w:cs="宋体"/>
                <w:color w:val="000000"/>
                <w:sz w:val="22"/>
                <w:szCs w:val="22"/>
                <w:lang w:val="en-US" w:eastAsia="zh-CN"/>
              </w:rPr>
              <w:t>9</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④无</w:t>
            </w:r>
            <w:r>
              <w:rPr>
                <w:rFonts w:hint="eastAsia" w:ascii="宋体" w:hAnsi="宋体" w:cs="宋体"/>
                <w:color w:val="000000"/>
                <w:sz w:val="22"/>
                <w:szCs w:val="22"/>
                <w:lang w:eastAsia="zh-CN"/>
              </w:rPr>
              <w:t>配置</w:t>
            </w:r>
            <w:r>
              <w:rPr>
                <w:rFonts w:hint="eastAsia" w:ascii="宋体" w:hAnsi="宋体" w:cs="宋体"/>
                <w:color w:val="000000"/>
                <w:sz w:val="22"/>
                <w:szCs w:val="22"/>
              </w:rPr>
              <w:t>方案，得0分。</w:t>
            </w:r>
          </w:p>
          <w:p>
            <w:pPr>
              <w:widowControl/>
              <w:spacing w:line="300" w:lineRule="exact"/>
              <w:outlineLvl w:val="2"/>
              <w:rPr>
                <w:rFonts w:hint="eastAsia" w:ascii="宋体" w:hAnsi="宋体" w:cs="宋体"/>
                <w:color w:val="000000"/>
                <w:sz w:val="22"/>
                <w:szCs w:val="22"/>
              </w:rPr>
            </w:pPr>
          </w:p>
          <w:p>
            <w:pPr>
              <w:widowControl/>
              <w:numPr>
                <w:ilvl w:val="0"/>
                <w:numId w:val="1"/>
              </w:numPr>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监理工作重点、难点分析（7分）：</w:t>
            </w:r>
          </w:p>
          <w:p>
            <w:pPr>
              <w:widowControl/>
              <w:numPr>
                <w:ilvl w:val="0"/>
                <w:numId w:val="0"/>
              </w:numPr>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监理工作重点、难点分析全面，应对措施可行，得5-7分；</w:t>
            </w:r>
          </w:p>
          <w:p>
            <w:pPr>
              <w:widowControl/>
              <w:numPr>
                <w:ilvl w:val="0"/>
                <w:numId w:val="0"/>
              </w:numPr>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监理工作重点、难点分析较全面，应对措施一般，得3-5分；监理工作重点、难点分析不全面，应对措施差，得0-3分。</w:t>
            </w:r>
          </w:p>
          <w:p>
            <w:pPr>
              <w:widowControl/>
              <w:numPr>
                <w:ilvl w:val="0"/>
                <w:numId w:val="0"/>
              </w:numPr>
              <w:spacing w:line="300" w:lineRule="exact"/>
              <w:ind w:leftChars="0"/>
              <w:outlineLvl w:val="2"/>
              <w:rPr>
                <w:rFonts w:hint="eastAsia" w:ascii="宋体" w:hAnsi="宋体" w:cs="宋体"/>
                <w:color w:val="000000"/>
                <w:sz w:val="22"/>
                <w:szCs w:val="22"/>
                <w:lang w:val="en-US" w:eastAsia="zh-CN"/>
              </w:rPr>
            </w:pPr>
          </w:p>
          <w:p>
            <w:pPr>
              <w:widowControl/>
              <w:numPr>
                <w:ilvl w:val="0"/>
                <w:numId w:val="1"/>
              </w:numPr>
              <w:spacing w:line="300" w:lineRule="exact"/>
              <w:ind w:left="0" w:leftChars="0" w:firstLine="0" w:firstLineChars="0"/>
              <w:outlineLvl w:val="2"/>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监理工作程序、方法和制度（7分）：</w:t>
            </w:r>
          </w:p>
          <w:p>
            <w:pPr>
              <w:widowControl/>
              <w:numPr>
                <w:ilvl w:val="0"/>
                <w:numId w:val="0"/>
              </w:numPr>
              <w:spacing w:line="300" w:lineRule="exact"/>
              <w:ind w:leftChars="0"/>
              <w:outlineLvl w:val="2"/>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监理工作程序、方法先进可行，各项制度健全的得5-7分；</w:t>
            </w:r>
          </w:p>
          <w:p>
            <w:pPr>
              <w:widowControl/>
              <w:numPr>
                <w:ilvl w:val="0"/>
                <w:numId w:val="0"/>
              </w:numPr>
              <w:spacing w:line="300" w:lineRule="exact"/>
              <w:ind w:leftChars="0"/>
              <w:outlineLvl w:val="2"/>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监理工作程序、方法可行，各项制度较健全的得3-5分；</w:t>
            </w:r>
          </w:p>
          <w:p>
            <w:pPr>
              <w:widowControl/>
              <w:numPr>
                <w:ilvl w:val="0"/>
                <w:numId w:val="0"/>
              </w:numPr>
              <w:spacing w:line="300" w:lineRule="exact"/>
              <w:ind w:leftChars="0"/>
              <w:outlineLvl w:val="2"/>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监理工作程序、方法可行，各项制度不健全的得0-3分。</w:t>
            </w:r>
          </w:p>
        </w:tc>
        <w:tc>
          <w:tcPr>
            <w:tcW w:w="1432" w:type="dxa"/>
            <w:noWrap w:val="0"/>
            <w:vAlign w:val="center"/>
          </w:tcPr>
          <w:p>
            <w:pPr>
              <w:spacing w:line="360" w:lineRule="exact"/>
              <w:rPr>
                <w:rFonts w:ascii="宋体" w:hAnsi="宋体" w:cs="方正仿宋_GBK"/>
                <w:sz w:val="22"/>
                <w:szCs w:val="22"/>
              </w:rPr>
            </w:pPr>
            <w:r>
              <w:rPr>
                <w:rFonts w:hint="eastAsia" w:ascii="宋体" w:hAnsi="宋体" w:cs="宋体"/>
                <w:color w:val="000000"/>
                <w:sz w:val="22"/>
                <w:szCs w:val="22"/>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9" w:hRule="atLeast"/>
        </w:trPr>
        <w:tc>
          <w:tcPr>
            <w:tcW w:w="719" w:type="dxa"/>
            <w:noWrap w:val="0"/>
            <w:vAlign w:val="center"/>
          </w:tcPr>
          <w:p>
            <w:pPr>
              <w:spacing w:line="320" w:lineRule="exact"/>
              <w:jc w:val="center"/>
              <w:rPr>
                <w:rFonts w:hint="eastAsia" w:ascii="宋体" w:hAnsi="宋体" w:eastAsia="宋体" w:cs="方正仿宋_GBK"/>
                <w:sz w:val="22"/>
                <w:szCs w:val="22"/>
                <w:lang w:val="en-US" w:eastAsia="zh-CN"/>
              </w:rPr>
            </w:pPr>
            <w:r>
              <w:rPr>
                <w:rFonts w:hint="eastAsia" w:ascii="宋体" w:hAnsi="宋体" w:cs="方正仿宋_GBK"/>
                <w:sz w:val="22"/>
                <w:szCs w:val="22"/>
                <w:lang w:val="en-US" w:eastAsia="zh-CN"/>
              </w:rPr>
              <w:t>3</w:t>
            </w:r>
          </w:p>
        </w:tc>
        <w:tc>
          <w:tcPr>
            <w:tcW w:w="1294" w:type="dxa"/>
            <w:noWrap w:val="0"/>
            <w:vAlign w:val="center"/>
          </w:tcPr>
          <w:p>
            <w:pPr>
              <w:spacing w:line="320" w:lineRule="exact"/>
              <w:jc w:val="center"/>
              <w:rPr>
                <w:rFonts w:hint="eastAsia" w:ascii="宋体" w:hAnsi="宋体" w:cs="方正仿宋_GBK"/>
                <w:sz w:val="22"/>
                <w:szCs w:val="22"/>
              </w:rPr>
            </w:pPr>
            <w:r>
              <w:rPr>
                <w:rFonts w:hint="eastAsia" w:ascii="宋体" w:hAnsi="宋体" w:cs="方正仿宋_GBK"/>
                <w:sz w:val="22"/>
                <w:szCs w:val="22"/>
              </w:rPr>
              <w:t>商务部分</w:t>
            </w:r>
          </w:p>
        </w:tc>
        <w:tc>
          <w:tcPr>
            <w:tcW w:w="974" w:type="dxa"/>
            <w:noWrap w:val="0"/>
            <w:vAlign w:val="center"/>
          </w:tcPr>
          <w:p>
            <w:pPr>
              <w:widowControl/>
              <w:spacing w:line="300" w:lineRule="exact"/>
              <w:jc w:val="center"/>
              <w:outlineLvl w:val="2"/>
              <w:rPr>
                <w:rFonts w:hint="eastAsia" w:ascii="宋体" w:hAnsi="宋体" w:cs="宋体"/>
                <w:sz w:val="22"/>
                <w:szCs w:val="22"/>
              </w:rPr>
            </w:pPr>
            <w:r>
              <w:rPr>
                <w:rFonts w:hint="eastAsia" w:ascii="宋体" w:hAnsi="宋体" w:cs="宋体"/>
                <w:sz w:val="22"/>
                <w:szCs w:val="22"/>
              </w:rPr>
              <w:t>30</w:t>
            </w:r>
          </w:p>
        </w:tc>
        <w:tc>
          <w:tcPr>
            <w:tcW w:w="6118" w:type="dxa"/>
            <w:noWrap w:val="0"/>
            <w:vAlign w:val="center"/>
          </w:tcPr>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1、类似业绩。（20分）</w:t>
            </w:r>
          </w:p>
          <w:p>
            <w:pPr>
              <w:pStyle w:val="3"/>
              <w:ind w:left="0" w:leftChars="0"/>
              <w:rPr>
                <w:rFonts w:hint="eastAsia" w:ascii="宋体" w:hAnsi="宋体" w:cs="宋体"/>
                <w:color w:val="000000"/>
                <w:sz w:val="22"/>
                <w:szCs w:val="22"/>
              </w:rPr>
            </w:pPr>
            <w:r>
              <w:rPr>
                <w:rFonts w:hint="eastAsia" w:ascii="宋体" w:hAnsi="宋体" w:cs="宋体"/>
                <w:sz w:val="22"/>
                <w:szCs w:val="22"/>
              </w:rPr>
              <w:t>供应商自20</w:t>
            </w:r>
            <w:r>
              <w:rPr>
                <w:rFonts w:hint="eastAsia" w:ascii="宋体" w:hAnsi="宋体" w:cs="宋体"/>
                <w:sz w:val="22"/>
                <w:szCs w:val="22"/>
                <w:lang w:val="en-US" w:eastAsia="zh-CN"/>
              </w:rPr>
              <w:t>20</w:t>
            </w:r>
            <w:r>
              <w:rPr>
                <w:rFonts w:hint="eastAsia" w:ascii="宋体" w:hAnsi="宋体" w:cs="宋体"/>
                <w:sz w:val="22"/>
                <w:szCs w:val="22"/>
              </w:rPr>
              <w:t>年</w:t>
            </w:r>
            <w:r>
              <w:rPr>
                <w:rFonts w:hint="eastAsia" w:ascii="宋体" w:hAnsi="宋体" w:cs="宋体"/>
                <w:sz w:val="22"/>
                <w:szCs w:val="22"/>
                <w:lang w:val="en-US" w:eastAsia="zh-CN"/>
              </w:rPr>
              <w:t>1</w:t>
            </w:r>
            <w:r>
              <w:rPr>
                <w:rFonts w:hint="eastAsia" w:ascii="宋体" w:hAnsi="宋体" w:cs="宋体"/>
                <w:sz w:val="22"/>
                <w:szCs w:val="22"/>
              </w:rPr>
              <w:t>月1日起在全国范围内提供过类似服务的，</w:t>
            </w:r>
            <w:r>
              <w:rPr>
                <w:rFonts w:hint="eastAsia" w:ascii="宋体" w:hAnsi="宋体" w:cs="宋体"/>
                <w:sz w:val="22"/>
                <w:szCs w:val="22"/>
                <w:lang w:eastAsia="zh-CN"/>
              </w:rPr>
              <w:t>一个</w:t>
            </w:r>
            <w:r>
              <w:rPr>
                <w:rFonts w:hint="eastAsia" w:ascii="宋体" w:hAnsi="宋体" w:cs="宋体"/>
                <w:sz w:val="22"/>
                <w:szCs w:val="22"/>
              </w:rPr>
              <w:t>得5分，须付相关证明文件（中标/成交通知书或合同协议书或竣工验收证明），共20分。</w:t>
            </w:r>
          </w:p>
          <w:p>
            <w:pPr>
              <w:widowControl/>
              <w:spacing w:line="300" w:lineRule="exact"/>
              <w:outlineLvl w:val="2"/>
              <w:rPr>
                <w:rFonts w:ascii="宋体" w:hAnsi="宋体" w:cs="宋体"/>
                <w:color w:val="000000"/>
                <w:sz w:val="22"/>
                <w:szCs w:val="22"/>
              </w:rPr>
            </w:pP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2、其他主要人员要求。（</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p>
            <w:pPr>
              <w:widowControl/>
              <w:spacing w:line="300" w:lineRule="exact"/>
              <w:outlineLvl w:val="2"/>
              <w:rPr>
                <w:rFonts w:hint="eastAsia" w:ascii="宋体" w:hAnsi="宋体" w:cs="宋体"/>
                <w:color w:val="000000"/>
                <w:sz w:val="22"/>
                <w:szCs w:val="22"/>
              </w:rPr>
            </w:pPr>
            <w:r>
              <w:rPr>
                <w:rFonts w:hint="eastAsia" w:ascii="宋体" w:hAnsi="宋体" w:cs="宋体"/>
                <w:color w:val="000000"/>
                <w:sz w:val="22"/>
                <w:szCs w:val="22"/>
              </w:rPr>
              <w:t>专业监理工程师不少于1名，要求具备工程类中级及以上职称，具有监理培训证书；监理员不少于1名，具有监理培训证书。其他主要监理人员配备满足要求得基本分</w:t>
            </w:r>
            <w:r>
              <w:rPr>
                <w:rFonts w:hint="eastAsia" w:ascii="宋体" w:hAnsi="宋体" w:cs="宋体"/>
                <w:color w:val="000000"/>
                <w:sz w:val="22"/>
                <w:szCs w:val="22"/>
                <w:lang w:val="en-US" w:eastAsia="zh-CN"/>
              </w:rPr>
              <w:t>6</w:t>
            </w:r>
            <w:r>
              <w:rPr>
                <w:rFonts w:hint="eastAsia" w:ascii="宋体" w:hAnsi="宋体" w:cs="宋体"/>
                <w:color w:val="000000"/>
                <w:sz w:val="22"/>
                <w:szCs w:val="22"/>
              </w:rPr>
              <w:t>分，不满足不分。每增加</w:t>
            </w:r>
            <w:r>
              <w:rPr>
                <w:rFonts w:hint="eastAsia" w:ascii="宋体" w:hAnsi="宋体" w:cs="宋体"/>
                <w:color w:val="000000"/>
                <w:sz w:val="22"/>
                <w:szCs w:val="22"/>
                <w:lang w:val="en-US" w:eastAsia="zh-CN"/>
              </w:rPr>
              <w:t>1</w:t>
            </w:r>
            <w:r>
              <w:rPr>
                <w:rFonts w:hint="eastAsia" w:ascii="宋体" w:hAnsi="宋体" w:cs="宋体"/>
                <w:color w:val="000000"/>
                <w:sz w:val="22"/>
                <w:szCs w:val="22"/>
              </w:rPr>
              <w:t>人加</w:t>
            </w:r>
            <w:r>
              <w:rPr>
                <w:rFonts w:hint="eastAsia" w:ascii="宋体" w:hAnsi="宋体" w:cs="宋体"/>
                <w:color w:val="000000"/>
                <w:sz w:val="22"/>
                <w:szCs w:val="22"/>
                <w:lang w:val="en-US" w:eastAsia="zh-CN"/>
              </w:rPr>
              <w:t>2</w:t>
            </w:r>
            <w:r>
              <w:rPr>
                <w:rFonts w:hint="eastAsia" w:ascii="宋体" w:hAnsi="宋体" w:cs="宋体"/>
                <w:color w:val="000000"/>
                <w:sz w:val="22"/>
                <w:szCs w:val="22"/>
              </w:rPr>
              <w:t>分，最多加</w:t>
            </w:r>
            <w:r>
              <w:rPr>
                <w:rFonts w:hint="eastAsia" w:ascii="宋体" w:hAnsi="宋体" w:cs="宋体"/>
                <w:color w:val="000000"/>
                <w:sz w:val="22"/>
                <w:szCs w:val="22"/>
                <w:lang w:val="en-US" w:eastAsia="zh-CN"/>
              </w:rPr>
              <w:t>4</w:t>
            </w:r>
            <w:r>
              <w:rPr>
                <w:rFonts w:hint="eastAsia" w:ascii="宋体" w:hAnsi="宋体" w:cs="宋体"/>
                <w:color w:val="000000"/>
                <w:sz w:val="22"/>
                <w:szCs w:val="22"/>
              </w:rPr>
              <w:t>分。</w:t>
            </w:r>
          </w:p>
        </w:tc>
        <w:tc>
          <w:tcPr>
            <w:tcW w:w="1432" w:type="dxa"/>
            <w:noWrap w:val="0"/>
            <w:vAlign w:val="center"/>
          </w:tcPr>
          <w:p>
            <w:pPr>
              <w:spacing w:line="320" w:lineRule="exact"/>
              <w:rPr>
                <w:rFonts w:hint="eastAsia" w:ascii="宋体" w:hAnsi="宋体" w:cs="宋体"/>
                <w:color w:val="000000"/>
                <w:sz w:val="22"/>
                <w:szCs w:val="22"/>
              </w:rPr>
            </w:pPr>
            <w:r>
              <w:rPr>
                <w:rFonts w:hint="eastAsia" w:ascii="宋体" w:hAnsi="宋体" w:cs="宋体"/>
                <w:sz w:val="22"/>
                <w:szCs w:val="22"/>
              </w:rPr>
              <w:t>提供合同或其他有效证明文件复印件。</w:t>
            </w:r>
          </w:p>
        </w:tc>
      </w:tr>
    </w:tbl>
    <w:p>
      <w:pPr>
        <w:spacing w:line="312" w:lineRule="auto"/>
        <w:rPr>
          <w:rFonts w:hint="eastAsia" w:ascii="宋体" w:hAnsi="宋体" w:cs="宋体"/>
          <w:b/>
          <w:bCs/>
          <w:color w:val="auto"/>
          <w:sz w:val="24"/>
          <w:szCs w:val="24"/>
          <w:lang w:eastAsia="zh-CN"/>
        </w:rPr>
      </w:pPr>
      <w:r>
        <w:rPr>
          <w:rFonts w:hint="eastAsia" w:ascii="宋体" w:hAnsi="宋体" w:cs="宋体"/>
          <w:b/>
          <w:bCs/>
          <w:color w:val="auto"/>
          <w:sz w:val="24"/>
          <w:szCs w:val="24"/>
        </w:rPr>
        <w:t>政策性扣减</w:t>
      </w:r>
      <w:r>
        <w:rPr>
          <w:rFonts w:hint="eastAsia" w:ascii="宋体" w:hAnsi="宋体" w:cs="宋体"/>
          <w:b/>
          <w:bCs/>
          <w:color w:val="auto"/>
          <w:sz w:val="24"/>
          <w:szCs w:val="24"/>
          <w:lang w:eastAsia="zh-CN"/>
        </w:rPr>
        <w:t>：</w:t>
      </w:r>
    </w:p>
    <w:p>
      <w:pPr>
        <w:spacing w:line="312" w:lineRule="auto"/>
        <w:ind w:firstLine="420" w:firstLineChars="200"/>
        <w:rPr>
          <w:rFonts w:hint="eastAsia" w:ascii="宋体" w:hAnsi="宋体" w:cs="宋体"/>
          <w:sz w:val="21"/>
          <w:szCs w:val="21"/>
          <w:lang w:eastAsia="zh-CN"/>
        </w:rPr>
      </w:pPr>
      <w:r>
        <w:rPr>
          <w:rFonts w:hint="eastAsia" w:ascii="宋体" w:hAnsi="宋体" w:cs="宋体"/>
          <w:sz w:val="21"/>
          <w:szCs w:val="21"/>
        </w:rPr>
        <w:t>投标人为非联合体投标的</w:t>
      </w:r>
      <w:r>
        <w:rPr>
          <w:rFonts w:hint="eastAsia" w:ascii="宋体" w:hAnsi="宋体" w:cs="宋体"/>
          <w:sz w:val="21"/>
          <w:szCs w:val="21"/>
          <w:lang w:val="en-US" w:eastAsia="zh-CN"/>
        </w:rPr>
        <w:t>:</w:t>
      </w:r>
      <w:r>
        <w:rPr>
          <w:rFonts w:hint="eastAsia" w:ascii="宋体" w:hAnsi="宋体" w:cs="宋体"/>
          <w:sz w:val="21"/>
          <w:szCs w:val="21"/>
        </w:rPr>
        <w:t>小型企业或达到小型企业划分标准的监狱企业、残疾人福利性单位，-6%</w:t>
      </w:r>
      <w:r>
        <w:rPr>
          <w:rFonts w:hint="eastAsia" w:ascii="宋体" w:hAnsi="宋体" w:cs="宋体"/>
          <w:sz w:val="21"/>
          <w:szCs w:val="21"/>
          <w:lang w:val="en-US" w:eastAsia="zh-CN"/>
        </w:rPr>
        <w:t>;</w:t>
      </w:r>
      <w:r>
        <w:rPr>
          <w:rFonts w:hint="eastAsia" w:ascii="宋体" w:hAnsi="宋体" w:cs="宋体"/>
          <w:sz w:val="21"/>
          <w:szCs w:val="21"/>
        </w:rPr>
        <w:t>微型企业或达到微型企业划分标准的监狱企业、残疾人福利性单位，-8%</w:t>
      </w:r>
      <w:r>
        <w:rPr>
          <w:rFonts w:hint="eastAsia" w:ascii="宋体" w:hAnsi="宋体" w:cs="宋体"/>
          <w:sz w:val="21"/>
          <w:szCs w:val="21"/>
          <w:lang w:val="en-US" w:eastAsia="zh-CN"/>
        </w:rPr>
        <w:t>;</w:t>
      </w:r>
      <w:r>
        <w:rPr>
          <w:rFonts w:hint="eastAsia" w:ascii="宋体" w:hAnsi="宋体" w:cs="宋体"/>
          <w:sz w:val="21"/>
          <w:szCs w:val="21"/>
        </w:rPr>
        <w:t>注册资金十五万及以下的微型企业或注册资金十五万及以下的达到微型企业划分标准的监狱企业、残疾人福利性单位，-10%</w:t>
      </w:r>
      <w:r>
        <w:rPr>
          <w:rFonts w:hint="eastAsia" w:ascii="宋体" w:hAnsi="宋体" w:cs="宋体"/>
          <w:sz w:val="21"/>
          <w:szCs w:val="21"/>
          <w:lang w:eastAsia="zh-CN"/>
        </w:rPr>
        <w:t>。</w:t>
      </w:r>
    </w:p>
    <w:p>
      <w:pPr>
        <w:pStyle w:val="7"/>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为联合体投标的，在联合协议中小型企业、微型企业的协议合同金额占到联合体协议合同总金额30％以上的：与小型企业或达到小型企业划分标准的监狱企业、残疾人福利性单位联合的，-2%；与微型企业或达到微型企业划分标准的监狱企业、残疾人福利性单位联合的，-3%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34B10"/>
    <w:multiLevelType w:val="singleLevel"/>
    <w:tmpl w:val="1C134B1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zllZDI4NjZjYTc0NmNmOWYxNGFkYjZhYjIwNTgifQ=="/>
    <w:docVar w:name="KSO_WPS_MARK_KEY" w:val="c8322f82-1a62-4097-a408-e8dd4405508e"/>
  </w:docVars>
  <w:rsids>
    <w:rsidRoot w:val="346A7A7D"/>
    <w:rsid w:val="346A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customStyle="1" w:styleId="6">
    <w:name w:val="图例"/>
    <w:basedOn w:val="1"/>
    <w:uiPriority w:val="0"/>
    <w:pPr>
      <w:spacing w:before="120" w:after="120" w:line="360" w:lineRule="auto"/>
      <w:jc w:val="center"/>
    </w:pPr>
    <w:rPr>
      <w:rFonts w:eastAsia="仿宋_GB2312"/>
      <w:b/>
      <w:sz w:val="24"/>
    </w:rPr>
  </w:style>
  <w:style w:type="paragraph" w:customStyle="1" w:styleId="7">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2024-05-22T12:55:00Z</dcterms:created>
  <dc:creator>Administrator</dc:creator>
  <cp:lastModifiedBy>Administrator</cp:lastModifiedBy>
  <dcterms:modified xsi:type="dcterms:W3CDTF">2024-05-22T12:56:16Z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E248D4B58E064D01BD0DA6C1F0C26E67_11</vt:lpwstr>
  </property>
</Properties>
</file>