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cs="宋体"/>
          <w:b/>
          <w:color w:val="auto"/>
          <w:sz w:val="28"/>
        </w:rPr>
      </w:pPr>
      <w:bookmarkStart w:id="0" w:name="_Toc659"/>
      <w:r>
        <w:rPr>
          <w:rFonts w:hint="eastAsia" w:ascii="宋体" w:hAnsi="宋体" w:cs="宋体"/>
          <w:b/>
          <w:color w:val="auto"/>
          <w:sz w:val="32"/>
          <w:szCs w:val="32"/>
        </w:rPr>
        <w:t>第五章  评审办法和标准</w:t>
      </w:r>
      <w:bookmarkEnd w:id="0"/>
    </w:p>
    <w:p>
      <w:pPr>
        <w:spacing w:line="500" w:lineRule="exact"/>
        <w:ind w:firstLine="482" w:firstLineChars="200"/>
        <w:jc w:val="left"/>
        <w:rPr>
          <w:rFonts w:ascii="宋体" w:hAnsi="宋体" w:cs="宋体"/>
          <w:b/>
          <w:bCs/>
          <w:color w:val="auto"/>
          <w:sz w:val="24"/>
        </w:rPr>
      </w:pPr>
      <w:r>
        <w:rPr>
          <w:rFonts w:hint="eastAsia" w:ascii="宋体" w:hAnsi="宋体" w:cs="宋体"/>
          <w:b/>
          <w:bCs/>
          <w:color w:val="auto"/>
          <w:sz w:val="24"/>
        </w:rPr>
        <w:t>1.评审办法</w:t>
      </w:r>
    </w:p>
    <w:p>
      <w:pPr>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经磋商确定最终采购内容及要求和提交最后报价的供应商后，由磋商小组采用综合评分法对提交最后报价的供应商的响应文件和最后报价进行综合评分。</w:t>
      </w:r>
    </w:p>
    <w:p>
      <w:pPr>
        <w:spacing w:line="500" w:lineRule="exact"/>
        <w:ind w:firstLine="480" w:firstLineChars="200"/>
        <w:jc w:val="left"/>
        <w:rPr>
          <w:rFonts w:ascii="宋体" w:hAnsi="宋体" w:cs="宋体"/>
          <w:b/>
          <w:color w:val="auto"/>
          <w:sz w:val="28"/>
        </w:rPr>
      </w:pPr>
      <w:r>
        <w:rPr>
          <w:rFonts w:hint="eastAsia" w:ascii="宋体" w:hAnsi="宋体" w:cs="宋体"/>
          <w:bCs/>
          <w:color w:val="auto"/>
          <w:sz w:val="24"/>
        </w:rPr>
        <w:t>综合评分法，是指响应文件满足磋商文件全部实质性要求且按评审因素的量化指标评审得分最高的供应商为成交候选供应商的评审方法。</w:t>
      </w:r>
    </w:p>
    <w:p>
      <w:pPr>
        <w:spacing w:line="500" w:lineRule="exact"/>
        <w:ind w:firstLine="482" w:firstLineChars="200"/>
        <w:jc w:val="left"/>
        <w:rPr>
          <w:rFonts w:ascii="宋体" w:hAnsi="宋体" w:cs="宋体"/>
          <w:b/>
          <w:bCs/>
          <w:color w:val="auto"/>
          <w:sz w:val="24"/>
        </w:rPr>
      </w:pPr>
      <w:r>
        <w:rPr>
          <w:rFonts w:hint="eastAsia" w:ascii="宋体" w:hAnsi="宋体" w:cs="宋体"/>
          <w:b/>
          <w:bCs/>
          <w:color w:val="auto"/>
          <w:sz w:val="24"/>
        </w:rPr>
        <w:t>2.评审标准</w:t>
      </w:r>
    </w:p>
    <w:p>
      <w:pPr>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2.1资格性审查</w:t>
      </w:r>
    </w:p>
    <w:p>
      <w:pPr>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详见附表一《资格性评审表》只有通过资格性审查的供应商，才能进入下一步评审。</w:t>
      </w:r>
    </w:p>
    <w:p>
      <w:pPr>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2.2符合性检查标准：</w:t>
      </w:r>
    </w:p>
    <w:p>
      <w:pPr>
        <w:spacing w:line="500" w:lineRule="exact"/>
        <w:ind w:firstLine="480" w:firstLineChars="200"/>
        <w:jc w:val="left"/>
        <w:rPr>
          <w:rFonts w:ascii="宋体" w:hAnsi="宋体" w:cs="宋体"/>
          <w:bCs/>
          <w:color w:val="auto"/>
          <w:sz w:val="24"/>
        </w:rPr>
      </w:pPr>
      <w:r>
        <w:rPr>
          <w:rFonts w:hint="eastAsia" w:ascii="宋体" w:hAnsi="宋体" w:cs="宋体"/>
          <w:bCs/>
          <w:color w:val="auto"/>
          <w:sz w:val="24"/>
        </w:rPr>
        <w:t>详见附表二《符合性评审表》只有通过符合性检查的供应商，才能进入下一步评审。</w:t>
      </w:r>
    </w:p>
    <w:p>
      <w:pPr>
        <w:spacing w:line="500" w:lineRule="exact"/>
        <w:ind w:firstLine="480" w:firstLineChars="200"/>
        <w:jc w:val="left"/>
        <w:rPr>
          <w:rFonts w:ascii="宋体" w:hAnsi="宋体" w:cs="宋体"/>
          <w:b/>
          <w:color w:val="auto"/>
          <w:sz w:val="28"/>
        </w:rPr>
      </w:pPr>
      <w:r>
        <w:rPr>
          <w:rFonts w:hint="eastAsia" w:ascii="宋体" w:hAnsi="宋体" w:cs="宋体"/>
          <w:bCs/>
          <w:color w:val="auto"/>
          <w:sz w:val="24"/>
        </w:rPr>
        <w:t>2.3详细评审</w:t>
      </w:r>
    </w:p>
    <w:p>
      <w:pPr>
        <w:spacing w:line="500" w:lineRule="exact"/>
        <w:ind w:firstLine="482" w:firstLineChars="200"/>
        <w:jc w:val="left"/>
        <w:rPr>
          <w:rFonts w:ascii="宋体" w:hAnsi="宋体" w:cs="宋体"/>
          <w:b/>
          <w:bCs/>
          <w:color w:val="auto"/>
          <w:sz w:val="24"/>
        </w:rPr>
      </w:pPr>
      <w:r>
        <w:rPr>
          <w:rFonts w:hint="eastAsia" w:ascii="宋体" w:hAnsi="宋体" w:cs="宋体"/>
          <w:b/>
          <w:bCs/>
          <w:color w:val="auto"/>
          <w:sz w:val="24"/>
        </w:rPr>
        <w:t>3.评审程序</w:t>
      </w:r>
    </w:p>
    <w:p>
      <w:pPr>
        <w:spacing w:line="500" w:lineRule="exact"/>
        <w:ind w:firstLine="482" w:firstLineChars="200"/>
        <w:jc w:val="left"/>
        <w:rPr>
          <w:rFonts w:ascii="宋体" w:hAnsi="宋体" w:cs="宋体"/>
          <w:b/>
          <w:color w:val="auto"/>
          <w:sz w:val="28"/>
        </w:rPr>
      </w:pPr>
      <w:r>
        <w:rPr>
          <w:rFonts w:hint="eastAsia" w:ascii="宋体" w:hAnsi="宋体" w:cs="宋体"/>
          <w:b/>
          <w:bCs/>
          <w:color w:val="auto"/>
          <w:sz w:val="24"/>
        </w:rPr>
        <w:t>3.1初步评审</w:t>
      </w:r>
    </w:p>
    <w:p>
      <w:pPr>
        <w:pStyle w:val="5"/>
        <w:tabs>
          <w:tab w:val="left" w:pos="2472"/>
        </w:tabs>
        <w:adjustRightInd w:val="0"/>
        <w:snapToGrid w:val="0"/>
        <w:spacing w:line="500" w:lineRule="exact"/>
        <w:ind w:firstLine="480" w:firstLineChars="200"/>
        <w:rPr>
          <w:rFonts w:hAnsi="宋体" w:cs="宋体"/>
          <w:bCs/>
          <w:color w:val="auto"/>
          <w:sz w:val="24"/>
          <w:szCs w:val="24"/>
        </w:rPr>
      </w:pPr>
      <w:r>
        <w:rPr>
          <w:rFonts w:hint="eastAsia" w:hAnsi="宋体" w:cs="宋体"/>
          <w:bCs/>
          <w:color w:val="auto"/>
          <w:sz w:val="24"/>
          <w:szCs w:val="24"/>
        </w:rPr>
        <w:t>磋商小组成员依据附表一</w:t>
      </w:r>
      <w:r>
        <w:rPr>
          <w:rFonts w:hint="eastAsia" w:hAnsi="宋体" w:cs="宋体"/>
          <w:bCs/>
          <w:color w:val="auto"/>
          <w:sz w:val="24"/>
        </w:rPr>
        <w:t>《资格性评审表》、</w:t>
      </w:r>
      <w:r>
        <w:rPr>
          <w:rFonts w:hint="eastAsia" w:hAnsi="宋体" w:cs="宋体"/>
          <w:bCs/>
          <w:color w:val="auto"/>
          <w:sz w:val="24"/>
          <w:szCs w:val="24"/>
        </w:rPr>
        <w:t>附表二</w:t>
      </w:r>
      <w:r>
        <w:rPr>
          <w:rFonts w:hint="eastAsia" w:hAnsi="宋体" w:cs="宋体"/>
          <w:bCs/>
          <w:color w:val="auto"/>
          <w:sz w:val="24"/>
        </w:rPr>
        <w:t>《符合性评审表》</w:t>
      </w:r>
      <w:r>
        <w:rPr>
          <w:rFonts w:hint="eastAsia" w:hAnsi="宋体" w:cs="宋体"/>
          <w:bCs/>
          <w:color w:val="auto"/>
          <w:sz w:val="24"/>
          <w:szCs w:val="24"/>
        </w:rPr>
        <w:t>的要求进行</w:t>
      </w:r>
      <w:r>
        <w:rPr>
          <w:rFonts w:hint="eastAsia" w:hAnsi="宋体" w:cs="宋体"/>
          <w:bCs/>
          <w:color w:val="auto"/>
          <w:sz w:val="24"/>
        </w:rPr>
        <w:t>符合性</w:t>
      </w:r>
      <w:r>
        <w:rPr>
          <w:rFonts w:hint="eastAsia" w:hAnsi="宋体" w:cs="宋体"/>
          <w:bCs/>
          <w:color w:val="auto"/>
          <w:sz w:val="24"/>
          <w:szCs w:val="24"/>
        </w:rPr>
        <w:t>检查。</w:t>
      </w:r>
    </w:p>
    <w:p>
      <w:pPr>
        <w:pStyle w:val="5"/>
        <w:tabs>
          <w:tab w:val="left" w:pos="2472"/>
        </w:tabs>
        <w:adjustRightInd w:val="0"/>
        <w:snapToGrid w:val="0"/>
        <w:spacing w:line="500" w:lineRule="exact"/>
        <w:ind w:firstLine="480" w:firstLineChars="200"/>
        <w:rPr>
          <w:rFonts w:hAnsi="宋体" w:cs="宋体"/>
          <w:bCs/>
          <w:color w:val="auto"/>
          <w:sz w:val="24"/>
          <w:szCs w:val="24"/>
        </w:rPr>
      </w:pPr>
      <w:r>
        <w:rPr>
          <w:rFonts w:hint="eastAsia" w:hAnsi="宋体" w:cs="宋体"/>
          <w:bCs/>
          <w:color w:val="auto"/>
          <w:sz w:val="24"/>
          <w:szCs w:val="24"/>
        </w:rPr>
        <w:t>3.1.1磋商小组在对响应文件的符合性进行审查时，可以要求</w:t>
      </w:r>
      <w:r>
        <w:rPr>
          <w:rFonts w:hint="eastAsia" w:hAnsi="宋体" w:cs="宋体"/>
          <w:bCs/>
          <w:color w:val="auto"/>
          <w:sz w:val="24"/>
        </w:rPr>
        <w:t>供应商</w:t>
      </w:r>
      <w:r>
        <w:rPr>
          <w:rFonts w:hint="eastAsia" w:hAnsi="宋体" w:cs="宋体"/>
          <w:bCs/>
          <w:color w:val="auto"/>
          <w:sz w:val="24"/>
          <w:szCs w:val="24"/>
        </w:rPr>
        <w:t>对响应文件中含义不明确、同类问题表述不一致或者有明显文字和计算错误的内容等作出必要的澄清、说明或者更正。</w:t>
      </w:r>
      <w:r>
        <w:rPr>
          <w:rFonts w:hint="eastAsia" w:hAnsi="宋体" w:cs="宋体"/>
          <w:bCs/>
          <w:color w:val="auto"/>
          <w:sz w:val="24"/>
        </w:rPr>
        <w:t>供应商</w:t>
      </w:r>
      <w:r>
        <w:rPr>
          <w:rFonts w:hint="eastAsia" w:hAnsi="宋体" w:cs="宋体"/>
          <w:bCs/>
          <w:color w:val="auto"/>
          <w:sz w:val="24"/>
          <w:szCs w:val="24"/>
        </w:rPr>
        <w:t>的澄清、说明或者更正不得超出响应文件的范围或者改变响应文件的实质性内容。</w:t>
      </w:r>
    </w:p>
    <w:p>
      <w:pPr>
        <w:pStyle w:val="5"/>
        <w:tabs>
          <w:tab w:val="left" w:pos="2472"/>
        </w:tabs>
        <w:adjustRightInd w:val="0"/>
        <w:snapToGrid w:val="0"/>
        <w:spacing w:line="500" w:lineRule="exact"/>
        <w:ind w:firstLine="480" w:firstLineChars="200"/>
        <w:rPr>
          <w:rFonts w:hAnsi="宋体" w:cs="宋体"/>
          <w:bCs/>
          <w:color w:val="auto"/>
          <w:sz w:val="24"/>
        </w:rPr>
      </w:pPr>
      <w:r>
        <w:rPr>
          <w:rFonts w:hint="eastAsia" w:hAnsi="宋体" w:cs="宋体"/>
          <w:bCs/>
          <w:color w:val="auto"/>
          <w:sz w:val="24"/>
          <w:szCs w:val="24"/>
        </w:rPr>
        <w:t>3.1.2</w:t>
      </w:r>
      <w:r>
        <w:rPr>
          <w:rFonts w:hint="eastAsia" w:hAnsi="宋体" w:cs="宋体"/>
          <w:bCs/>
          <w:color w:val="auto"/>
          <w:sz w:val="24"/>
        </w:rPr>
        <w:t>磋商小组要求供应商澄清、说明或者更正响应文件应当以书面形式作出，并由法定代表人（负责人）或其授权代表签字并加盖公章。由授权代表签字的，应当附法定代表人（负责人）授权委托书。供应商为自然人的，应当由本人签字并附身份证明。</w:t>
      </w:r>
    </w:p>
    <w:p>
      <w:pPr>
        <w:pStyle w:val="5"/>
        <w:tabs>
          <w:tab w:val="left" w:pos="2472"/>
        </w:tabs>
        <w:adjustRightInd w:val="0"/>
        <w:snapToGrid w:val="0"/>
        <w:spacing w:line="500" w:lineRule="exact"/>
        <w:ind w:firstLine="482" w:firstLineChars="200"/>
        <w:rPr>
          <w:rFonts w:hAnsi="宋体" w:cs="宋体"/>
          <w:b/>
          <w:bCs/>
          <w:color w:val="auto"/>
          <w:sz w:val="24"/>
          <w:szCs w:val="24"/>
        </w:rPr>
      </w:pPr>
      <w:r>
        <w:rPr>
          <w:rFonts w:hint="eastAsia" w:hAnsi="宋体" w:cs="宋体"/>
          <w:b/>
          <w:color w:val="auto"/>
          <w:sz w:val="24"/>
        </w:rPr>
        <w:t>3.2磋商</w:t>
      </w:r>
    </w:p>
    <w:p>
      <w:pPr>
        <w:pStyle w:val="5"/>
        <w:tabs>
          <w:tab w:val="left" w:pos="2472"/>
        </w:tabs>
        <w:spacing w:line="500" w:lineRule="exact"/>
        <w:ind w:firstLine="480" w:firstLineChars="200"/>
        <w:rPr>
          <w:rFonts w:hAnsi="宋体" w:cs="宋体"/>
          <w:color w:val="auto"/>
          <w:sz w:val="24"/>
        </w:rPr>
      </w:pPr>
      <w:r>
        <w:rPr>
          <w:rFonts w:hint="eastAsia" w:hAnsi="宋体" w:cs="宋体"/>
          <w:color w:val="auto"/>
          <w:sz w:val="24"/>
        </w:rPr>
        <w:t>磋商小组所有成员集中与单一</w:t>
      </w:r>
      <w:r>
        <w:rPr>
          <w:rFonts w:hint="eastAsia" w:hAnsi="宋体" w:cs="宋体"/>
          <w:bCs/>
          <w:color w:val="auto"/>
          <w:sz w:val="24"/>
        </w:rPr>
        <w:t>供应商</w:t>
      </w:r>
      <w:r>
        <w:rPr>
          <w:rFonts w:hint="eastAsia" w:hAnsi="宋体" w:cs="宋体"/>
          <w:color w:val="auto"/>
          <w:sz w:val="24"/>
        </w:rPr>
        <w:t>分别进行磋商，所有参加磋商的</w:t>
      </w:r>
      <w:r>
        <w:rPr>
          <w:rFonts w:hint="eastAsia" w:hAnsi="宋体" w:cs="宋体"/>
          <w:bCs/>
          <w:color w:val="auto"/>
          <w:sz w:val="24"/>
        </w:rPr>
        <w:t>供应商</w:t>
      </w:r>
      <w:r>
        <w:rPr>
          <w:rFonts w:hint="eastAsia" w:hAnsi="宋体" w:cs="宋体"/>
          <w:color w:val="auto"/>
          <w:sz w:val="24"/>
        </w:rPr>
        <w:t>享有平等磋商的机会。</w:t>
      </w:r>
    </w:p>
    <w:p>
      <w:pPr>
        <w:pStyle w:val="5"/>
        <w:tabs>
          <w:tab w:val="left" w:pos="2472"/>
        </w:tabs>
        <w:spacing w:line="500" w:lineRule="exact"/>
        <w:ind w:firstLine="482" w:firstLineChars="200"/>
        <w:rPr>
          <w:rFonts w:hAnsi="宋体" w:cs="宋体"/>
          <w:b/>
          <w:color w:val="auto"/>
          <w:sz w:val="24"/>
        </w:rPr>
      </w:pPr>
      <w:r>
        <w:rPr>
          <w:rFonts w:hint="eastAsia" w:hAnsi="宋体" w:cs="宋体"/>
          <w:b/>
          <w:color w:val="auto"/>
          <w:sz w:val="24"/>
        </w:rPr>
        <w:t>3.3有效供应商最后磋商报价</w:t>
      </w:r>
    </w:p>
    <w:p>
      <w:pPr>
        <w:pStyle w:val="5"/>
        <w:tabs>
          <w:tab w:val="left" w:pos="2472"/>
        </w:tabs>
        <w:spacing w:line="500" w:lineRule="exact"/>
        <w:ind w:firstLine="480" w:firstLineChars="200"/>
        <w:rPr>
          <w:rFonts w:hAnsi="宋体" w:cs="宋体"/>
          <w:color w:val="auto"/>
          <w:sz w:val="24"/>
        </w:rPr>
      </w:pPr>
      <w:r>
        <w:rPr>
          <w:rFonts w:hint="eastAsia" w:hAnsi="宋体" w:cs="宋体"/>
          <w:bCs/>
          <w:color w:val="auto"/>
          <w:sz w:val="24"/>
          <w:szCs w:val="24"/>
        </w:rPr>
        <w:t>3.3.1</w:t>
      </w:r>
      <w:r>
        <w:rPr>
          <w:rFonts w:hint="eastAsia" w:hAnsi="宋体" w:cs="宋体"/>
          <w:bCs/>
          <w:color w:val="auto"/>
          <w:sz w:val="24"/>
        </w:rPr>
        <w:t>供应商</w:t>
      </w:r>
      <w:r>
        <w:rPr>
          <w:rFonts w:hint="eastAsia" w:hAnsi="宋体" w:cs="宋体"/>
          <w:color w:val="auto"/>
          <w:sz w:val="24"/>
        </w:rPr>
        <w:t>进行第二轮报价（即最后报价，不公开）；如</w:t>
      </w:r>
      <w:r>
        <w:rPr>
          <w:rFonts w:hint="eastAsia" w:hAnsi="宋体" w:cs="宋体"/>
          <w:bCs/>
          <w:color w:val="auto"/>
          <w:sz w:val="24"/>
          <w:szCs w:val="24"/>
        </w:rPr>
        <w:t>磋商小组发现</w:t>
      </w:r>
      <w:r>
        <w:rPr>
          <w:rFonts w:hint="eastAsia" w:hAnsi="宋体" w:cs="宋体"/>
          <w:bCs/>
          <w:color w:val="auto"/>
          <w:sz w:val="24"/>
        </w:rPr>
        <w:t>供应商</w:t>
      </w:r>
      <w:r>
        <w:rPr>
          <w:rFonts w:hint="eastAsia" w:hAnsi="宋体" w:cs="宋体"/>
          <w:bCs/>
          <w:color w:val="auto"/>
          <w:sz w:val="24"/>
          <w:szCs w:val="24"/>
        </w:rPr>
        <w:t>的报价明显低于其他磋商报价，使得其磋商报价可能低于其成本的，应当要求该</w:t>
      </w:r>
      <w:r>
        <w:rPr>
          <w:rFonts w:hint="eastAsia" w:hAnsi="宋体" w:cs="宋体"/>
          <w:bCs/>
          <w:color w:val="auto"/>
          <w:sz w:val="24"/>
        </w:rPr>
        <w:t>供应商</w:t>
      </w:r>
      <w:r>
        <w:rPr>
          <w:rFonts w:hint="eastAsia" w:hAnsi="宋体" w:cs="宋体"/>
          <w:bCs/>
          <w:color w:val="auto"/>
          <w:sz w:val="24"/>
          <w:szCs w:val="24"/>
        </w:rPr>
        <w:t>作出书面说明并提供相应的证明材料。</w:t>
      </w:r>
      <w:r>
        <w:rPr>
          <w:rFonts w:hint="eastAsia" w:hAnsi="宋体" w:cs="宋体"/>
          <w:bCs/>
          <w:color w:val="auto"/>
          <w:sz w:val="24"/>
        </w:rPr>
        <w:t>供应商</w:t>
      </w:r>
      <w:r>
        <w:rPr>
          <w:rFonts w:hint="eastAsia" w:hAnsi="宋体" w:cs="宋体"/>
          <w:bCs/>
          <w:color w:val="auto"/>
          <w:sz w:val="24"/>
          <w:szCs w:val="24"/>
        </w:rPr>
        <w:t>不能合理说明或者不能提供相应证明材料的，由磋商小组认定该</w:t>
      </w:r>
      <w:r>
        <w:rPr>
          <w:rFonts w:hint="eastAsia" w:hAnsi="宋体" w:cs="宋体"/>
          <w:bCs/>
          <w:color w:val="auto"/>
          <w:sz w:val="24"/>
        </w:rPr>
        <w:t>供应商</w:t>
      </w:r>
      <w:r>
        <w:rPr>
          <w:rFonts w:hint="eastAsia" w:hAnsi="宋体" w:cs="宋体"/>
          <w:bCs/>
          <w:color w:val="auto"/>
          <w:sz w:val="24"/>
          <w:szCs w:val="24"/>
        </w:rPr>
        <w:t>以低于成本报价竞标，其竞标作废标处理。</w:t>
      </w:r>
    </w:p>
    <w:p>
      <w:pPr>
        <w:pStyle w:val="5"/>
        <w:tabs>
          <w:tab w:val="left" w:pos="2472"/>
        </w:tabs>
        <w:spacing w:line="500" w:lineRule="exact"/>
        <w:ind w:firstLine="482" w:firstLineChars="200"/>
        <w:rPr>
          <w:rFonts w:hAnsi="宋体" w:cs="宋体"/>
          <w:b/>
          <w:color w:val="auto"/>
          <w:sz w:val="24"/>
        </w:rPr>
      </w:pPr>
      <w:r>
        <w:rPr>
          <w:rFonts w:hint="eastAsia" w:hAnsi="宋体" w:cs="宋体"/>
          <w:b/>
          <w:bCs/>
          <w:color w:val="auto"/>
          <w:sz w:val="24"/>
          <w:szCs w:val="24"/>
        </w:rPr>
        <w:t>3.4 商务评审及技术评审</w:t>
      </w:r>
    </w:p>
    <w:p>
      <w:pPr>
        <w:pStyle w:val="5"/>
        <w:tabs>
          <w:tab w:val="left" w:pos="2472"/>
        </w:tabs>
        <w:adjustRightInd w:val="0"/>
        <w:snapToGrid w:val="0"/>
        <w:spacing w:line="500" w:lineRule="exact"/>
        <w:ind w:firstLine="480" w:firstLineChars="200"/>
        <w:rPr>
          <w:rFonts w:hint="eastAsia" w:hAnsi="宋体" w:cs="宋体"/>
          <w:bCs/>
          <w:color w:val="auto"/>
          <w:sz w:val="24"/>
        </w:rPr>
      </w:pPr>
      <w:r>
        <w:rPr>
          <w:rFonts w:hint="eastAsia" w:hAnsi="宋体" w:cs="宋体"/>
          <w:bCs/>
          <w:color w:val="auto"/>
          <w:sz w:val="24"/>
        </w:rPr>
        <w:t>3.4.1经磋商确定最终采购内容及要求和提交最后报价的供应商后，磋商小组成员按照客观、公正、谨慎的原则，根据磋商文件规定的评审程序、评审方法和评审标准进行独立评审并打分，计算各磋商小组成员打分算术平均值为供应商的最后得分(保留小数点后两位)。</w:t>
      </w:r>
    </w:p>
    <w:p>
      <w:pPr>
        <w:pStyle w:val="5"/>
        <w:tabs>
          <w:tab w:val="left" w:pos="2472"/>
        </w:tabs>
        <w:adjustRightInd w:val="0"/>
        <w:snapToGrid w:val="0"/>
        <w:spacing w:line="500" w:lineRule="exact"/>
        <w:ind w:firstLine="480" w:firstLineChars="200"/>
        <w:rPr>
          <w:rFonts w:hAnsi="宋体" w:cs="宋体"/>
          <w:bCs/>
          <w:color w:val="auto"/>
          <w:sz w:val="24"/>
        </w:rPr>
      </w:pPr>
      <w:r>
        <w:rPr>
          <w:rFonts w:hint="eastAsia" w:hAnsi="宋体" w:cs="宋体"/>
          <w:bCs/>
          <w:color w:val="auto"/>
          <w:sz w:val="24"/>
        </w:rPr>
        <w:t>详见附表三《评分细则表》</w:t>
      </w:r>
    </w:p>
    <w:p>
      <w:pPr>
        <w:pStyle w:val="5"/>
        <w:tabs>
          <w:tab w:val="left" w:pos="2472"/>
        </w:tabs>
        <w:adjustRightInd w:val="0"/>
        <w:snapToGrid w:val="0"/>
        <w:spacing w:line="500" w:lineRule="exact"/>
        <w:ind w:firstLine="482" w:firstLineChars="200"/>
        <w:rPr>
          <w:rFonts w:hAnsi="宋体" w:cs="宋体"/>
          <w:b/>
          <w:bCs/>
          <w:color w:val="auto"/>
          <w:sz w:val="24"/>
        </w:rPr>
      </w:pPr>
      <w:r>
        <w:rPr>
          <w:rFonts w:hint="eastAsia" w:hAnsi="宋体" w:cs="宋体"/>
          <w:b/>
          <w:bCs/>
          <w:color w:val="auto"/>
          <w:sz w:val="24"/>
        </w:rPr>
        <w:t>3.5磋商结果</w:t>
      </w:r>
    </w:p>
    <w:p>
      <w:pPr>
        <w:pStyle w:val="5"/>
        <w:tabs>
          <w:tab w:val="left" w:pos="2472"/>
        </w:tabs>
        <w:adjustRightInd w:val="0"/>
        <w:snapToGrid w:val="0"/>
        <w:spacing w:line="500" w:lineRule="exact"/>
        <w:ind w:firstLine="480" w:firstLineChars="200"/>
        <w:rPr>
          <w:rFonts w:hAnsi="宋体" w:cs="宋体"/>
          <w:bCs/>
          <w:color w:val="auto"/>
          <w:sz w:val="24"/>
        </w:rPr>
      </w:pPr>
      <w:r>
        <w:rPr>
          <w:rFonts w:hint="eastAsia" w:hAnsi="宋体" w:cs="宋体"/>
          <w:bCs/>
          <w:color w:val="auto"/>
          <w:sz w:val="24"/>
        </w:rPr>
        <w:t>3.5.1磋商小组从报价、质量和服务均能满足竞争性磋商文件实质性响应要求的供应商中，根据综合评分情况，按照评审得分由高到低顺序推荐3名以上成交候选供应商，并编写磋商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pacing w:line="500" w:lineRule="exact"/>
        <w:ind w:firstLine="480" w:firstLineChars="200"/>
        <w:rPr>
          <w:rFonts w:ascii="宋体" w:hAnsi="宋体" w:cs="宋体"/>
          <w:bCs/>
          <w:color w:val="auto"/>
          <w:sz w:val="24"/>
          <w:szCs w:val="21"/>
        </w:rPr>
      </w:pPr>
      <w:r>
        <w:rPr>
          <w:rFonts w:hint="eastAsia" w:ascii="宋体" w:hAnsi="宋体" w:cs="宋体"/>
          <w:bCs/>
          <w:color w:val="auto"/>
          <w:sz w:val="24"/>
          <w:szCs w:val="21"/>
        </w:rPr>
        <w:t>3.5.2采购人在收到磋商报告后5个工作日内，采购人从磋商报告提出的成交候选人中，根据质量和服务均能满足竞争性磋商文件实质性响应要求且综合评分最高的原则确定成交供应商。</w:t>
      </w:r>
    </w:p>
    <w:p>
      <w:pPr>
        <w:spacing w:line="500" w:lineRule="exact"/>
        <w:rPr>
          <w:rFonts w:ascii="宋体" w:hAnsi="宋体" w:cs="宋体"/>
          <w:bCs/>
          <w:color w:val="auto"/>
          <w:sz w:val="24"/>
          <w:szCs w:val="21"/>
        </w:rPr>
      </w:pPr>
      <w:r>
        <w:rPr>
          <w:rFonts w:hint="eastAsia" w:ascii="宋体" w:hAnsi="宋体" w:cs="宋体"/>
          <w:bCs/>
          <w:color w:val="auto"/>
          <w:sz w:val="24"/>
          <w:szCs w:val="21"/>
        </w:rPr>
        <w:t xml:space="preserve">   3.5.3若排名第一的成交候选人放弃成交或被取消成交资格，磋商人可以与排名第二的成交候选人成交，依次类推。</w:t>
      </w:r>
    </w:p>
    <w:p>
      <w:pPr>
        <w:spacing w:line="500" w:lineRule="exact"/>
        <w:rPr>
          <w:rFonts w:ascii="宋体" w:hAnsi="宋体" w:cs="宋体"/>
          <w:bCs/>
          <w:color w:val="auto"/>
          <w:sz w:val="24"/>
          <w:szCs w:val="21"/>
        </w:rPr>
      </w:pPr>
    </w:p>
    <w:p>
      <w:pPr>
        <w:pStyle w:val="5"/>
        <w:tabs>
          <w:tab w:val="left" w:pos="2472"/>
        </w:tabs>
        <w:adjustRightInd w:val="0"/>
        <w:snapToGrid w:val="0"/>
        <w:spacing w:line="360" w:lineRule="auto"/>
        <w:ind w:firstLine="480" w:firstLineChars="200"/>
        <w:jc w:val="center"/>
        <w:rPr>
          <w:rFonts w:hAnsi="宋体" w:cs="宋体"/>
          <w:bCs/>
          <w:color w:val="auto"/>
          <w:sz w:val="24"/>
        </w:rPr>
      </w:pPr>
      <w:r>
        <w:rPr>
          <w:rFonts w:hint="eastAsia" w:hAnsi="宋体" w:cs="宋体"/>
          <w:bCs/>
          <w:color w:val="auto"/>
          <w:sz w:val="24"/>
        </w:rPr>
        <w:br w:type="page"/>
      </w:r>
    </w:p>
    <w:p>
      <w:pPr>
        <w:pStyle w:val="5"/>
        <w:tabs>
          <w:tab w:val="left" w:pos="2472"/>
        </w:tabs>
        <w:adjustRightInd w:val="0"/>
        <w:snapToGrid w:val="0"/>
        <w:spacing w:line="360" w:lineRule="auto"/>
        <w:ind w:firstLine="562" w:firstLineChars="200"/>
        <w:jc w:val="center"/>
        <w:rPr>
          <w:rFonts w:hint="eastAsia" w:hAnsi="宋体" w:cs="宋体"/>
          <w:b/>
          <w:bCs/>
          <w:color w:val="auto"/>
          <w:sz w:val="28"/>
        </w:rPr>
      </w:pPr>
      <w:r>
        <w:rPr>
          <w:rFonts w:hint="eastAsia" w:hAnsi="宋体" w:cs="宋体"/>
          <w:b/>
          <w:bCs/>
          <w:color w:val="auto"/>
          <w:sz w:val="28"/>
        </w:rPr>
        <w:t>附表一：资格性评审表</w:t>
      </w:r>
    </w:p>
    <w:p>
      <w:pPr>
        <w:pStyle w:val="5"/>
        <w:tabs>
          <w:tab w:val="left" w:pos="2472"/>
        </w:tabs>
        <w:adjustRightInd w:val="0"/>
        <w:snapToGrid w:val="0"/>
        <w:spacing w:line="360" w:lineRule="auto"/>
        <w:rPr>
          <w:rFonts w:hint="eastAsia" w:hAnsi="宋体" w:cs="宋体"/>
          <w:color w:val="auto"/>
          <w:sz w:val="24"/>
          <w:szCs w:val="24"/>
        </w:rPr>
      </w:pPr>
    </w:p>
    <w:tbl>
      <w:tblPr>
        <w:tblStyle w:val="6"/>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50"/>
        <w:gridCol w:w="583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2" w:type="dxa"/>
            <w:noWrap w:val="0"/>
            <w:vAlign w:val="center"/>
          </w:tcPr>
          <w:p>
            <w:pPr>
              <w:spacing w:before="100" w:beforeAutospacing="1" w:after="100" w:afterAutospacing="1"/>
              <w:jc w:val="center"/>
              <w:rPr>
                <w:rFonts w:hint="eastAsia" w:ascii="宋体" w:hAnsi="宋体" w:cs="宋体"/>
                <w:b/>
                <w:color w:val="auto"/>
                <w:szCs w:val="21"/>
              </w:rPr>
            </w:pPr>
            <w:r>
              <w:rPr>
                <w:rFonts w:hint="eastAsia" w:ascii="宋体" w:hAnsi="宋体" w:cs="宋体"/>
                <w:b/>
                <w:color w:val="auto"/>
                <w:szCs w:val="21"/>
              </w:rPr>
              <w:t>条款号</w:t>
            </w:r>
          </w:p>
        </w:tc>
        <w:tc>
          <w:tcPr>
            <w:tcW w:w="1950" w:type="dxa"/>
            <w:noWrap w:val="0"/>
            <w:vAlign w:val="center"/>
          </w:tcPr>
          <w:p>
            <w:pPr>
              <w:spacing w:before="100" w:beforeAutospacing="1" w:after="100" w:afterAutospacing="1"/>
              <w:jc w:val="center"/>
              <w:rPr>
                <w:rFonts w:hint="eastAsia" w:ascii="宋体" w:hAnsi="宋体" w:cs="宋体"/>
                <w:b/>
                <w:color w:val="auto"/>
                <w:szCs w:val="21"/>
              </w:rPr>
            </w:pPr>
            <w:r>
              <w:rPr>
                <w:rFonts w:hint="eastAsia" w:ascii="宋体" w:hAnsi="宋体" w:cs="宋体"/>
                <w:b/>
                <w:color w:val="auto"/>
                <w:szCs w:val="21"/>
              </w:rPr>
              <w:t>审 查 内 容</w:t>
            </w:r>
          </w:p>
        </w:tc>
        <w:tc>
          <w:tcPr>
            <w:tcW w:w="7144" w:type="dxa"/>
            <w:gridSpan w:val="2"/>
            <w:noWrap w:val="0"/>
            <w:vAlign w:val="center"/>
          </w:tcPr>
          <w:p>
            <w:pPr>
              <w:spacing w:before="100" w:beforeAutospacing="1" w:after="100" w:afterAutospacing="1"/>
              <w:jc w:val="center"/>
              <w:rPr>
                <w:rFonts w:hint="eastAsia" w:ascii="宋体" w:hAnsi="宋体" w:cs="宋体"/>
                <w:b/>
                <w:color w:val="auto"/>
                <w:szCs w:val="21"/>
              </w:rPr>
            </w:pPr>
            <w:r>
              <w:rPr>
                <w:rFonts w:hint="eastAsia" w:ascii="宋体" w:hAnsi="宋体" w:cs="宋体"/>
                <w:b/>
                <w:color w:val="auto"/>
                <w:szCs w:val="21"/>
              </w:rPr>
              <w:t>审 查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2" w:type="dxa"/>
            <w:vMerge w:val="restart"/>
            <w:noWrap w:val="0"/>
            <w:vAlign w:val="center"/>
          </w:tcPr>
          <w:p>
            <w:pPr>
              <w:spacing w:before="100" w:beforeAutospacing="1" w:after="100" w:afterAutospacing="1"/>
              <w:jc w:val="center"/>
              <w:rPr>
                <w:rFonts w:hint="eastAsia" w:ascii="宋体" w:hAnsi="宋体" w:cs="宋体"/>
                <w:color w:val="auto"/>
                <w:szCs w:val="21"/>
              </w:rPr>
            </w:pPr>
          </w:p>
          <w:p>
            <w:pPr>
              <w:spacing w:before="100" w:beforeAutospacing="1" w:after="100" w:afterAutospacing="1"/>
              <w:jc w:val="center"/>
              <w:rPr>
                <w:rFonts w:hint="eastAsia" w:ascii="宋体" w:hAnsi="宋体" w:cs="宋体"/>
                <w:color w:val="auto"/>
                <w:szCs w:val="21"/>
              </w:rPr>
            </w:pPr>
          </w:p>
          <w:p>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资格审查标准</w:t>
            </w:r>
          </w:p>
        </w:tc>
        <w:tc>
          <w:tcPr>
            <w:tcW w:w="1950" w:type="dxa"/>
            <w:noWrap w:val="0"/>
            <w:vAlign w:val="center"/>
          </w:tcPr>
          <w:p>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营业执照</w:t>
            </w:r>
            <w:r>
              <w:rPr>
                <w:rFonts w:ascii="宋体" w:hAnsi="宋体" w:cs="宋体"/>
                <w:color w:val="auto"/>
                <w:szCs w:val="21"/>
              </w:rPr>
              <w:t>或其他证明材料</w:t>
            </w:r>
          </w:p>
        </w:tc>
        <w:tc>
          <w:tcPr>
            <w:tcW w:w="5831" w:type="dxa"/>
            <w:noWrap w:val="0"/>
            <w:vAlign w:val="center"/>
          </w:tcPr>
          <w:p>
            <w:pPr>
              <w:spacing w:before="100" w:beforeAutospacing="1" w:after="100" w:afterAutospacing="1"/>
              <w:jc w:val="left"/>
              <w:rPr>
                <w:rFonts w:ascii="宋体" w:hAnsi="宋体" w:cs="宋体"/>
                <w:color w:val="auto"/>
                <w:szCs w:val="21"/>
              </w:rPr>
            </w:pPr>
            <w:r>
              <w:rPr>
                <w:rFonts w:ascii="宋体" w:hAnsi="宋体" w:cs="宋体"/>
                <w:color w:val="auto"/>
                <w:szCs w:val="21"/>
              </w:rPr>
              <w:t>具备有效的营业执照或其他证明材料</w:t>
            </w:r>
          </w:p>
        </w:tc>
        <w:tc>
          <w:tcPr>
            <w:tcW w:w="1313" w:type="dxa"/>
            <w:noWrap w:val="0"/>
            <w:vAlign w:val="center"/>
          </w:tcPr>
          <w:p>
            <w:pPr>
              <w:spacing w:before="100" w:beforeAutospacing="1" w:after="100" w:afterAutospacing="1"/>
              <w:jc w:val="left"/>
              <w:rPr>
                <w:rFonts w:hint="eastAsia" w:ascii="宋体" w:hAnsi="宋体" w:cs="宋体"/>
                <w:color w:val="auto"/>
                <w:szCs w:val="21"/>
              </w:rPr>
            </w:pPr>
            <w:r>
              <w:rPr>
                <w:rFonts w:hint="eastAsia" w:ascii="宋体" w:hAnsi="宋体" w:cs="宋体"/>
                <w:bCs/>
                <w:color w:val="auto"/>
                <w:kern w:val="0"/>
                <w:szCs w:val="21"/>
              </w:rPr>
              <w:t>审查响应文件中复印件加盖公章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noWrap w:val="0"/>
            <w:vAlign w:val="center"/>
          </w:tcPr>
          <w:p>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具有履行合同所必需的设备和专业技术能力</w:t>
            </w:r>
          </w:p>
        </w:tc>
        <w:tc>
          <w:tcPr>
            <w:tcW w:w="5831" w:type="dxa"/>
            <w:noWrap w:val="0"/>
            <w:vAlign w:val="center"/>
          </w:tcPr>
          <w:p>
            <w:pPr>
              <w:spacing w:before="100" w:beforeAutospacing="1" w:after="100" w:afterAutospacing="1"/>
              <w:jc w:val="left"/>
              <w:rPr>
                <w:rFonts w:hint="eastAsia" w:ascii="宋体" w:hAnsi="宋体" w:cs="宋体"/>
                <w:color w:val="auto"/>
                <w:szCs w:val="21"/>
              </w:rPr>
            </w:pPr>
            <w:r>
              <w:rPr>
                <w:rFonts w:hint="eastAsia" w:ascii="宋体" w:hAnsi="宋体" w:cs="宋体"/>
                <w:color w:val="auto"/>
                <w:szCs w:val="21"/>
              </w:rPr>
              <w:t>具有履行合同所必需的设备和专业技术能力（提供书面声明或相关证明材料）</w:t>
            </w:r>
          </w:p>
        </w:tc>
        <w:tc>
          <w:tcPr>
            <w:tcW w:w="1313" w:type="dxa"/>
            <w:noWrap w:val="0"/>
            <w:vAlign w:val="center"/>
          </w:tcPr>
          <w:p>
            <w:pPr>
              <w:spacing w:before="100" w:beforeAutospacing="1" w:after="100" w:afterAutospacing="1"/>
              <w:jc w:val="left"/>
              <w:rPr>
                <w:rFonts w:ascii="宋体" w:hAnsi="宋体" w:cs="宋体"/>
                <w:bCs/>
                <w:color w:val="auto"/>
                <w:kern w:val="0"/>
                <w:szCs w:val="21"/>
              </w:rPr>
            </w:pPr>
            <w:r>
              <w:rPr>
                <w:rFonts w:hint="eastAsia" w:ascii="宋体" w:hAnsi="宋体" w:cs="宋体"/>
                <w:bCs/>
                <w:color w:val="auto"/>
                <w:kern w:val="0"/>
                <w:szCs w:val="21"/>
              </w:rPr>
              <w:t>审查响应文件中原件加盖公章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vMerge w:val="restart"/>
            <w:noWrap w:val="0"/>
            <w:vAlign w:val="center"/>
          </w:tcPr>
          <w:p>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供应商须具有良好的商业信誉和健全的财务会计制度</w:t>
            </w:r>
          </w:p>
        </w:tc>
        <w:tc>
          <w:tcPr>
            <w:tcW w:w="5831" w:type="dxa"/>
            <w:noWrap w:val="0"/>
            <w:vAlign w:val="center"/>
          </w:tcPr>
          <w:p>
            <w:pPr>
              <w:pStyle w:val="8"/>
              <w:tabs>
                <w:tab w:val="left" w:pos="709"/>
              </w:tabs>
              <w:autoSpaceDE w:val="0"/>
              <w:autoSpaceDN w:val="0"/>
              <w:adjustRightInd w:val="0"/>
              <w:snapToGrid w:val="0"/>
              <w:spacing w:line="312" w:lineRule="auto"/>
              <w:ind w:firstLine="0" w:firstLineChars="0"/>
              <w:rPr>
                <w:rFonts w:hint="eastAsia" w:ascii="宋体" w:hAnsi="宋体" w:cs="宋体"/>
                <w:color w:val="auto"/>
                <w:szCs w:val="21"/>
              </w:rPr>
            </w:pPr>
            <w:r>
              <w:rPr>
                <w:rFonts w:hint="eastAsia" w:ascii="宋体" w:hAnsi="宋体" w:cs="宋体"/>
                <w:color w:val="auto"/>
                <w:szCs w:val="21"/>
              </w:rPr>
              <w:t>供应商在“信用中国”网站(www.creditchina.gov.cn) 中未被列入：失信被执行人、重大税收违法失信主体；在“中国政府采购网”(www.ccgp.gov.cn) 中未被列入：政府采购严重违法失信行为记录名单（被禁止在一定期限内参加政府采购活动但期限届满的除外）。由采购人或采购代理机构在评标现场查询，查询时间为响应文件递交后。如供应商有相关记录，取消磋商资格或成交资格；</w:t>
            </w:r>
          </w:p>
        </w:tc>
        <w:tc>
          <w:tcPr>
            <w:tcW w:w="1313" w:type="dxa"/>
            <w:noWrap w:val="0"/>
            <w:vAlign w:val="center"/>
          </w:tcPr>
          <w:p>
            <w:pPr>
              <w:spacing w:before="100" w:beforeAutospacing="1" w:after="100" w:afterAutospacing="1"/>
              <w:jc w:val="left"/>
              <w:rPr>
                <w:rFonts w:hint="eastAsia" w:ascii="宋体" w:hAnsi="宋体" w:cs="宋体"/>
                <w:bCs/>
                <w:color w:val="auto"/>
                <w:kern w:val="0"/>
                <w:szCs w:val="21"/>
              </w:rPr>
            </w:pPr>
            <w:r>
              <w:rPr>
                <w:rFonts w:hint="eastAsia" w:ascii="宋体" w:hAnsi="宋体" w:cs="宋体"/>
                <w:color w:val="auto"/>
                <w:szCs w:val="21"/>
              </w:rPr>
              <w:t>由采购人或采购代理机构在评标现场查询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5831" w:type="dxa"/>
            <w:noWrap w:val="0"/>
            <w:vAlign w:val="center"/>
          </w:tcPr>
          <w:p>
            <w:pPr>
              <w:rPr>
                <w:rFonts w:hint="eastAsia" w:ascii="宋体" w:hAnsi="宋体" w:cs="宋体"/>
                <w:color w:val="auto"/>
                <w:szCs w:val="21"/>
              </w:rPr>
            </w:pPr>
            <w:r>
              <w:rPr>
                <w:rFonts w:hint="eastAsia" w:ascii="宋体" w:hAnsi="宋体" w:cs="宋体"/>
                <w:color w:val="auto"/>
                <w:szCs w:val="21"/>
              </w:rPr>
              <w:t>提供2020年至2022年度其中任意一年的财务报表（包含资产负债表、现金流量表、损益表（利润表））或经第三方机构审计的审计报告【包括但不限于：资产负债表、利润表（或损益表）、现金流量表】。</w:t>
            </w:r>
          </w:p>
          <w:p>
            <w:pPr>
              <w:rPr>
                <w:rFonts w:hint="eastAsia" w:ascii="宋体" w:hAnsi="宋体" w:cs="宋体"/>
                <w:color w:val="auto"/>
                <w:szCs w:val="21"/>
              </w:rPr>
            </w:pPr>
            <w:r>
              <w:rPr>
                <w:rFonts w:hint="eastAsia" w:ascii="宋体" w:hAnsi="宋体" w:cs="宋体"/>
                <w:color w:val="auto"/>
                <w:szCs w:val="21"/>
              </w:rPr>
              <w:t xml:space="preserve"> 注：供应商若为事业单位的，则不需提供利润表（或损益表）；新成立企业不满一年的，只需提供成立至今的财务报表或经第三方机构审计的审计报告。</w:t>
            </w:r>
          </w:p>
        </w:tc>
        <w:tc>
          <w:tcPr>
            <w:tcW w:w="1313" w:type="dxa"/>
            <w:noWrap w:val="0"/>
            <w:vAlign w:val="center"/>
          </w:tcPr>
          <w:p>
            <w:pPr>
              <w:rPr>
                <w:rFonts w:hint="eastAsia" w:ascii="宋体" w:hAnsi="宋体" w:cs="宋体"/>
                <w:color w:val="auto"/>
                <w:szCs w:val="21"/>
              </w:rPr>
            </w:pPr>
            <w:r>
              <w:rPr>
                <w:rFonts w:hint="eastAsia" w:ascii="宋体" w:hAnsi="宋体" w:cs="宋体"/>
                <w:bCs/>
                <w:color w:val="auto"/>
                <w:kern w:val="0"/>
                <w:szCs w:val="21"/>
              </w:rPr>
              <w:t>审查响应文件中复印件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vMerge w:val="restart"/>
            <w:noWrap w:val="0"/>
            <w:vAlign w:val="center"/>
          </w:tcPr>
          <w:p>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供应商须具有依法缴纳税收和社会保障资金的良好记录</w:t>
            </w:r>
          </w:p>
        </w:tc>
        <w:tc>
          <w:tcPr>
            <w:tcW w:w="5831" w:type="dxa"/>
            <w:noWrap w:val="0"/>
            <w:vAlign w:val="center"/>
          </w:tcPr>
          <w:p>
            <w:pPr>
              <w:rPr>
                <w:rFonts w:hint="eastAsia" w:ascii="宋体" w:hAnsi="宋体" w:cs="宋体"/>
                <w:color w:val="auto"/>
                <w:szCs w:val="21"/>
              </w:rPr>
            </w:pPr>
            <w:r>
              <w:rPr>
                <w:rFonts w:hint="eastAsia" w:ascii="宋体" w:hAnsi="宋体" w:cs="宋体"/>
                <w:color w:val="auto"/>
                <w:szCs w:val="21"/>
              </w:rPr>
              <w:t>提供缴税所属时间在响应文件提交截止时间前任意1个月的税务局税收通用缴款书复印件或银行电子缴税（费）凭证复印件或税务局出具纳税情况的相关证明复印件。依法免税的，应提供依法免税的相关证明文件。新成立的供应商根据实际情况提供。</w:t>
            </w:r>
          </w:p>
        </w:tc>
        <w:tc>
          <w:tcPr>
            <w:tcW w:w="1313" w:type="dxa"/>
            <w:noWrap w:val="0"/>
            <w:vAlign w:val="center"/>
          </w:tcPr>
          <w:p>
            <w:pPr>
              <w:rPr>
                <w:rFonts w:hint="eastAsia" w:ascii="宋体" w:hAnsi="宋体" w:cs="宋体"/>
                <w:color w:val="auto"/>
                <w:szCs w:val="21"/>
              </w:rPr>
            </w:pPr>
            <w:r>
              <w:rPr>
                <w:rFonts w:hint="eastAsia" w:ascii="宋体" w:hAnsi="宋体" w:cs="宋体"/>
                <w:bCs/>
                <w:color w:val="auto"/>
                <w:kern w:val="0"/>
                <w:szCs w:val="21"/>
              </w:rPr>
              <w:t>审查响应文件中复印件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5831" w:type="dxa"/>
            <w:noWrap w:val="0"/>
            <w:vAlign w:val="center"/>
          </w:tcPr>
          <w:p>
            <w:pPr>
              <w:adjustRightInd w:val="0"/>
              <w:snapToGrid w:val="0"/>
              <w:rPr>
                <w:rFonts w:hint="eastAsia" w:ascii="宋体" w:hAnsi="宋体" w:cs="宋体"/>
                <w:color w:val="auto"/>
                <w:szCs w:val="21"/>
              </w:rPr>
            </w:pPr>
            <w:r>
              <w:rPr>
                <w:rFonts w:hint="eastAsia" w:ascii="宋体" w:hAnsi="宋体" w:cs="宋体"/>
                <w:color w:val="auto"/>
                <w:szCs w:val="21"/>
              </w:rPr>
              <w:t xml:space="preserve">提供缴费所属时间在响应文件提交截止时间前任意1个月的社会保险费缴款书复印件或银行电子缴税（费）凭证复印件社保管理部门出具的有效的缴款证明复印件。依法免缴的，应提供依法免缴的相关证明文件。新成立的供应商根据实际情况提供。 </w:t>
            </w:r>
          </w:p>
        </w:tc>
        <w:tc>
          <w:tcPr>
            <w:tcW w:w="1313" w:type="dxa"/>
            <w:noWrap w:val="0"/>
            <w:vAlign w:val="center"/>
          </w:tcPr>
          <w:p>
            <w:pPr>
              <w:rPr>
                <w:rFonts w:hint="eastAsia" w:ascii="宋体" w:hAnsi="宋体" w:cs="宋体"/>
                <w:color w:val="auto"/>
                <w:szCs w:val="21"/>
              </w:rPr>
            </w:pPr>
            <w:r>
              <w:rPr>
                <w:rFonts w:hint="eastAsia" w:ascii="宋体" w:hAnsi="宋体" w:cs="宋体"/>
                <w:bCs/>
                <w:color w:val="auto"/>
                <w:kern w:val="0"/>
                <w:szCs w:val="21"/>
              </w:rPr>
              <w:t>审查响应文件中复印件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noWrap w:val="0"/>
            <w:vAlign w:val="center"/>
          </w:tcPr>
          <w:p>
            <w:pPr>
              <w:spacing w:before="100" w:beforeAutospacing="1" w:after="100" w:afterAutospacing="1"/>
              <w:jc w:val="center"/>
              <w:rPr>
                <w:rFonts w:hint="eastAsia" w:ascii="宋体" w:hAnsi="宋体" w:cs="宋体"/>
                <w:color w:val="auto"/>
                <w:szCs w:val="21"/>
              </w:rPr>
            </w:pPr>
            <w:r>
              <w:rPr>
                <w:rFonts w:hint="eastAsia" w:ascii="宋体" w:hAnsi="宋体" w:cs="宋体"/>
                <w:color w:val="auto"/>
                <w:szCs w:val="21"/>
              </w:rPr>
              <w:t>重大违法记录的书面声明</w:t>
            </w:r>
          </w:p>
        </w:tc>
        <w:tc>
          <w:tcPr>
            <w:tcW w:w="5831" w:type="dxa"/>
            <w:noWrap w:val="0"/>
            <w:vAlign w:val="center"/>
          </w:tcPr>
          <w:p>
            <w:pPr>
              <w:spacing w:line="336" w:lineRule="auto"/>
              <w:rPr>
                <w:rFonts w:hint="eastAsia" w:ascii="宋体" w:hAnsi="宋体" w:cs="宋体"/>
                <w:color w:val="auto"/>
                <w:szCs w:val="21"/>
              </w:rPr>
            </w:pPr>
            <w:r>
              <w:rPr>
                <w:rFonts w:hint="eastAsia" w:ascii="宋体" w:hAnsi="宋体" w:cs="宋体"/>
                <w:color w:val="auto"/>
                <w:szCs w:val="21"/>
              </w:rPr>
              <w:t>供应商参加政府采购活动前三年内，在经营活动中没有重大违法记录的书面声明，供应商自行承诺。</w:t>
            </w:r>
          </w:p>
        </w:tc>
        <w:tc>
          <w:tcPr>
            <w:tcW w:w="1313" w:type="dxa"/>
            <w:noWrap w:val="0"/>
            <w:vAlign w:val="center"/>
          </w:tcPr>
          <w:p>
            <w:pPr>
              <w:rPr>
                <w:rFonts w:hint="eastAsia" w:ascii="宋体" w:hAnsi="宋体" w:cs="宋体"/>
                <w:bCs/>
                <w:color w:val="auto"/>
                <w:kern w:val="0"/>
                <w:szCs w:val="21"/>
              </w:rPr>
            </w:pPr>
            <w:r>
              <w:rPr>
                <w:rFonts w:hint="eastAsia" w:ascii="宋体" w:hAnsi="宋体" w:cs="宋体"/>
                <w:bCs/>
                <w:color w:val="auto"/>
                <w:kern w:val="0"/>
                <w:szCs w:val="21"/>
              </w:rPr>
              <w:t>审查响应文件中原件加盖公章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noWrap w:val="0"/>
            <w:vAlign w:val="center"/>
          </w:tcPr>
          <w:p>
            <w:pPr>
              <w:spacing w:before="100" w:beforeAutospacing="1" w:after="100" w:afterAutospacing="1"/>
              <w:jc w:val="center"/>
              <w:rPr>
                <w:rFonts w:ascii="宋体" w:hAnsi="宋体" w:cs="宋体"/>
                <w:color w:val="auto"/>
                <w:szCs w:val="21"/>
              </w:rPr>
            </w:pPr>
            <w:r>
              <w:rPr>
                <w:rFonts w:hint="eastAsia" w:ascii="宋体" w:hAnsi="宋体" w:cs="宋体"/>
                <w:color w:val="auto"/>
                <w:szCs w:val="21"/>
              </w:rPr>
              <w:t>特定条件</w:t>
            </w:r>
          </w:p>
        </w:tc>
        <w:tc>
          <w:tcPr>
            <w:tcW w:w="5831" w:type="dxa"/>
            <w:noWrap w:val="0"/>
            <w:vAlign w:val="center"/>
          </w:tcPr>
          <w:p>
            <w:pPr>
              <w:widowControl/>
              <w:spacing w:line="360" w:lineRule="auto"/>
              <w:rPr>
                <w:rFonts w:hint="eastAsia" w:ascii="宋体" w:hAnsi="宋体" w:cs="宋体"/>
                <w:b/>
                <w:bCs/>
                <w:color w:val="auto"/>
                <w:szCs w:val="21"/>
              </w:rPr>
            </w:pPr>
            <w:r>
              <w:rPr>
                <w:rFonts w:hint="eastAsia" w:ascii="宋体" w:hAnsi="宋体" w:cs="宋体"/>
                <w:b/>
                <w:bCs/>
                <w:color w:val="auto"/>
                <w:szCs w:val="21"/>
              </w:rPr>
              <w:t>供应商须具备行政主管部门颁发的有效的工程设计综合甲级资质或工程设计建筑行业乙级及以上资质或工程设计建筑工程专业设计乙级及以上资质；</w:t>
            </w:r>
          </w:p>
          <w:p>
            <w:pPr>
              <w:adjustRightInd w:val="0"/>
              <w:snapToGrid w:val="0"/>
              <w:spacing w:line="360" w:lineRule="auto"/>
              <w:rPr>
                <w:rFonts w:hint="eastAsia" w:ascii="宋体" w:hAnsi="宋体" w:cs="宋体"/>
                <w:color w:val="auto"/>
                <w:szCs w:val="21"/>
              </w:rPr>
            </w:pPr>
            <w:r>
              <w:rPr>
                <w:rFonts w:hint="eastAsia" w:ascii="宋体" w:hAnsi="宋体" w:cs="宋体"/>
                <w:b/>
                <w:bCs/>
                <w:color w:val="auto"/>
                <w:sz w:val="21"/>
                <w:szCs w:val="21"/>
                <w:highlight w:val="none"/>
                <w:u w:val="none"/>
              </w:rPr>
              <w:t>拟派往本项目的负责人应具有建设行政主管部门颁发的</w:t>
            </w:r>
            <w:r>
              <w:rPr>
                <w:rFonts w:hint="eastAsia" w:ascii="宋体" w:hAnsi="宋体" w:cs="宋体"/>
                <w:b/>
                <w:bCs/>
                <w:color w:val="auto"/>
                <w:sz w:val="21"/>
                <w:szCs w:val="21"/>
                <w:highlight w:val="none"/>
                <w:u w:val="none"/>
                <w:lang w:val="en-US" w:eastAsia="zh-CN"/>
              </w:rPr>
              <w:t>一级</w:t>
            </w:r>
            <w:r>
              <w:rPr>
                <w:rFonts w:hint="eastAsia" w:ascii="宋体" w:hAnsi="宋体" w:cs="宋体"/>
                <w:b/>
                <w:bCs/>
                <w:color w:val="auto"/>
                <w:sz w:val="21"/>
                <w:szCs w:val="21"/>
                <w:highlight w:val="none"/>
                <w:u w:val="none"/>
              </w:rPr>
              <w:t>注册结构工程师资格或</w:t>
            </w:r>
            <w:r>
              <w:rPr>
                <w:rFonts w:hint="eastAsia" w:ascii="宋体" w:hAnsi="宋体" w:cs="宋体"/>
                <w:b/>
                <w:bCs/>
                <w:color w:val="auto"/>
                <w:sz w:val="21"/>
                <w:szCs w:val="21"/>
                <w:highlight w:val="none"/>
                <w:u w:val="none"/>
                <w:lang w:val="en-US" w:eastAsia="zh-CN"/>
              </w:rPr>
              <w:t>一级</w:t>
            </w:r>
            <w:r>
              <w:rPr>
                <w:rFonts w:hint="eastAsia" w:ascii="宋体" w:hAnsi="宋体" w:cs="宋体"/>
                <w:b/>
                <w:bCs/>
                <w:color w:val="auto"/>
                <w:sz w:val="21"/>
                <w:szCs w:val="21"/>
                <w:highlight w:val="none"/>
                <w:u w:val="none"/>
              </w:rPr>
              <w:t>注册建筑师资格，且必须注册在供应商本单位并提供劳动合同或社保缴纳证明。</w:t>
            </w:r>
          </w:p>
        </w:tc>
        <w:tc>
          <w:tcPr>
            <w:tcW w:w="1313" w:type="dxa"/>
            <w:noWrap w:val="0"/>
            <w:vAlign w:val="center"/>
          </w:tcPr>
          <w:p>
            <w:pPr>
              <w:rPr>
                <w:rFonts w:hint="eastAsia" w:ascii="宋体" w:hAnsi="宋体" w:cs="宋体"/>
                <w:bCs/>
                <w:color w:val="auto"/>
                <w:kern w:val="0"/>
                <w:szCs w:val="21"/>
              </w:rPr>
            </w:pPr>
            <w:r>
              <w:rPr>
                <w:rFonts w:hint="eastAsia" w:ascii="宋体" w:hAnsi="宋体" w:cs="宋体"/>
                <w:bCs/>
                <w:color w:val="auto"/>
                <w:kern w:val="0"/>
                <w:szCs w:val="21"/>
              </w:rPr>
              <w:t>审查响应文件中复印件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62" w:type="dxa"/>
            <w:vMerge w:val="continue"/>
            <w:noWrap w:val="0"/>
            <w:vAlign w:val="center"/>
          </w:tcPr>
          <w:p>
            <w:pPr>
              <w:spacing w:before="100" w:beforeAutospacing="1" w:after="100" w:afterAutospacing="1"/>
              <w:jc w:val="center"/>
              <w:rPr>
                <w:rFonts w:hint="eastAsia" w:ascii="宋体" w:hAnsi="宋体" w:cs="宋体"/>
                <w:color w:val="auto"/>
                <w:szCs w:val="21"/>
              </w:rPr>
            </w:pPr>
          </w:p>
        </w:tc>
        <w:tc>
          <w:tcPr>
            <w:tcW w:w="1950" w:type="dxa"/>
            <w:noWrap w:val="0"/>
            <w:vAlign w:val="center"/>
          </w:tcPr>
          <w:p>
            <w:pPr>
              <w:spacing w:before="100" w:beforeAutospacing="1" w:after="100" w:afterAutospacing="1"/>
              <w:rPr>
                <w:rFonts w:hint="eastAsia" w:ascii="宋体" w:hAnsi="宋体" w:cs="宋体"/>
                <w:color w:val="auto"/>
                <w:szCs w:val="21"/>
              </w:rPr>
            </w:pPr>
            <w:r>
              <w:rPr>
                <w:rFonts w:hint="eastAsia" w:ascii="宋体" w:hAnsi="宋体" w:cs="宋体"/>
                <w:color w:val="auto"/>
                <w:szCs w:val="21"/>
              </w:rPr>
              <w:t>联合体投标</w:t>
            </w:r>
          </w:p>
        </w:tc>
        <w:tc>
          <w:tcPr>
            <w:tcW w:w="5831" w:type="dxa"/>
            <w:noWrap w:val="0"/>
            <w:vAlign w:val="center"/>
          </w:tcPr>
          <w:p>
            <w:pPr>
              <w:pStyle w:val="4"/>
              <w:spacing w:line="240" w:lineRule="auto"/>
              <w:rPr>
                <w:rFonts w:hint="eastAsia" w:ascii="宋体" w:hAnsi="宋体" w:cs="宋体"/>
                <w:b/>
                <w:bCs/>
                <w:color w:val="auto"/>
                <w:sz w:val="21"/>
                <w:szCs w:val="21"/>
              </w:rPr>
            </w:pPr>
            <w:r>
              <w:rPr>
                <w:rFonts w:hint="eastAsia" w:ascii="宋体" w:hAnsi="宋体" w:cs="宋体"/>
                <w:color w:val="auto"/>
                <w:sz w:val="21"/>
                <w:szCs w:val="21"/>
              </w:rPr>
              <w:t>本项目不接受联合体投标。单位负责人为同一人或存在直接控股、管理关系的不同供应商，不得参加同一合同项下的政府采购活动。</w:t>
            </w:r>
          </w:p>
        </w:tc>
        <w:tc>
          <w:tcPr>
            <w:tcW w:w="1313" w:type="dxa"/>
            <w:noWrap w:val="0"/>
            <w:vAlign w:val="center"/>
          </w:tcPr>
          <w:p>
            <w:pPr>
              <w:spacing w:before="100" w:beforeAutospacing="1" w:after="100" w:afterAutospacing="1"/>
              <w:jc w:val="left"/>
              <w:rPr>
                <w:rFonts w:hint="eastAsia" w:ascii="宋体" w:hAnsi="宋体" w:cs="宋体"/>
                <w:color w:val="auto"/>
                <w:szCs w:val="21"/>
              </w:rPr>
            </w:pPr>
            <w:r>
              <w:rPr>
                <w:rFonts w:hint="eastAsia" w:ascii="宋体" w:hAnsi="宋体" w:cs="宋体"/>
                <w:bCs/>
                <w:color w:val="auto"/>
                <w:kern w:val="0"/>
                <w:szCs w:val="21"/>
              </w:rPr>
              <w:t>审查响应文件</w:t>
            </w:r>
          </w:p>
        </w:tc>
      </w:tr>
    </w:tbl>
    <w:p>
      <w:pPr>
        <w:rPr>
          <w:rFonts w:hint="eastAsia"/>
          <w:color w:val="auto"/>
        </w:rPr>
      </w:pPr>
      <w:bookmarkStart w:id="1" w:name="_Toc12191"/>
      <w:bookmarkStart w:id="2" w:name="_Toc10394"/>
    </w:p>
    <w:p>
      <w:pPr>
        <w:rPr>
          <w:rFonts w:hint="eastAsia"/>
          <w:color w:val="auto"/>
        </w:rPr>
      </w:pPr>
    </w:p>
    <w:p>
      <w:pPr>
        <w:pStyle w:val="3"/>
        <w:rPr>
          <w:rFonts w:hint="eastAsia"/>
          <w:b/>
          <w:bCs/>
          <w:color w:val="auto"/>
          <w:sz w:val="28"/>
          <w:szCs w:val="36"/>
        </w:rPr>
      </w:pPr>
    </w:p>
    <w:p>
      <w:pPr>
        <w:jc w:val="center"/>
        <w:rPr>
          <w:rFonts w:hint="eastAsia"/>
          <w:b/>
          <w:bCs/>
          <w:color w:val="auto"/>
          <w:sz w:val="28"/>
          <w:szCs w:val="36"/>
        </w:rPr>
      </w:pPr>
      <w:r>
        <w:rPr>
          <w:rFonts w:hint="eastAsia"/>
          <w:b/>
          <w:bCs/>
          <w:color w:val="auto"/>
          <w:sz w:val="28"/>
          <w:szCs w:val="36"/>
        </w:rPr>
        <w:t>附表二：符合性评审表</w:t>
      </w:r>
      <w:bookmarkEnd w:id="1"/>
      <w:bookmarkEnd w:id="2"/>
    </w:p>
    <w:p>
      <w:pPr>
        <w:pStyle w:val="4"/>
        <w:rPr>
          <w:rFonts w:hint="eastAsia"/>
          <w:b/>
          <w:bCs/>
          <w:color w:val="auto"/>
          <w:sz w:val="28"/>
          <w:szCs w:val="36"/>
        </w:rPr>
      </w:pPr>
    </w:p>
    <w:tbl>
      <w:tblPr>
        <w:tblStyle w:val="6"/>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4727"/>
        <w:gridCol w:w="992"/>
        <w:gridCol w:w="992"/>
        <w:gridCol w:w="866"/>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29" w:type="dxa"/>
            <w:gridSpan w:val="2"/>
            <w:vMerge w:val="restart"/>
            <w:noWrap w:val="0"/>
            <w:vAlign w:val="center"/>
          </w:tcPr>
          <w:p>
            <w:pPr>
              <w:adjustRightInd w:val="0"/>
              <w:snapToGrid w:val="0"/>
              <w:spacing w:line="400" w:lineRule="atLeast"/>
              <w:jc w:val="center"/>
              <w:rPr>
                <w:rFonts w:hint="eastAsia" w:ascii="宋体" w:hAnsi="宋体" w:cs="宋体"/>
                <w:color w:val="auto"/>
                <w:szCs w:val="21"/>
              </w:rPr>
            </w:pPr>
            <w:r>
              <w:rPr>
                <w:rFonts w:hint="eastAsia" w:ascii="宋体" w:hAnsi="宋体" w:cs="宋体"/>
                <w:color w:val="auto"/>
                <w:szCs w:val="21"/>
              </w:rPr>
              <w:t>评审内容</w:t>
            </w:r>
          </w:p>
        </w:tc>
        <w:tc>
          <w:tcPr>
            <w:tcW w:w="2850" w:type="dxa"/>
            <w:gridSpan w:val="3"/>
            <w:noWrap w:val="0"/>
            <w:vAlign w:val="center"/>
          </w:tcPr>
          <w:p>
            <w:pPr>
              <w:adjustRightInd w:val="0"/>
              <w:snapToGrid w:val="0"/>
              <w:spacing w:line="400" w:lineRule="atLeast"/>
              <w:jc w:val="center"/>
              <w:rPr>
                <w:rFonts w:hint="eastAsia" w:ascii="宋体" w:hAnsi="宋体" w:cs="宋体"/>
                <w:color w:val="auto"/>
                <w:szCs w:val="21"/>
              </w:rPr>
            </w:pPr>
            <w:r>
              <w:rPr>
                <w:rFonts w:hint="eastAsia" w:ascii="宋体" w:hAnsi="宋体" w:cs="宋体"/>
                <w:color w:val="auto"/>
                <w:szCs w:val="21"/>
              </w:rPr>
              <w:t>供应商</w:t>
            </w:r>
          </w:p>
        </w:tc>
        <w:tc>
          <w:tcPr>
            <w:tcW w:w="1993" w:type="dxa"/>
            <w:noWrap w:val="0"/>
            <w:vAlign w:val="center"/>
          </w:tcPr>
          <w:p>
            <w:pPr>
              <w:adjustRightInd w:val="0"/>
              <w:snapToGrid w:val="0"/>
              <w:spacing w:line="400" w:lineRule="atLeast"/>
              <w:jc w:val="center"/>
              <w:rPr>
                <w:rFonts w:hint="eastAsia" w:ascii="宋体" w:hAnsi="宋体" w:cs="宋体"/>
                <w:color w:val="auto"/>
                <w:szCs w:val="21"/>
              </w:rPr>
            </w:pPr>
            <w:r>
              <w:rPr>
                <w:rFonts w:hint="eastAsia" w:ascii="宋体" w:hAnsi="宋体" w:cs="宋体"/>
                <w:color w:val="auto"/>
                <w:szCs w:val="21"/>
              </w:rPr>
              <w:t>磋商小组成员签字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29" w:type="dxa"/>
            <w:gridSpan w:val="2"/>
            <w:vMerge w:val="continue"/>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c>
          <w:tcPr>
            <w:tcW w:w="992" w:type="dxa"/>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c>
          <w:tcPr>
            <w:tcW w:w="992" w:type="dxa"/>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c>
          <w:tcPr>
            <w:tcW w:w="866" w:type="dxa"/>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c>
          <w:tcPr>
            <w:tcW w:w="1993" w:type="dxa"/>
            <w:vMerge w:val="restart"/>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02" w:type="dxa"/>
            <w:vMerge w:val="restart"/>
            <w:noWrap w:val="0"/>
            <w:vAlign w:val="top"/>
          </w:tcPr>
          <w:p>
            <w:pPr>
              <w:adjustRightInd w:val="0"/>
              <w:snapToGrid w:val="0"/>
              <w:spacing w:line="400" w:lineRule="atLeast"/>
              <w:rPr>
                <w:rFonts w:hint="eastAsia" w:ascii="宋体" w:hAnsi="宋体" w:cs="宋体"/>
                <w:color w:val="auto"/>
              </w:rPr>
            </w:pPr>
          </w:p>
          <w:p>
            <w:pPr>
              <w:pStyle w:val="4"/>
              <w:rPr>
                <w:rFonts w:hint="eastAsia" w:ascii="宋体" w:hAnsi="宋体" w:cs="宋体"/>
                <w:color w:val="auto"/>
              </w:rPr>
            </w:pPr>
          </w:p>
        </w:tc>
        <w:tc>
          <w:tcPr>
            <w:tcW w:w="4727" w:type="dxa"/>
            <w:noWrap w:val="0"/>
            <w:vAlign w:val="center"/>
          </w:tcPr>
          <w:p>
            <w:pPr>
              <w:spacing w:before="100" w:beforeAutospacing="1" w:after="100" w:afterAutospacing="1"/>
              <w:rPr>
                <w:rFonts w:hint="eastAsia" w:ascii="宋体" w:hAnsi="宋体" w:cs="宋体"/>
                <w:color w:val="auto"/>
                <w:szCs w:val="21"/>
              </w:rPr>
            </w:pPr>
            <w:r>
              <w:rPr>
                <w:rFonts w:hint="eastAsia" w:ascii="宋体" w:hAnsi="宋体" w:cs="宋体"/>
                <w:color w:val="auto"/>
                <w:szCs w:val="21"/>
              </w:rPr>
              <w:t>磋商报价超过</w:t>
            </w:r>
            <w:r>
              <w:rPr>
                <w:rFonts w:hint="eastAsia" w:ascii="宋体" w:hAnsi="宋体" w:cs="宋体"/>
                <w:bCs/>
                <w:color w:val="auto"/>
                <w:szCs w:val="21"/>
              </w:rPr>
              <w:t>采购预算价。</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02" w:type="dxa"/>
            <w:vMerge w:val="continue"/>
            <w:noWrap w:val="0"/>
            <w:vAlign w:val="top"/>
          </w:tcPr>
          <w:p>
            <w:pPr>
              <w:adjustRightInd w:val="0"/>
              <w:snapToGrid w:val="0"/>
              <w:spacing w:line="400" w:lineRule="atLeast"/>
              <w:rPr>
                <w:rFonts w:hint="eastAsia" w:ascii="宋体" w:hAnsi="宋体" w:cs="宋体"/>
                <w:color w:val="auto"/>
                <w:szCs w:val="21"/>
              </w:rPr>
            </w:pPr>
          </w:p>
        </w:tc>
        <w:tc>
          <w:tcPr>
            <w:tcW w:w="4727" w:type="dxa"/>
            <w:noWrap w:val="0"/>
            <w:vAlign w:val="center"/>
          </w:tcPr>
          <w:p>
            <w:pPr>
              <w:spacing w:line="320" w:lineRule="exact"/>
              <w:rPr>
                <w:rFonts w:hint="eastAsia" w:ascii="宋体" w:hAnsi="宋体" w:cs="宋体"/>
                <w:color w:val="auto"/>
                <w:szCs w:val="21"/>
              </w:rPr>
            </w:pPr>
            <w:r>
              <w:rPr>
                <w:rFonts w:hint="eastAsia" w:ascii="宋体" w:hAnsi="宋体" w:cs="宋体"/>
                <w:color w:val="auto"/>
                <w:szCs w:val="21"/>
              </w:rPr>
              <w:t>未按磋商文件要求进行法定代表人（负责人）或其委托代理人签章或签字，并盖单位章。</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02" w:type="dxa"/>
            <w:vMerge w:val="continue"/>
            <w:noWrap w:val="0"/>
            <w:vAlign w:val="top"/>
          </w:tcPr>
          <w:p>
            <w:pPr>
              <w:adjustRightInd w:val="0"/>
              <w:snapToGrid w:val="0"/>
              <w:spacing w:line="400" w:lineRule="atLeast"/>
              <w:rPr>
                <w:rFonts w:hint="eastAsia" w:ascii="宋体" w:hAnsi="宋体" w:cs="宋体"/>
                <w:color w:val="auto"/>
                <w:szCs w:val="21"/>
              </w:rPr>
            </w:pPr>
          </w:p>
        </w:tc>
        <w:tc>
          <w:tcPr>
            <w:tcW w:w="4727" w:type="dxa"/>
            <w:noWrap w:val="0"/>
            <w:vAlign w:val="center"/>
          </w:tcPr>
          <w:p>
            <w:pPr>
              <w:spacing w:line="320" w:lineRule="exact"/>
              <w:rPr>
                <w:rFonts w:hint="eastAsia" w:ascii="宋体" w:hAnsi="宋体" w:cs="宋体"/>
                <w:color w:val="auto"/>
                <w:szCs w:val="21"/>
              </w:rPr>
            </w:pPr>
            <w:r>
              <w:rPr>
                <w:rFonts w:hint="eastAsia" w:ascii="宋体" w:hAnsi="宋体" w:cs="宋体"/>
                <w:color w:val="auto"/>
                <w:szCs w:val="21"/>
              </w:rPr>
              <w:t>未按磋商文件要求填写或内容不全、关键内容字迹模糊、无法辨认的。</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02" w:type="dxa"/>
            <w:vMerge w:val="continue"/>
            <w:noWrap w:val="0"/>
            <w:vAlign w:val="top"/>
          </w:tcPr>
          <w:p>
            <w:pPr>
              <w:adjustRightInd w:val="0"/>
              <w:snapToGrid w:val="0"/>
              <w:spacing w:line="400" w:lineRule="atLeast"/>
              <w:rPr>
                <w:rFonts w:hint="eastAsia" w:ascii="宋体" w:hAnsi="宋体" w:cs="宋体"/>
                <w:color w:val="auto"/>
                <w:szCs w:val="21"/>
              </w:rPr>
            </w:pPr>
          </w:p>
        </w:tc>
        <w:tc>
          <w:tcPr>
            <w:tcW w:w="4727" w:type="dxa"/>
            <w:noWrap w:val="0"/>
            <w:vAlign w:val="center"/>
          </w:tcPr>
          <w:p>
            <w:pPr>
              <w:jc w:val="left"/>
              <w:rPr>
                <w:rFonts w:hint="eastAsia" w:ascii="宋体" w:hAnsi="宋体" w:cs="宋体"/>
                <w:color w:val="auto"/>
                <w:szCs w:val="21"/>
              </w:rPr>
            </w:pPr>
            <w:r>
              <w:rPr>
                <w:rFonts w:hint="eastAsia" w:ascii="宋体" w:hAnsi="宋体" w:cs="宋体"/>
                <w:color w:val="auto"/>
                <w:szCs w:val="21"/>
              </w:rPr>
              <w:t>递交两份或多份内容不同的响应文件,或在一份响应文件中对同一磋商项目报有两个或多个报价,且未声明哪一个有效。</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02" w:type="dxa"/>
            <w:vMerge w:val="continue"/>
            <w:noWrap w:val="0"/>
            <w:vAlign w:val="top"/>
          </w:tcPr>
          <w:p>
            <w:pPr>
              <w:adjustRightInd w:val="0"/>
              <w:snapToGrid w:val="0"/>
              <w:spacing w:line="400" w:lineRule="atLeast"/>
              <w:rPr>
                <w:rFonts w:hint="eastAsia" w:ascii="宋体" w:hAnsi="宋体" w:cs="宋体"/>
                <w:color w:val="auto"/>
                <w:szCs w:val="21"/>
              </w:rPr>
            </w:pPr>
          </w:p>
        </w:tc>
        <w:tc>
          <w:tcPr>
            <w:tcW w:w="4727" w:type="dxa"/>
            <w:noWrap w:val="0"/>
            <w:vAlign w:val="center"/>
          </w:tcPr>
          <w:p>
            <w:pPr>
              <w:jc w:val="left"/>
              <w:rPr>
                <w:rFonts w:hint="eastAsia" w:ascii="宋体" w:hAnsi="宋体" w:cs="宋体"/>
                <w:color w:val="auto"/>
                <w:szCs w:val="21"/>
              </w:rPr>
            </w:pPr>
            <w:r>
              <w:rPr>
                <w:rFonts w:hint="eastAsia" w:ascii="宋体" w:hAnsi="宋体" w:cs="宋体"/>
                <w:color w:val="auto"/>
                <w:szCs w:val="21"/>
              </w:rPr>
              <w:t>响应文件载明的磋商项目完成期限超过磋商文件规定的期限的。</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tcBorders>
              <w:bottom w:val="single" w:color="auto" w:sz="4" w:space="0"/>
            </w:tcBorders>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02" w:type="dxa"/>
            <w:vMerge w:val="continue"/>
            <w:noWrap w:val="0"/>
            <w:vAlign w:val="center"/>
          </w:tcPr>
          <w:p>
            <w:pPr>
              <w:adjustRightInd w:val="0"/>
              <w:snapToGrid w:val="0"/>
              <w:spacing w:line="400" w:lineRule="atLeast"/>
              <w:rPr>
                <w:rFonts w:hint="eastAsia" w:ascii="宋体" w:hAnsi="宋体" w:cs="宋体"/>
                <w:color w:val="auto"/>
                <w:szCs w:val="21"/>
              </w:rPr>
            </w:pPr>
          </w:p>
        </w:tc>
        <w:tc>
          <w:tcPr>
            <w:tcW w:w="4727" w:type="dxa"/>
            <w:noWrap w:val="0"/>
            <w:vAlign w:val="center"/>
          </w:tcPr>
          <w:p>
            <w:pPr>
              <w:spacing w:before="100" w:beforeAutospacing="1" w:after="100" w:afterAutospacing="1"/>
              <w:rPr>
                <w:rFonts w:hint="eastAsia" w:ascii="宋体" w:hAnsi="宋体" w:cs="宋体"/>
                <w:color w:val="auto"/>
                <w:szCs w:val="21"/>
              </w:rPr>
            </w:pPr>
            <w:r>
              <w:rPr>
                <w:rFonts w:hint="eastAsia" w:ascii="宋体" w:hAnsi="宋体" w:cs="宋体"/>
                <w:color w:val="auto"/>
                <w:szCs w:val="21"/>
              </w:rPr>
              <w:t>不符合磋商文件的其它实质性要求。</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129" w:type="dxa"/>
            <w:gridSpan w:val="2"/>
            <w:noWrap w:val="0"/>
            <w:vAlign w:val="center"/>
          </w:tcPr>
          <w:p>
            <w:pPr>
              <w:adjustRightInd w:val="0"/>
              <w:snapToGrid w:val="0"/>
              <w:spacing w:line="400" w:lineRule="atLeast"/>
              <w:jc w:val="center"/>
              <w:rPr>
                <w:rFonts w:hint="eastAsia" w:ascii="宋体" w:hAnsi="宋体" w:cs="宋体"/>
                <w:bCs/>
                <w:color w:val="auto"/>
                <w:szCs w:val="21"/>
              </w:rPr>
            </w:pPr>
            <w:r>
              <w:rPr>
                <w:rFonts w:hint="eastAsia" w:ascii="宋体" w:hAnsi="宋体" w:cs="宋体"/>
                <w:bCs/>
                <w:color w:val="auto"/>
                <w:szCs w:val="21"/>
              </w:rPr>
              <w:t>细微偏差</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noWrap w:val="0"/>
            <w:vAlign w:val="top"/>
          </w:tcPr>
          <w:p>
            <w:pPr>
              <w:adjustRightInd w:val="0"/>
              <w:snapToGrid w:val="0"/>
              <w:spacing w:line="40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129" w:type="dxa"/>
            <w:gridSpan w:val="2"/>
            <w:noWrap w:val="0"/>
            <w:vAlign w:val="center"/>
          </w:tcPr>
          <w:p>
            <w:pPr>
              <w:adjustRightInd w:val="0"/>
              <w:snapToGrid w:val="0"/>
              <w:spacing w:line="400" w:lineRule="atLeast"/>
              <w:jc w:val="center"/>
              <w:rPr>
                <w:rFonts w:hint="eastAsia" w:ascii="宋体" w:hAnsi="宋体" w:cs="宋体"/>
                <w:color w:val="auto"/>
                <w:szCs w:val="21"/>
              </w:rPr>
            </w:pPr>
            <w:r>
              <w:rPr>
                <w:rFonts w:hint="eastAsia" w:ascii="宋体" w:hAnsi="宋体" w:cs="宋体"/>
                <w:color w:val="auto"/>
                <w:szCs w:val="21"/>
              </w:rPr>
              <w:t>评  审  结  论</w:t>
            </w: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992" w:type="dxa"/>
            <w:noWrap w:val="0"/>
            <w:vAlign w:val="top"/>
          </w:tcPr>
          <w:p>
            <w:pPr>
              <w:adjustRightInd w:val="0"/>
              <w:snapToGrid w:val="0"/>
              <w:spacing w:line="400" w:lineRule="atLeast"/>
              <w:rPr>
                <w:rFonts w:hint="eastAsia" w:ascii="宋体" w:hAnsi="宋体" w:cs="宋体"/>
                <w:color w:val="auto"/>
                <w:szCs w:val="21"/>
              </w:rPr>
            </w:pPr>
          </w:p>
        </w:tc>
        <w:tc>
          <w:tcPr>
            <w:tcW w:w="866" w:type="dxa"/>
            <w:noWrap w:val="0"/>
            <w:vAlign w:val="top"/>
          </w:tcPr>
          <w:p>
            <w:pPr>
              <w:adjustRightInd w:val="0"/>
              <w:snapToGrid w:val="0"/>
              <w:spacing w:line="400" w:lineRule="atLeast"/>
              <w:rPr>
                <w:rFonts w:hint="eastAsia" w:ascii="宋体" w:hAnsi="宋体" w:cs="宋体"/>
                <w:color w:val="auto"/>
                <w:szCs w:val="21"/>
              </w:rPr>
            </w:pPr>
          </w:p>
        </w:tc>
        <w:tc>
          <w:tcPr>
            <w:tcW w:w="1993" w:type="dxa"/>
            <w:vMerge w:val="continue"/>
            <w:noWrap w:val="0"/>
            <w:vAlign w:val="top"/>
          </w:tcPr>
          <w:p>
            <w:pPr>
              <w:adjustRightInd w:val="0"/>
              <w:snapToGrid w:val="0"/>
              <w:spacing w:line="400" w:lineRule="atLeast"/>
              <w:rPr>
                <w:rFonts w:hint="eastAsia" w:ascii="宋体" w:hAnsi="宋体" w:cs="宋体"/>
                <w:color w:val="auto"/>
                <w:szCs w:val="21"/>
              </w:rPr>
            </w:pPr>
          </w:p>
        </w:tc>
      </w:tr>
    </w:tbl>
    <w:p>
      <w:pPr>
        <w:adjustRightInd w:val="0"/>
        <w:snapToGrid w:val="0"/>
        <w:spacing w:line="360" w:lineRule="auto"/>
        <w:rPr>
          <w:rFonts w:hint="eastAsia" w:ascii="宋体" w:hAnsi="宋体" w:cs="宋体"/>
          <w:b/>
          <w:color w:val="auto"/>
          <w:sz w:val="24"/>
        </w:rPr>
      </w:pPr>
      <w:r>
        <w:rPr>
          <w:rFonts w:hint="eastAsia" w:ascii="宋体" w:hAnsi="宋体" w:cs="宋体"/>
          <w:color w:val="auto"/>
          <w:szCs w:val="21"/>
        </w:rPr>
        <w:t>注：本表内评审内容对应填写“是”或“否”；评审结论对应填写“不通过”或“通过”。若有一项评审内容为“是”则评审结论为“不通过”。</w:t>
      </w:r>
    </w:p>
    <w:p>
      <w:pPr>
        <w:rPr>
          <w:rFonts w:hint="eastAsia"/>
          <w:color w:val="auto"/>
        </w:rPr>
      </w:pPr>
    </w:p>
    <w:p>
      <w:pPr>
        <w:pStyle w:val="4"/>
        <w:rPr>
          <w:rStyle w:val="9"/>
          <w:rFonts w:ascii="宋体" w:hAnsi="宋体" w:cs="宋体"/>
          <w:color w:val="auto"/>
        </w:rPr>
      </w:pPr>
    </w:p>
    <w:p>
      <w:pPr>
        <w:rPr>
          <w:color w:val="auto"/>
        </w:rPr>
      </w:pPr>
    </w:p>
    <w:p>
      <w:pPr>
        <w:rPr>
          <w:color w:val="auto"/>
        </w:rPr>
      </w:pPr>
    </w:p>
    <w:p>
      <w:pPr>
        <w:rPr>
          <w:color w:val="auto"/>
        </w:rPr>
      </w:pPr>
    </w:p>
    <w:p>
      <w:pPr>
        <w:rPr>
          <w:color w:val="auto"/>
        </w:rPr>
      </w:pPr>
    </w:p>
    <w:p>
      <w:pPr>
        <w:pStyle w:val="5"/>
        <w:tabs>
          <w:tab w:val="left" w:pos="2472"/>
        </w:tabs>
        <w:adjustRightInd w:val="0"/>
        <w:snapToGrid w:val="0"/>
        <w:spacing w:line="360" w:lineRule="auto"/>
        <w:ind w:firstLine="562" w:firstLineChars="200"/>
        <w:jc w:val="center"/>
        <w:rPr>
          <w:rFonts w:hint="eastAsia" w:hAnsi="宋体" w:cs="宋体"/>
          <w:b/>
          <w:color w:val="auto"/>
          <w:sz w:val="28"/>
        </w:rPr>
      </w:pPr>
      <w:r>
        <w:rPr>
          <w:rFonts w:hint="eastAsia" w:hAnsi="宋体" w:cs="宋体"/>
          <w:b/>
          <w:color w:val="auto"/>
          <w:sz w:val="28"/>
        </w:rPr>
        <w:t>附表三：评分细则表</w:t>
      </w:r>
    </w:p>
    <w:p>
      <w:pPr>
        <w:rPr>
          <w:color w:val="auto"/>
        </w:rPr>
      </w:pPr>
    </w:p>
    <w:tbl>
      <w:tblPr>
        <w:tblStyle w:val="6"/>
        <w:tblpPr w:leftFromText="180" w:rightFromText="180" w:vertAnchor="text" w:horzAnchor="page" w:tblpX="1261" w:tblpY="645"/>
        <w:tblOverlap w:val="never"/>
        <w:tblW w:w="9538" w:type="dxa"/>
        <w:tblInd w:w="0" w:type="dxa"/>
        <w:tblLayout w:type="fixed"/>
        <w:tblCellMar>
          <w:top w:w="0" w:type="dxa"/>
          <w:left w:w="108" w:type="dxa"/>
          <w:bottom w:w="0" w:type="dxa"/>
          <w:right w:w="108" w:type="dxa"/>
        </w:tblCellMar>
      </w:tblPr>
      <w:tblGrid>
        <w:gridCol w:w="462"/>
        <w:gridCol w:w="286"/>
        <w:gridCol w:w="786"/>
        <w:gridCol w:w="942"/>
        <w:gridCol w:w="731"/>
        <w:gridCol w:w="6331"/>
      </w:tblGrid>
      <w:tr>
        <w:tblPrEx>
          <w:tblCellMar>
            <w:top w:w="0" w:type="dxa"/>
            <w:left w:w="108" w:type="dxa"/>
            <w:bottom w:w="0" w:type="dxa"/>
            <w:right w:w="108" w:type="dxa"/>
          </w:tblCellMar>
        </w:tblPrEx>
        <w:trPr>
          <w:trHeight w:val="421" w:hRule="atLeast"/>
        </w:trPr>
        <w:tc>
          <w:tcPr>
            <w:tcW w:w="748" w:type="dxa"/>
            <w:gridSpan w:val="2"/>
            <w:vMerge w:val="restart"/>
            <w:tcBorders>
              <w:top w:val="single" w:color="auto" w:sz="4" w:space="0"/>
              <w:left w:val="single" w:color="auto" w:sz="4" w:space="0"/>
              <w:right w:val="single" w:color="auto" w:sz="4" w:space="0"/>
            </w:tcBorders>
            <w:noWrap w:val="0"/>
            <w:vAlign w:val="center"/>
          </w:tcPr>
          <w:p>
            <w:pPr>
              <w:rPr>
                <w:rFonts w:ascii="宋体" w:hAnsi="宋体" w:cs="宋体"/>
                <w:b/>
                <w:bCs/>
                <w:iCs/>
                <w:color w:val="auto"/>
                <w:szCs w:val="21"/>
              </w:rPr>
            </w:pPr>
            <w:r>
              <w:rPr>
                <w:rFonts w:hint="eastAsia" w:ascii="宋体" w:hAnsi="宋体" w:cs="宋体"/>
                <w:b/>
                <w:bCs/>
                <w:iCs/>
                <w:color w:val="auto"/>
                <w:szCs w:val="21"/>
              </w:rPr>
              <w:t>序号</w:t>
            </w:r>
          </w:p>
        </w:tc>
        <w:tc>
          <w:tcPr>
            <w:tcW w:w="2459" w:type="dxa"/>
            <w:gridSpan w:val="3"/>
            <w:vMerge w:val="restart"/>
            <w:tcBorders>
              <w:top w:val="single" w:color="auto" w:sz="4" w:space="0"/>
              <w:left w:val="nil"/>
              <w:right w:val="single" w:color="auto" w:sz="4" w:space="0"/>
            </w:tcBorders>
            <w:noWrap w:val="0"/>
            <w:vAlign w:val="center"/>
          </w:tcPr>
          <w:p>
            <w:pPr>
              <w:jc w:val="center"/>
              <w:rPr>
                <w:rFonts w:ascii="宋体" w:hAnsi="宋体" w:cs="宋体"/>
                <w:b/>
                <w:bCs/>
                <w:iCs/>
                <w:color w:val="auto"/>
                <w:szCs w:val="21"/>
              </w:rPr>
            </w:pPr>
            <w:r>
              <w:rPr>
                <w:rFonts w:hint="eastAsia" w:ascii="宋体" w:hAnsi="宋体" w:cs="宋体"/>
                <w:b/>
                <w:bCs/>
                <w:iCs/>
                <w:color w:val="auto"/>
                <w:szCs w:val="21"/>
              </w:rPr>
              <w:t>评审项目</w:t>
            </w:r>
          </w:p>
        </w:tc>
        <w:tc>
          <w:tcPr>
            <w:tcW w:w="63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iCs/>
                <w:color w:val="auto"/>
                <w:szCs w:val="21"/>
              </w:rPr>
            </w:pPr>
            <w:r>
              <w:rPr>
                <w:rFonts w:hint="eastAsia" w:ascii="宋体" w:hAnsi="宋体" w:cs="宋体"/>
                <w:b/>
                <w:color w:val="auto"/>
                <w:szCs w:val="21"/>
              </w:rPr>
              <w:t>评分标准</w:t>
            </w:r>
          </w:p>
        </w:tc>
      </w:tr>
      <w:tr>
        <w:tblPrEx>
          <w:tblCellMar>
            <w:top w:w="0" w:type="dxa"/>
            <w:left w:w="108" w:type="dxa"/>
            <w:bottom w:w="0" w:type="dxa"/>
            <w:right w:w="108" w:type="dxa"/>
          </w:tblCellMar>
        </w:tblPrEx>
        <w:trPr>
          <w:trHeight w:val="421" w:hRule="atLeast"/>
        </w:trPr>
        <w:tc>
          <w:tcPr>
            <w:tcW w:w="748" w:type="dxa"/>
            <w:gridSpan w:val="2"/>
            <w:vMerge w:val="continue"/>
            <w:tcBorders>
              <w:left w:val="single" w:color="auto" w:sz="4" w:space="0"/>
              <w:right w:val="single" w:color="auto" w:sz="4" w:space="0"/>
            </w:tcBorders>
            <w:noWrap w:val="0"/>
            <w:vAlign w:val="center"/>
          </w:tcPr>
          <w:p>
            <w:pPr>
              <w:rPr>
                <w:rFonts w:ascii="宋体" w:hAnsi="宋体" w:cs="宋体"/>
                <w:bCs/>
                <w:iCs/>
                <w:color w:val="auto"/>
                <w:szCs w:val="21"/>
              </w:rPr>
            </w:pPr>
          </w:p>
        </w:tc>
        <w:tc>
          <w:tcPr>
            <w:tcW w:w="2459" w:type="dxa"/>
            <w:gridSpan w:val="3"/>
            <w:vMerge w:val="continue"/>
            <w:tcBorders>
              <w:left w:val="nil"/>
              <w:right w:val="single" w:color="auto" w:sz="4" w:space="0"/>
            </w:tcBorders>
            <w:noWrap w:val="0"/>
            <w:vAlign w:val="top"/>
          </w:tcPr>
          <w:p>
            <w:pPr>
              <w:rPr>
                <w:rFonts w:ascii="宋体" w:hAnsi="宋体" w:cs="宋体"/>
                <w:bCs/>
                <w:iCs/>
                <w:color w:val="auto"/>
                <w:szCs w:val="21"/>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pacing w:val="50"/>
                <w:szCs w:val="21"/>
              </w:rPr>
              <w:t>商务部分F1</w:t>
            </w:r>
          </w:p>
        </w:tc>
      </w:tr>
      <w:tr>
        <w:tblPrEx>
          <w:tblCellMar>
            <w:top w:w="0" w:type="dxa"/>
            <w:left w:w="108" w:type="dxa"/>
            <w:bottom w:w="0" w:type="dxa"/>
            <w:right w:w="108" w:type="dxa"/>
          </w:tblCellMar>
        </w:tblPrEx>
        <w:trPr>
          <w:trHeight w:val="421" w:hRule="atLeast"/>
        </w:trPr>
        <w:tc>
          <w:tcPr>
            <w:tcW w:w="748" w:type="dxa"/>
            <w:gridSpan w:val="2"/>
            <w:vMerge w:val="continue"/>
            <w:tcBorders>
              <w:left w:val="single" w:color="auto" w:sz="4" w:space="0"/>
              <w:bottom w:val="single" w:color="auto" w:sz="4" w:space="0"/>
              <w:right w:val="single" w:color="auto" w:sz="4" w:space="0"/>
            </w:tcBorders>
            <w:noWrap w:val="0"/>
            <w:vAlign w:val="center"/>
          </w:tcPr>
          <w:p>
            <w:pPr>
              <w:rPr>
                <w:rFonts w:ascii="宋体" w:hAnsi="宋体" w:cs="宋体"/>
                <w:bCs/>
                <w:iCs/>
                <w:color w:val="auto"/>
                <w:szCs w:val="21"/>
              </w:rPr>
            </w:pPr>
          </w:p>
        </w:tc>
        <w:tc>
          <w:tcPr>
            <w:tcW w:w="2459" w:type="dxa"/>
            <w:gridSpan w:val="3"/>
            <w:vMerge w:val="continue"/>
            <w:tcBorders>
              <w:left w:val="nil"/>
              <w:bottom w:val="single" w:color="auto" w:sz="4" w:space="0"/>
              <w:right w:val="single" w:color="auto" w:sz="4" w:space="0"/>
            </w:tcBorders>
            <w:noWrap w:val="0"/>
            <w:vAlign w:val="top"/>
          </w:tcPr>
          <w:p>
            <w:pPr>
              <w:rPr>
                <w:rFonts w:ascii="宋体" w:hAnsi="宋体" w:cs="宋体"/>
                <w:bCs/>
                <w:iCs/>
                <w:color w:val="auto"/>
                <w:szCs w:val="21"/>
              </w:rPr>
            </w:pPr>
          </w:p>
        </w:tc>
        <w:tc>
          <w:tcPr>
            <w:tcW w:w="63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pacing w:val="50"/>
                <w:szCs w:val="21"/>
              </w:rPr>
            </w:pPr>
            <w:r>
              <w:rPr>
                <w:rFonts w:hint="eastAsia" w:ascii="宋体" w:hAnsi="宋体" w:cs="宋体"/>
                <w:color w:val="auto"/>
                <w:spacing w:val="50"/>
                <w:szCs w:val="21"/>
              </w:rPr>
              <w:t>技术部分F2</w:t>
            </w:r>
          </w:p>
        </w:tc>
      </w:tr>
      <w:tr>
        <w:tblPrEx>
          <w:tblCellMar>
            <w:top w:w="0" w:type="dxa"/>
            <w:left w:w="108" w:type="dxa"/>
            <w:bottom w:w="0" w:type="dxa"/>
            <w:right w:w="108" w:type="dxa"/>
          </w:tblCellMar>
        </w:tblPrEx>
        <w:trPr>
          <w:trHeight w:val="430" w:hRule="atLeast"/>
        </w:trPr>
        <w:tc>
          <w:tcPr>
            <w:tcW w:w="320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iCs/>
                <w:color w:val="auto"/>
                <w:szCs w:val="21"/>
              </w:rPr>
            </w:pPr>
            <w:r>
              <w:rPr>
                <w:rFonts w:hint="eastAsia" w:ascii="宋体" w:hAnsi="宋体" w:cs="宋体"/>
                <w:b/>
                <w:bCs/>
                <w:iCs/>
                <w:color w:val="auto"/>
                <w:szCs w:val="21"/>
              </w:rPr>
              <w:t>总得分</w:t>
            </w:r>
          </w:p>
        </w:tc>
        <w:tc>
          <w:tcPr>
            <w:tcW w:w="63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iCs/>
                <w:color w:val="auto"/>
                <w:szCs w:val="21"/>
              </w:rPr>
            </w:pPr>
            <w:r>
              <w:rPr>
                <w:rFonts w:hint="eastAsia" w:ascii="宋体" w:hAnsi="宋体" w:cs="宋体"/>
                <w:color w:val="auto"/>
                <w:spacing w:val="50"/>
                <w:szCs w:val="21"/>
              </w:rPr>
              <w:t>总得分＝F1＋F2=100分</w:t>
            </w:r>
          </w:p>
        </w:tc>
      </w:tr>
      <w:tr>
        <w:tblPrEx>
          <w:tblCellMar>
            <w:top w:w="0" w:type="dxa"/>
            <w:left w:w="108" w:type="dxa"/>
            <w:bottom w:w="0" w:type="dxa"/>
            <w:right w:w="108" w:type="dxa"/>
          </w:tblCellMar>
        </w:tblPrEx>
        <w:trPr>
          <w:trHeight w:val="440" w:hRule="atLeast"/>
        </w:trPr>
        <w:tc>
          <w:tcPr>
            <w:tcW w:w="953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iCs/>
                <w:color w:val="auto"/>
                <w:szCs w:val="21"/>
              </w:rPr>
            </w:pPr>
            <w:r>
              <w:rPr>
                <w:rFonts w:hint="eastAsia" w:ascii="宋体" w:hAnsi="宋体" w:cs="宋体"/>
                <w:b/>
                <w:bCs/>
                <w:color w:val="auto"/>
                <w:szCs w:val="21"/>
              </w:rPr>
              <w:t>（一）</w:t>
            </w:r>
            <w:r>
              <w:rPr>
                <w:rFonts w:hint="eastAsia" w:ascii="宋体" w:hAnsi="宋体" w:cs="宋体"/>
                <w:b/>
                <w:color w:val="auto"/>
                <w:szCs w:val="21"/>
              </w:rPr>
              <w:t>商务部分F1（20分）</w:t>
            </w:r>
          </w:p>
        </w:tc>
      </w:tr>
      <w:tr>
        <w:tblPrEx>
          <w:tblCellMar>
            <w:top w:w="0" w:type="dxa"/>
            <w:left w:w="108" w:type="dxa"/>
            <w:bottom w:w="0" w:type="dxa"/>
            <w:right w:w="108" w:type="dxa"/>
          </w:tblCellMar>
        </w:tblPrEx>
        <w:trPr>
          <w:trHeight w:val="1375" w:hRule="atLeast"/>
        </w:trPr>
        <w:tc>
          <w:tcPr>
            <w:tcW w:w="9538" w:type="dxa"/>
            <w:gridSpan w:val="6"/>
            <w:tcBorders>
              <w:top w:val="single" w:color="auto" w:sz="4" w:space="0"/>
              <w:left w:val="single" w:color="auto" w:sz="4" w:space="0"/>
              <w:bottom w:val="single" w:color="auto" w:sz="4" w:space="0"/>
              <w:right w:val="single" w:color="auto" w:sz="4" w:space="0"/>
            </w:tcBorders>
            <w:noWrap w:val="0"/>
            <w:vAlign w:val="center"/>
          </w:tcPr>
          <w:p>
            <w:pPr>
              <w:pStyle w:val="4"/>
              <w:adjustRightInd w:val="0"/>
              <w:snapToGrid w:val="0"/>
              <w:spacing w:line="288" w:lineRule="auto"/>
              <w:rPr>
                <w:rFonts w:hint="eastAsia" w:ascii="宋体" w:hAnsi="宋体" w:cs="宋体"/>
                <w:color w:val="auto"/>
                <w:sz w:val="21"/>
                <w:szCs w:val="21"/>
              </w:rPr>
            </w:pPr>
            <w:r>
              <w:rPr>
                <w:rFonts w:hint="eastAsia" w:ascii="宋体" w:hAnsi="宋体" w:cs="宋体"/>
                <w:color w:val="auto"/>
                <w:sz w:val="21"/>
                <w:szCs w:val="21"/>
              </w:rPr>
              <w:t>满足磋商文件要求且最终评审价最低的供应商的价格为磋商基准价，其价格分为满分。其他供应商的价格分统一按照下列公式计算：</w:t>
            </w:r>
          </w:p>
          <w:p>
            <w:pPr>
              <w:pStyle w:val="4"/>
              <w:adjustRightInd w:val="0"/>
              <w:snapToGrid w:val="0"/>
              <w:spacing w:line="288" w:lineRule="auto"/>
              <w:rPr>
                <w:rFonts w:ascii="宋体" w:hAnsi="宋体" w:cs="宋体"/>
                <w:color w:val="auto"/>
                <w:sz w:val="21"/>
                <w:szCs w:val="21"/>
              </w:rPr>
            </w:pPr>
            <w:r>
              <w:rPr>
                <w:rFonts w:hint="eastAsia" w:ascii="宋体" w:hAnsi="宋体" w:cs="宋体"/>
                <w:color w:val="auto"/>
                <w:sz w:val="21"/>
                <w:szCs w:val="21"/>
              </w:rPr>
              <w:t>磋商报价得分=（磋商基准价/最终评审价）×20%×100</w:t>
            </w:r>
          </w:p>
          <w:p>
            <w:pPr>
              <w:spacing w:line="288" w:lineRule="auto"/>
              <w:rPr>
                <w:rFonts w:hint="eastAsia" w:ascii="宋体" w:hAnsi="宋体" w:cs="宋体"/>
                <w:color w:val="auto"/>
                <w:szCs w:val="21"/>
              </w:rPr>
            </w:pPr>
            <w:r>
              <w:rPr>
                <w:rFonts w:hint="eastAsia" w:ascii="宋体" w:hAnsi="宋体" w:cs="宋体"/>
                <w:color w:val="auto"/>
                <w:szCs w:val="21"/>
              </w:rPr>
              <w:t>项目评审过程中，不得去掉最后报价中的最高报价和最低报价。</w:t>
            </w:r>
          </w:p>
          <w:p>
            <w:pPr>
              <w:spacing w:line="288" w:lineRule="auto"/>
              <w:rPr>
                <w:color w:val="auto"/>
                <w:szCs w:val="21"/>
              </w:rPr>
            </w:pPr>
            <w:r>
              <w:rPr>
                <w:rFonts w:hint="eastAsia" w:ascii="宋体" w:hAnsi="宋体" w:cs="宋体"/>
                <w:color w:val="auto"/>
                <w:szCs w:val="21"/>
              </w:rPr>
              <w:t>注：本项目针对符合条件的小型和微型服务商，在投标报价竞争时给予投标报价10%的优惠，用优惠后的投标报价参与投标报价竞争</w:t>
            </w:r>
            <w:r>
              <w:rPr>
                <w:rFonts w:hint="eastAsia" w:hAnsi="宋体" w:cs="宋体"/>
                <w:color w:val="auto"/>
                <w:szCs w:val="21"/>
              </w:rPr>
              <w:t>，</w:t>
            </w:r>
            <w:r>
              <w:rPr>
                <w:rFonts w:hint="eastAsia" w:ascii="宋体" w:hAnsi="宋体" w:cs="宋体"/>
                <w:color w:val="auto"/>
                <w:szCs w:val="21"/>
              </w:rPr>
              <w:t>残疾人福利性单位属于小型、微型企业的，不重复享受政策。</w:t>
            </w:r>
          </w:p>
        </w:tc>
      </w:tr>
      <w:tr>
        <w:tblPrEx>
          <w:tblCellMar>
            <w:top w:w="0" w:type="dxa"/>
            <w:left w:w="108" w:type="dxa"/>
            <w:bottom w:w="0" w:type="dxa"/>
            <w:right w:w="108" w:type="dxa"/>
          </w:tblCellMar>
        </w:tblPrEx>
        <w:trPr>
          <w:trHeight w:val="383" w:hRule="atLeast"/>
        </w:trPr>
        <w:tc>
          <w:tcPr>
            <w:tcW w:w="953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hint="eastAsia" w:ascii="宋体" w:hAnsi="宋体" w:cs="宋体"/>
                <w:b/>
                <w:bCs/>
                <w:color w:val="auto"/>
                <w:szCs w:val="21"/>
              </w:rPr>
              <w:t>（二）</w:t>
            </w:r>
            <w:r>
              <w:rPr>
                <w:rFonts w:hint="eastAsia" w:ascii="宋体" w:hAnsi="宋体" w:cs="宋体"/>
                <w:b/>
                <w:color w:val="auto"/>
                <w:szCs w:val="21"/>
              </w:rPr>
              <w:t>技术部分F2(80分)</w:t>
            </w:r>
          </w:p>
        </w:tc>
      </w:tr>
      <w:tr>
        <w:tblPrEx>
          <w:tblCellMar>
            <w:top w:w="0" w:type="dxa"/>
            <w:left w:w="108" w:type="dxa"/>
            <w:bottom w:w="0" w:type="dxa"/>
            <w:right w:w="108" w:type="dxa"/>
          </w:tblCellMar>
        </w:tblPrEx>
        <w:trPr>
          <w:trHeight w:val="90" w:hRule="atLeast"/>
        </w:trPr>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iCs/>
                <w:color w:val="auto"/>
                <w:szCs w:val="21"/>
              </w:rPr>
            </w:pPr>
            <w:r>
              <w:rPr>
                <w:rFonts w:hint="eastAsia" w:ascii="宋体" w:hAnsi="宋体" w:cs="宋体"/>
                <w:bCs/>
                <w:iCs/>
                <w:color w:val="auto"/>
                <w:szCs w:val="21"/>
              </w:rPr>
              <w:t>序号</w:t>
            </w:r>
          </w:p>
        </w:tc>
        <w:tc>
          <w:tcPr>
            <w:tcW w:w="1072" w:type="dxa"/>
            <w:gridSpan w:val="2"/>
            <w:tcBorders>
              <w:top w:val="single" w:color="auto" w:sz="4" w:space="0"/>
              <w:left w:val="nil"/>
              <w:bottom w:val="single" w:color="auto" w:sz="4" w:space="0"/>
              <w:right w:val="single" w:color="auto" w:sz="4" w:space="0"/>
            </w:tcBorders>
            <w:noWrap w:val="0"/>
            <w:vAlign w:val="center"/>
          </w:tcPr>
          <w:p>
            <w:pPr>
              <w:rPr>
                <w:rFonts w:ascii="Calibri" w:hAnsi="Calibri"/>
                <w:color w:val="auto"/>
                <w:szCs w:val="21"/>
                <w:lang w:bidi="zh-CN"/>
              </w:rPr>
            </w:pPr>
            <w:r>
              <w:rPr>
                <w:rFonts w:hint="eastAsia" w:ascii="Calibri" w:hAnsi="Calibri"/>
                <w:color w:val="auto"/>
                <w:szCs w:val="21"/>
                <w:lang w:bidi="zh-CN"/>
              </w:rPr>
              <w:t>评审内容</w:t>
            </w:r>
          </w:p>
        </w:tc>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color w:val="auto"/>
                <w:szCs w:val="21"/>
                <w:lang w:bidi="zh-CN"/>
              </w:rPr>
            </w:pPr>
            <w:r>
              <w:rPr>
                <w:rFonts w:hint="eastAsia" w:ascii="Calibri" w:hAnsi="Calibri"/>
                <w:color w:val="auto"/>
                <w:szCs w:val="21"/>
                <w:lang w:bidi="zh-CN"/>
              </w:rPr>
              <w:t>分值</w:t>
            </w:r>
          </w:p>
        </w:tc>
        <w:tc>
          <w:tcPr>
            <w:tcW w:w="7062" w:type="dxa"/>
            <w:gridSpan w:val="2"/>
            <w:tcBorders>
              <w:top w:val="single" w:color="auto" w:sz="4" w:space="0"/>
              <w:left w:val="nil"/>
              <w:bottom w:val="single" w:color="auto" w:sz="4" w:space="0"/>
              <w:right w:val="single" w:color="auto" w:sz="4" w:space="0"/>
            </w:tcBorders>
            <w:noWrap w:val="0"/>
            <w:vAlign w:val="center"/>
          </w:tcPr>
          <w:p>
            <w:pPr>
              <w:rPr>
                <w:rFonts w:ascii="Calibri" w:hAnsi="Calibri"/>
                <w:color w:val="auto"/>
                <w:szCs w:val="21"/>
                <w:lang w:bidi="zh-CN"/>
              </w:rPr>
            </w:pPr>
            <w:r>
              <w:rPr>
                <w:rFonts w:hint="eastAsia" w:ascii="Calibri" w:hAnsi="Calibri"/>
                <w:color w:val="auto"/>
                <w:szCs w:val="21"/>
                <w:lang w:bidi="zh-CN"/>
              </w:rPr>
              <w:t>评分细则</w:t>
            </w:r>
          </w:p>
        </w:tc>
      </w:tr>
      <w:tr>
        <w:tblPrEx>
          <w:tblCellMar>
            <w:top w:w="0" w:type="dxa"/>
            <w:left w:w="108" w:type="dxa"/>
            <w:bottom w:w="0" w:type="dxa"/>
            <w:right w:w="108" w:type="dxa"/>
          </w:tblCellMar>
        </w:tblPrEx>
        <w:trPr>
          <w:trHeight w:val="90" w:hRule="atLeast"/>
        </w:trPr>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iCs/>
                <w:color w:val="auto"/>
                <w:szCs w:val="21"/>
              </w:rPr>
            </w:pPr>
            <w:r>
              <w:rPr>
                <w:rFonts w:hint="eastAsia" w:ascii="宋体" w:hAnsi="宋体" w:cs="宋体"/>
                <w:bCs/>
                <w:iCs/>
                <w:color w:val="auto"/>
                <w:szCs w:val="21"/>
              </w:rPr>
              <w:t>1</w:t>
            </w:r>
          </w:p>
        </w:tc>
        <w:tc>
          <w:tcPr>
            <w:tcW w:w="1072" w:type="dxa"/>
            <w:gridSpan w:val="2"/>
            <w:tcBorders>
              <w:top w:val="single" w:color="auto" w:sz="4" w:space="0"/>
              <w:left w:val="nil"/>
              <w:bottom w:val="single" w:color="auto" w:sz="4" w:space="0"/>
              <w:right w:val="single" w:color="auto" w:sz="4" w:space="0"/>
            </w:tcBorders>
            <w:noWrap w:val="0"/>
            <w:vAlign w:val="center"/>
          </w:tcPr>
          <w:p>
            <w:pPr>
              <w:spacing w:line="288" w:lineRule="auto"/>
              <w:rPr>
                <w:rFonts w:hint="eastAsia" w:ascii="Calibri" w:hAnsi="Calibri"/>
                <w:color w:val="auto"/>
                <w:szCs w:val="21"/>
                <w:lang w:val="zh-CN" w:bidi="zh-CN"/>
              </w:rPr>
            </w:pPr>
            <w:r>
              <w:rPr>
                <w:rFonts w:hint="eastAsia" w:ascii="宋体" w:hAnsi="宋体"/>
                <w:bCs/>
                <w:iCs/>
                <w:color w:val="auto"/>
                <w:szCs w:val="21"/>
              </w:rPr>
              <w:t>可行性研究报告编制工作大纲</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Calibri" w:hAnsi="Calibri"/>
                <w:color w:val="auto"/>
                <w:szCs w:val="21"/>
                <w:lang w:bidi="zh-CN"/>
              </w:rPr>
            </w:pPr>
            <w:r>
              <w:rPr>
                <w:rFonts w:hint="eastAsia" w:ascii="宋体" w:hAnsi="宋体" w:cs="宋体"/>
                <w:color w:val="auto"/>
                <w:szCs w:val="21"/>
              </w:rPr>
              <w:t>（满分20分）</w:t>
            </w:r>
          </w:p>
        </w:tc>
        <w:tc>
          <w:tcPr>
            <w:tcW w:w="7062" w:type="dxa"/>
            <w:gridSpan w:val="2"/>
            <w:tcBorders>
              <w:top w:val="single" w:color="auto" w:sz="4" w:space="0"/>
              <w:left w:val="nil"/>
              <w:bottom w:val="single" w:color="auto" w:sz="4" w:space="0"/>
              <w:right w:val="single" w:color="auto" w:sz="4" w:space="0"/>
            </w:tcBorders>
            <w:noWrap w:val="0"/>
            <w:vAlign w:val="center"/>
          </w:tcPr>
          <w:p>
            <w:pPr>
              <w:pStyle w:val="10"/>
              <w:snapToGrid/>
              <w:spacing w:line="320" w:lineRule="exact"/>
              <w:ind w:firstLine="0" w:firstLineChars="0"/>
              <w:rPr>
                <w:rFonts w:hint="eastAsia" w:ascii="宋体" w:hAnsi="宋体" w:cs="宋体"/>
                <w:bCs w:val="0"/>
                <w:color w:val="auto"/>
                <w:spacing w:val="0"/>
                <w:kern w:val="2"/>
                <w:sz w:val="21"/>
                <w:szCs w:val="21"/>
                <w:lang w:val="zh-CN"/>
              </w:rPr>
            </w:pPr>
            <w:r>
              <w:rPr>
                <w:rFonts w:hint="eastAsia" w:ascii="宋体" w:hAnsi="宋体" w:cs="宋体"/>
                <w:bCs w:val="0"/>
                <w:color w:val="auto"/>
                <w:spacing w:val="0"/>
                <w:kern w:val="2"/>
                <w:sz w:val="21"/>
                <w:szCs w:val="21"/>
                <w:lang w:val="zh-CN"/>
              </w:rPr>
              <w:t>（</w:t>
            </w:r>
            <w:r>
              <w:rPr>
                <w:rFonts w:hint="eastAsia" w:ascii="宋体" w:hAnsi="宋体" w:cs="宋体"/>
                <w:bCs w:val="0"/>
                <w:color w:val="auto"/>
                <w:spacing w:val="0"/>
                <w:kern w:val="2"/>
                <w:sz w:val="21"/>
                <w:szCs w:val="21"/>
              </w:rPr>
              <w:t>1</w:t>
            </w:r>
            <w:r>
              <w:rPr>
                <w:rFonts w:hint="eastAsia" w:ascii="宋体" w:hAnsi="宋体" w:cs="宋体"/>
                <w:bCs w:val="0"/>
                <w:color w:val="auto"/>
                <w:spacing w:val="0"/>
                <w:kern w:val="2"/>
                <w:sz w:val="21"/>
                <w:szCs w:val="21"/>
                <w:lang w:val="zh-CN"/>
              </w:rPr>
              <w:t>）可研编制大纲，条理清晰、明确，完全满足采购人的实际需求</w:t>
            </w:r>
            <w:r>
              <w:rPr>
                <w:rFonts w:hint="eastAsia" w:ascii="宋体" w:hAnsi="宋体" w:cs="宋体"/>
                <w:bCs w:val="0"/>
                <w:color w:val="auto"/>
                <w:spacing w:val="0"/>
                <w:kern w:val="2"/>
                <w:sz w:val="21"/>
                <w:szCs w:val="21"/>
              </w:rPr>
              <w:t>的得13-20分</w:t>
            </w:r>
            <w:r>
              <w:rPr>
                <w:rFonts w:hint="eastAsia" w:ascii="宋体" w:hAnsi="宋体" w:cs="宋体"/>
                <w:bCs w:val="0"/>
                <w:color w:val="auto"/>
                <w:spacing w:val="0"/>
                <w:kern w:val="2"/>
                <w:sz w:val="21"/>
                <w:szCs w:val="21"/>
                <w:lang w:val="zh-CN"/>
              </w:rPr>
              <w:t>；</w:t>
            </w:r>
          </w:p>
          <w:p>
            <w:pPr>
              <w:pStyle w:val="10"/>
              <w:snapToGrid/>
              <w:spacing w:line="320" w:lineRule="exact"/>
              <w:ind w:firstLine="0" w:firstLineChars="0"/>
              <w:rPr>
                <w:rFonts w:hint="eastAsia" w:ascii="宋体" w:hAnsi="宋体" w:cs="宋体"/>
                <w:bCs w:val="0"/>
                <w:color w:val="auto"/>
                <w:spacing w:val="0"/>
                <w:kern w:val="2"/>
                <w:sz w:val="21"/>
                <w:szCs w:val="21"/>
                <w:lang w:val="zh-CN"/>
              </w:rPr>
            </w:pPr>
            <w:r>
              <w:rPr>
                <w:rFonts w:hint="eastAsia" w:ascii="宋体" w:hAnsi="宋体" w:cs="宋体"/>
                <w:bCs w:val="0"/>
                <w:color w:val="auto"/>
                <w:spacing w:val="0"/>
                <w:kern w:val="2"/>
                <w:sz w:val="21"/>
                <w:szCs w:val="21"/>
                <w:lang w:val="zh-CN"/>
              </w:rPr>
              <w:t>（</w:t>
            </w:r>
            <w:r>
              <w:rPr>
                <w:rFonts w:hint="eastAsia" w:ascii="宋体" w:hAnsi="宋体" w:cs="宋体"/>
                <w:bCs w:val="0"/>
                <w:color w:val="auto"/>
                <w:spacing w:val="0"/>
                <w:kern w:val="2"/>
                <w:sz w:val="21"/>
                <w:szCs w:val="21"/>
              </w:rPr>
              <w:t>2</w:t>
            </w:r>
            <w:r>
              <w:rPr>
                <w:rFonts w:hint="eastAsia" w:ascii="宋体" w:hAnsi="宋体" w:cs="宋体"/>
                <w:bCs w:val="0"/>
                <w:color w:val="auto"/>
                <w:spacing w:val="0"/>
                <w:kern w:val="2"/>
                <w:sz w:val="21"/>
                <w:szCs w:val="21"/>
                <w:lang w:val="zh-CN"/>
              </w:rPr>
              <w:t>）可研编制大纲，条理清晰、明确，能满足采购人需求</w:t>
            </w:r>
            <w:r>
              <w:rPr>
                <w:rFonts w:hint="eastAsia" w:ascii="宋体" w:hAnsi="宋体" w:cs="宋体"/>
                <w:bCs w:val="0"/>
                <w:color w:val="auto"/>
                <w:spacing w:val="0"/>
                <w:kern w:val="2"/>
                <w:sz w:val="21"/>
                <w:szCs w:val="21"/>
              </w:rPr>
              <w:t>的得7-12分</w:t>
            </w:r>
            <w:r>
              <w:rPr>
                <w:rFonts w:hint="eastAsia" w:ascii="宋体" w:hAnsi="宋体" w:cs="宋体"/>
                <w:bCs w:val="0"/>
                <w:color w:val="auto"/>
                <w:spacing w:val="0"/>
                <w:kern w:val="2"/>
                <w:sz w:val="21"/>
                <w:szCs w:val="21"/>
                <w:lang w:val="zh-CN"/>
              </w:rPr>
              <w:t>；</w:t>
            </w:r>
          </w:p>
          <w:p>
            <w:pPr>
              <w:pStyle w:val="10"/>
              <w:snapToGrid/>
              <w:spacing w:line="320" w:lineRule="exact"/>
              <w:ind w:firstLine="0" w:firstLineChars="0"/>
              <w:rPr>
                <w:rFonts w:hint="eastAsia" w:ascii="宋体" w:hAnsi="宋体" w:cs="宋体"/>
                <w:bCs w:val="0"/>
                <w:color w:val="auto"/>
                <w:spacing w:val="0"/>
                <w:kern w:val="2"/>
                <w:sz w:val="21"/>
                <w:szCs w:val="21"/>
                <w:lang w:val="zh-CN"/>
              </w:rPr>
            </w:pPr>
            <w:r>
              <w:rPr>
                <w:rFonts w:hint="eastAsia" w:ascii="宋体" w:hAnsi="宋体" w:cs="宋体"/>
                <w:bCs w:val="0"/>
                <w:color w:val="auto"/>
                <w:spacing w:val="0"/>
                <w:kern w:val="2"/>
                <w:sz w:val="21"/>
                <w:szCs w:val="21"/>
                <w:lang w:val="zh-CN"/>
              </w:rPr>
              <w:t>（</w:t>
            </w:r>
            <w:r>
              <w:rPr>
                <w:rFonts w:hint="eastAsia" w:ascii="宋体" w:hAnsi="宋体" w:cs="宋体"/>
                <w:bCs w:val="0"/>
                <w:color w:val="auto"/>
                <w:spacing w:val="0"/>
                <w:kern w:val="2"/>
                <w:sz w:val="21"/>
                <w:szCs w:val="21"/>
              </w:rPr>
              <w:t>3</w:t>
            </w:r>
            <w:r>
              <w:rPr>
                <w:rFonts w:hint="eastAsia" w:ascii="宋体" w:hAnsi="宋体" w:cs="宋体"/>
                <w:bCs w:val="0"/>
                <w:color w:val="auto"/>
                <w:spacing w:val="0"/>
                <w:kern w:val="2"/>
                <w:sz w:val="21"/>
                <w:szCs w:val="21"/>
                <w:lang w:val="zh-CN"/>
              </w:rPr>
              <w:t>）可研编制大纲，项目实施方案条理清晰、明确，基本满足采购人需求</w:t>
            </w:r>
            <w:r>
              <w:rPr>
                <w:rFonts w:hint="eastAsia" w:ascii="宋体" w:hAnsi="宋体" w:cs="宋体"/>
                <w:bCs w:val="0"/>
                <w:color w:val="auto"/>
                <w:spacing w:val="0"/>
                <w:kern w:val="2"/>
                <w:sz w:val="21"/>
                <w:szCs w:val="21"/>
              </w:rPr>
              <w:t>的得1-6分</w:t>
            </w:r>
            <w:r>
              <w:rPr>
                <w:rFonts w:hint="eastAsia" w:ascii="宋体" w:hAnsi="宋体" w:cs="宋体"/>
                <w:bCs w:val="0"/>
                <w:color w:val="auto"/>
                <w:spacing w:val="0"/>
                <w:kern w:val="2"/>
                <w:sz w:val="21"/>
                <w:szCs w:val="21"/>
                <w:lang w:val="zh-CN"/>
              </w:rPr>
              <w:t>；</w:t>
            </w:r>
          </w:p>
          <w:p>
            <w:pPr>
              <w:spacing w:line="288" w:lineRule="auto"/>
              <w:rPr>
                <w:rFonts w:hint="eastAsia" w:ascii="Calibri" w:hAnsi="Calibri"/>
                <w:color w:val="auto"/>
                <w:szCs w:val="21"/>
                <w:lang w:val="zh-CN" w:bidi="zh-CN"/>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）无</w:t>
            </w:r>
            <w:r>
              <w:rPr>
                <w:rFonts w:hint="eastAsia" w:ascii="宋体" w:hAnsi="宋体" w:cs="宋体"/>
                <w:bCs/>
                <w:color w:val="auto"/>
                <w:szCs w:val="21"/>
                <w:lang w:val="zh-CN"/>
              </w:rPr>
              <w:t>可研编制大纲</w:t>
            </w:r>
            <w:r>
              <w:rPr>
                <w:rFonts w:hint="eastAsia" w:ascii="宋体" w:hAnsi="宋体" w:cs="宋体"/>
                <w:color w:val="auto"/>
                <w:szCs w:val="21"/>
                <w:lang w:val="zh-CN"/>
              </w:rPr>
              <w:t>的不得分。</w:t>
            </w:r>
          </w:p>
        </w:tc>
      </w:tr>
      <w:tr>
        <w:tblPrEx>
          <w:tblCellMar>
            <w:top w:w="0" w:type="dxa"/>
            <w:left w:w="108" w:type="dxa"/>
            <w:bottom w:w="0" w:type="dxa"/>
            <w:right w:w="108" w:type="dxa"/>
          </w:tblCellMar>
        </w:tblPrEx>
        <w:trPr>
          <w:trHeight w:val="90" w:hRule="atLeast"/>
        </w:trPr>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iCs/>
                <w:color w:val="auto"/>
                <w:szCs w:val="21"/>
              </w:rPr>
            </w:pPr>
            <w:r>
              <w:rPr>
                <w:rFonts w:hint="eastAsia" w:ascii="宋体" w:hAnsi="宋体" w:cs="宋体"/>
                <w:bCs/>
                <w:iCs/>
                <w:color w:val="auto"/>
                <w:szCs w:val="21"/>
              </w:rPr>
              <w:t>2</w:t>
            </w:r>
          </w:p>
        </w:tc>
        <w:tc>
          <w:tcPr>
            <w:tcW w:w="1072" w:type="dxa"/>
            <w:gridSpan w:val="2"/>
            <w:tcBorders>
              <w:top w:val="single" w:color="auto" w:sz="4" w:space="0"/>
              <w:left w:val="nil"/>
              <w:bottom w:val="single" w:color="auto" w:sz="4" w:space="0"/>
              <w:right w:val="single" w:color="auto" w:sz="4" w:space="0"/>
            </w:tcBorders>
            <w:noWrap w:val="0"/>
            <w:vAlign w:val="center"/>
          </w:tcPr>
          <w:p>
            <w:pPr>
              <w:pStyle w:val="12"/>
              <w:spacing w:line="400" w:lineRule="exact"/>
              <w:jc w:val="center"/>
              <w:rPr>
                <w:rFonts w:ascii="Times New Roman" w:hAnsi="Times New Roman" w:eastAsia="宋体"/>
                <w:color w:val="auto"/>
                <w:sz w:val="21"/>
                <w:szCs w:val="21"/>
              </w:rPr>
            </w:pPr>
            <w:r>
              <w:rPr>
                <w:rFonts w:ascii="Times New Roman" w:hAnsi="Times New Roman" w:eastAsia="宋体"/>
                <w:color w:val="auto"/>
                <w:sz w:val="21"/>
                <w:szCs w:val="21"/>
              </w:rPr>
              <w:t>设计工作大纲</w:t>
            </w:r>
          </w:p>
          <w:p>
            <w:pPr>
              <w:spacing w:line="288" w:lineRule="auto"/>
              <w:rPr>
                <w:rFonts w:hint="eastAsia" w:ascii="宋体" w:hAnsi="宋体"/>
                <w:bCs/>
                <w:iCs/>
                <w:color w:val="auto"/>
                <w:szCs w:val="21"/>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zCs w:val="21"/>
              </w:rPr>
            </w:pPr>
            <w:r>
              <w:rPr>
                <w:color w:val="auto"/>
                <w:szCs w:val="21"/>
              </w:rPr>
              <w:t>（满分</w:t>
            </w:r>
            <w:r>
              <w:rPr>
                <w:rFonts w:hint="eastAsia" w:ascii="宋体" w:hAnsi="宋体" w:cs="宋体"/>
                <w:color w:val="auto"/>
                <w:szCs w:val="21"/>
                <w:lang w:val="zh-CN"/>
              </w:rPr>
              <w:t>20</w:t>
            </w:r>
            <w:r>
              <w:rPr>
                <w:rFonts w:ascii="宋体" w:hAnsi="宋体" w:cs="宋体"/>
                <w:color w:val="auto"/>
                <w:szCs w:val="21"/>
                <w:lang w:val="zh-CN"/>
              </w:rPr>
              <w:t>分</w:t>
            </w:r>
          </w:p>
        </w:tc>
        <w:tc>
          <w:tcPr>
            <w:tcW w:w="7062" w:type="dxa"/>
            <w:gridSpan w:val="2"/>
            <w:tcBorders>
              <w:top w:val="single" w:color="auto" w:sz="4" w:space="0"/>
              <w:left w:val="nil"/>
              <w:bottom w:val="single" w:color="auto" w:sz="4" w:space="0"/>
              <w:right w:val="single" w:color="auto" w:sz="4" w:space="0"/>
            </w:tcBorders>
            <w:noWrap w:val="0"/>
            <w:vAlign w:val="center"/>
          </w:tcPr>
          <w:p>
            <w:pPr>
              <w:pStyle w:val="12"/>
              <w:spacing w:line="320" w:lineRule="exact"/>
              <w:rPr>
                <w:rFonts w:ascii="宋体" w:eastAsia="宋体" w:cs="宋体"/>
                <w:color w:val="auto"/>
                <w:kern w:val="2"/>
                <w:sz w:val="21"/>
                <w:szCs w:val="21"/>
                <w:lang w:val="zh-CN" w:bidi="ar-SA"/>
              </w:rPr>
            </w:pPr>
            <w:r>
              <w:rPr>
                <w:rFonts w:hint="eastAsia" w:ascii="Times New Roman" w:hAnsi="Times New Roman" w:eastAsia="宋体"/>
                <w:color w:val="auto"/>
                <w:sz w:val="21"/>
                <w:szCs w:val="21"/>
              </w:rPr>
              <w:t>（1）设计全面、科学；对招标项目设计重点、难点及关键性技术问题的对策措施完整、准确并有较强的针对性、操作性和可实施性；对工程造价控制措施具体、合理、可行的得</w:t>
            </w:r>
            <w:r>
              <w:rPr>
                <w:rFonts w:hint="eastAsia" w:ascii="宋体" w:eastAsia="宋体" w:cs="宋体"/>
                <w:color w:val="auto"/>
                <w:kern w:val="2"/>
                <w:sz w:val="21"/>
                <w:szCs w:val="21"/>
                <w:lang w:val="zh-CN" w:bidi="ar-SA"/>
              </w:rPr>
              <w:t>13-20分；</w:t>
            </w:r>
          </w:p>
          <w:p>
            <w:pPr>
              <w:pStyle w:val="12"/>
              <w:spacing w:line="320" w:lineRule="exact"/>
              <w:rPr>
                <w:rFonts w:ascii="宋体" w:eastAsia="宋体" w:cs="宋体"/>
                <w:color w:val="auto"/>
                <w:kern w:val="2"/>
                <w:sz w:val="21"/>
                <w:szCs w:val="21"/>
                <w:lang w:val="zh-CN" w:bidi="ar-SA"/>
              </w:rPr>
            </w:pPr>
            <w:r>
              <w:rPr>
                <w:rFonts w:hint="eastAsia" w:ascii="Times New Roman" w:hAnsi="Times New Roman" w:eastAsia="宋体"/>
                <w:color w:val="auto"/>
                <w:sz w:val="21"/>
                <w:szCs w:val="21"/>
              </w:rPr>
              <w:t>（2）设计工作大纲对招标项目理解一般；设计思路清晰、全面、科学；对招标项目设计重点、难点及关键性技术问题的对策措施完整、但针对性一般；对工程造价控制措施合理的得</w:t>
            </w:r>
            <w:r>
              <w:rPr>
                <w:rFonts w:hint="eastAsia" w:ascii="宋体" w:eastAsia="宋体" w:cs="宋体"/>
                <w:color w:val="auto"/>
                <w:kern w:val="2"/>
                <w:sz w:val="21"/>
                <w:szCs w:val="21"/>
                <w:lang w:val="zh-CN" w:bidi="ar-SA"/>
              </w:rPr>
              <w:t>7-12分；</w:t>
            </w:r>
          </w:p>
          <w:p>
            <w:pPr>
              <w:spacing w:line="288" w:lineRule="auto"/>
              <w:rPr>
                <w:rFonts w:hint="eastAsia" w:ascii="宋体" w:hAnsi="宋体" w:cs="宋体"/>
                <w:color w:val="auto"/>
                <w:szCs w:val="21"/>
                <w:lang w:val="zh-CN"/>
              </w:rPr>
            </w:pPr>
            <w:r>
              <w:rPr>
                <w:rFonts w:hint="eastAsia"/>
                <w:color w:val="auto"/>
                <w:szCs w:val="21"/>
              </w:rPr>
              <w:t>（3）设计工作大纲对招标项目理解不具体；设计思路不清晰；对招标项目设计重点、难点及关键性技术问题的对策措施不完整；工程造价控制措施不全面的得</w:t>
            </w:r>
            <w:r>
              <w:rPr>
                <w:rFonts w:hint="eastAsia" w:ascii="宋体" w:hAnsi="宋体" w:cs="宋体"/>
                <w:color w:val="auto"/>
                <w:szCs w:val="21"/>
                <w:lang w:val="zh-CN"/>
              </w:rPr>
              <w:t>1-6分。</w:t>
            </w:r>
          </w:p>
        </w:tc>
      </w:tr>
      <w:tr>
        <w:tblPrEx>
          <w:tblCellMar>
            <w:top w:w="0" w:type="dxa"/>
            <w:left w:w="108" w:type="dxa"/>
            <w:bottom w:w="0" w:type="dxa"/>
            <w:right w:w="108" w:type="dxa"/>
          </w:tblCellMar>
        </w:tblPrEx>
        <w:trPr>
          <w:trHeight w:val="90" w:hRule="atLeast"/>
        </w:trPr>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iCs/>
                <w:color w:val="auto"/>
                <w:szCs w:val="21"/>
              </w:rPr>
            </w:pPr>
            <w:r>
              <w:rPr>
                <w:rFonts w:hint="eastAsia" w:ascii="宋体" w:hAnsi="宋体" w:cs="宋体"/>
                <w:bCs/>
                <w:iCs/>
                <w:color w:val="auto"/>
                <w:szCs w:val="21"/>
              </w:rPr>
              <w:t>3</w:t>
            </w:r>
          </w:p>
        </w:tc>
        <w:tc>
          <w:tcPr>
            <w:tcW w:w="1072" w:type="dxa"/>
            <w:gridSpan w:val="2"/>
            <w:tcBorders>
              <w:top w:val="single" w:color="auto" w:sz="4" w:space="0"/>
              <w:left w:val="nil"/>
              <w:bottom w:val="single" w:color="auto" w:sz="4" w:space="0"/>
              <w:right w:val="single" w:color="auto" w:sz="4" w:space="0"/>
            </w:tcBorders>
            <w:noWrap w:val="0"/>
            <w:vAlign w:val="center"/>
          </w:tcPr>
          <w:p>
            <w:pPr>
              <w:spacing w:line="288" w:lineRule="auto"/>
              <w:rPr>
                <w:rFonts w:hint="eastAsia" w:ascii="Calibri" w:hAnsi="Calibri"/>
                <w:color w:val="auto"/>
                <w:szCs w:val="21"/>
                <w:lang w:val="zh-CN" w:bidi="zh-CN"/>
              </w:rPr>
            </w:pPr>
            <w:r>
              <w:rPr>
                <w:rFonts w:hint="eastAsia" w:ascii="宋体" w:hAnsi="宋体" w:cs="宋体"/>
                <w:color w:val="auto"/>
                <w:szCs w:val="21"/>
              </w:rPr>
              <w:t>进度计划及保证措施</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b/>
                <w:bCs/>
                <w:color w:val="auto"/>
                <w:szCs w:val="21"/>
              </w:rPr>
            </w:pPr>
            <w:r>
              <w:rPr>
                <w:rFonts w:hint="eastAsia" w:ascii="宋体" w:hAnsi="宋体" w:cs="宋体"/>
                <w:color w:val="auto"/>
                <w:szCs w:val="21"/>
              </w:rPr>
              <w:t>（满分15分）</w:t>
            </w:r>
          </w:p>
        </w:tc>
        <w:tc>
          <w:tcPr>
            <w:tcW w:w="7062"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cs="宋体"/>
                <w:color w:val="auto"/>
                <w:szCs w:val="21"/>
              </w:rPr>
            </w:pPr>
            <w:r>
              <w:rPr>
                <w:rFonts w:hint="eastAsia" w:ascii="宋体" w:hAnsi="宋体" w:cs="宋体"/>
                <w:color w:val="auto"/>
                <w:szCs w:val="21"/>
              </w:rPr>
              <w:t>（1）项目开展进度计划及现场服务安排方案详细具体，有详细明确的时间节点，安排合理，完成符合采购人实际需求的得11-15分；</w:t>
            </w:r>
          </w:p>
          <w:p>
            <w:pPr>
              <w:spacing w:line="320" w:lineRule="exact"/>
              <w:rPr>
                <w:rFonts w:hint="eastAsia" w:ascii="宋体" w:hAnsi="宋体" w:cs="宋体"/>
                <w:color w:val="auto"/>
                <w:szCs w:val="21"/>
              </w:rPr>
            </w:pPr>
            <w:r>
              <w:rPr>
                <w:rFonts w:hint="eastAsia" w:ascii="宋体" w:hAnsi="宋体" w:cs="宋体"/>
                <w:color w:val="auto"/>
                <w:szCs w:val="21"/>
              </w:rPr>
              <w:t>（2）项目开展进度计划及现场服务安排方案有欠缺，有时间节点，但不明确，安排不合理的得6-10分；</w:t>
            </w:r>
          </w:p>
          <w:p>
            <w:pPr>
              <w:spacing w:line="320" w:lineRule="exact"/>
              <w:rPr>
                <w:rFonts w:hint="eastAsia" w:ascii="宋体" w:hAnsi="宋体" w:cs="宋体"/>
                <w:color w:val="auto"/>
                <w:szCs w:val="21"/>
              </w:rPr>
            </w:pPr>
            <w:r>
              <w:rPr>
                <w:rFonts w:hint="eastAsia" w:ascii="宋体" w:hAnsi="宋体" w:cs="宋体"/>
                <w:color w:val="auto"/>
                <w:szCs w:val="21"/>
              </w:rPr>
              <w:t>（3）项目开展进度计划及现场服务安排方案有欠缺，有响应的时间节点的得1-5分；</w:t>
            </w:r>
          </w:p>
          <w:p>
            <w:pPr>
              <w:spacing w:line="288" w:lineRule="auto"/>
              <w:rPr>
                <w:rFonts w:hint="eastAsia" w:ascii="宋体" w:hAnsi="宋体" w:cs="宋体"/>
                <w:b/>
                <w:bCs/>
                <w:color w:val="auto"/>
                <w:szCs w:val="21"/>
              </w:rPr>
            </w:pPr>
            <w:r>
              <w:rPr>
                <w:rFonts w:hint="eastAsia" w:ascii="宋体" w:hAnsi="宋体" w:cs="宋体"/>
                <w:color w:val="auto"/>
                <w:szCs w:val="21"/>
              </w:rPr>
              <w:t>（4）未提供相关内容的得0分。</w:t>
            </w:r>
          </w:p>
        </w:tc>
      </w:tr>
      <w:tr>
        <w:tblPrEx>
          <w:tblCellMar>
            <w:top w:w="0" w:type="dxa"/>
            <w:left w:w="108" w:type="dxa"/>
            <w:bottom w:w="0" w:type="dxa"/>
            <w:right w:w="108" w:type="dxa"/>
          </w:tblCellMar>
        </w:tblPrEx>
        <w:trPr>
          <w:trHeight w:val="90" w:hRule="atLeast"/>
        </w:trPr>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iCs/>
                <w:color w:val="auto"/>
                <w:szCs w:val="21"/>
              </w:rPr>
            </w:pPr>
            <w:r>
              <w:rPr>
                <w:rFonts w:hint="eastAsia" w:ascii="宋体" w:hAnsi="宋体" w:cs="宋体"/>
                <w:bCs/>
                <w:iCs/>
                <w:color w:val="auto"/>
                <w:szCs w:val="21"/>
              </w:rPr>
              <w:t>4</w:t>
            </w:r>
          </w:p>
        </w:tc>
        <w:tc>
          <w:tcPr>
            <w:tcW w:w="1072" w:type="dxa"/>
            <w:gridSpan w:val="2"/>
            <w:tcBorders>
              <w:top w:val="single" w:color="auto" w:sz="4" w:space="0"/>
              <w:left w:val="nil"/>
              <w:bottom w:val="single" w:color="auto" w:sz="4" w:space="0"/>
              <w:right w:val="single" w:color="auto" w:sz="4" w:space="0"/>
            </w:tcBorders>
            <w:noWrap w:val="0"/>
            <w:vAlign w:val="center"/>
          </w:tcPr>
          <w:p>
            <w:pPr>
              <w:suppressAutoHyphens/>
              <w:spacing w:line="400" w:lineRule="exact"/>
              <w:jc w:val="center"/>
              <w:rPr>
                <w:rFonts w:ascii="宋体" w:hAnsi="宋体"/>
                <w:color w:val="auto"/>
                <w:kern w:val="0"/>
                <w:szCs w:val="21"/>
                <w:lang w:bidi="en-US"/>
              </w:rPr>
            </w:pPr>
            <w:r>
              <w:rPr>
                <w:rFonts w:hint="eastAsia" w:ascii="宋体" w:hAnsi="宋体"/>
                <w:color w:val="auto"/>
                <w:szCs w:val="21"/>
              </w:rPr>
              <w:t>人员配备</w:t>
            </w:r>
          </w:p>
          <w:p>
            <w:pPr>
              <w:spacing w:line="288" w:lineRule="auto"/>
              <w:rPr>
                <w:rFonts w:hint="eastAsia" w:ascii="Calibri" w:hAnsi="Calibri"/>
                <w:color w:val="auto"/>
                <w:szCs w:val="21"/>
                <w:lang w:val="zh-CN" w:bidi="zh-CN"/>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zCs w:val="21"/>
              </w:rPr>
            </w:pPr>
            <w:r>
              <w:rPr>
                <w:rFonts w:hint="eastAsia" w:ascii="宋体" w:hAnsi="宋体" w:cs="宋体"/>
                <w:color w:val="auto"/>
                <w:szCs w:val="21"/>
              </w:rPr>
              <w:t>(满分15分)</w:t>
            </w:r>
          </w:p>
        </w:tc>
        <w:tc>
          <w:tcPr>
            <w:tcW w:w="7062"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20" w:lineRule="exac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拟派</w:t>
            </w:r>
            <w:r>
              <w:rPr>
                <w:rFonts w:ascii="宋体" w:hAnsi="宋体"/>
                <w:color w:val="auto"/>
                <w:szCs w:val="21"/>
              </w:rPr>
              <w:t>人员专业、技术职称及结构配置合理，满足项目需求且针对性强的，得</w:t>
            </w:r>
            <w:r>
              <w:rPr>
                <w:rFonts w:hint="eastAsia" w:ascii="宋体" w:hAnsi="宋体"/>
                <w:color w:val="auto"/>
                <w:szCs w:val="21"/>
              </w:rPr>
              <w:t>11-15</w:t>
            </w:r>
            <w:r>
              <w:rPr>
                <w:rFonts w:ascii="宋体" w:hAnsi="宋体"/>
                <w:color w:val="auto"/>
                <w:szCs w:val="21"/>
              </w:rPr>
              <w:t>分；</w:t>
            </w:r>
          </w:p>
          <w:p>
            <w:pPr>
              <w:autoSpaceDE w:val="0"/>
              <w:autoSpaceDN w:val="0"/>
              <w:adjustRightInd w:val="0"/>
              <w:spacing w:line="320" w:lineRule="exac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拟派</w:t>
            </w:r>
            <w:r>
              <w:rPr>
                <w:rFonts w:ascii="宋体" w:hAnsi="宋体"/>
                <w:color w:val="auto"/>
                <w:szCs w:val="21"/>
              </w:rPr>
              <w:t>人员专业、技术职称及结构配置较合理，满足项目需求且针对性一般的，得</w:t>
            </w:r>
            <w:r>
              <w:rPr>
                <w:rFonts w:hint="eastAsia" w:ascii="宋体" w:hAnsi="宋体"/>
                <w:color w:val="auto"/>
                <w:szCs w:val="21"/>
              </w:rPr>
              <w:t>6-10</w:t>
            </w:r>
            <w:r>
              <w:rPr>
                <w:rFonts w:ascii="宋体" w:hAnsi="宋体"/>
                <w:color w:val="auto"/>
                <w:szCs w:val="21"/>
              </w:rPr>
              <w:t>分；</w:t>
            </w:r>
          </w:p>
          <w:p>
            <w:pPr>
              <w:autoSpaceDE w:val="0"/>
              <w:autoSpaceDN w:val="0"/>
              <w:adjustRightInd w:val="0"/>
              <w:spacing w:line="320" w:lineRule="exac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拟派</w:t>
            </w:r>
            <w:r>
              <w:rPr>
                <w:rFonts w:ascii="宋体" w:hAnsi="宋体"/>
                <w:color w:val="auto"/>
                <w:szCs w:val="21"/>
              </w:rPr>
              <w:t>人员专业、技术职称及结构配置基本合理，基本满足项目需求且针对性较差的，得</w:t>
            </w:r>
            <w:r>
              <w:rPr>
                <w:rFonts w:hint="eastAsia" w:ascii="宋体" w:hAnsi="宋体"/>
                <w:color w:val="auto"/>
                <w:szCs w:val="21"/>
              </w:rPr>
              <w:t>1-5</w:t>
            </w:r>
            <w:r>
              <w:rPr>
                <w:rFonts w:ascii="宋体" w:hAnsi="宋体"/>
                <w:color w:val="auto"/>
                <w:szCs w:val="21"/>
              </w:rPr>
              <w:t>分；</w:t>
            </w:r>
          </w:p>
          <w:p>
            <w:pPr>
              <w:spacing w:line="288" w:lineRule="auto"/>
              <w:rPr>
                <w:rFonts w:hint="eastAsia" w:ascii="宋体" w:hAnsi="宋体" w:cs="宋体"/>
                <w:color w:val="auto"/>
                <w:kern w:val="0"/>
                <w:szCs w:val="21"/>
              </w:rPr>
            </w:pPr>
            <w:r>
              <w:rPr>
                <w:rFonts w:hint="eastAsia" w:ascii="宋体" w:hAnsi="宋体"/>
                <w:color w:val="auto"/>
                <w:szCs w:val="21"/>
              </w:rPr>
              <w:t>（</w:t>
            </w:r>
            <w:r>
              <w:rPr>
                <w:rFonts w:ascii="宋体" w:hAnsi="宋体"/>
                <w:color w:val="auto"/>
                <w:szCs w:val="21"/>
              </w:rPr>
              <w:t>4）无设计人员配置的，得0分。</w:t>
            </w:r>
          </w:p>
        </w:tc>
      </w:tr>
      <w:tr>
        <w:tblPrEx>
          <w:tblCellMar>
            <w:top w:w="0" w:type="dxa"/>
            <w:left w:w="108" w:type="dxa"/>
            <w:bottom w:w="0" w:type="dxa"/>
            <w:right w:w="108" w:type="dxa"/>
          </w:tblCellMar>
        </w:tblPrEx>
        <w:trPr>
          <w:trHeight w:val="90" w:hRule="atLeast"/>
        </w:trPr>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iCs/>
                <w:color w:val="auto"/>
                <w:szCs w:val="21"/>
              </w:rPr>
            </w:pPr>
            <w:r>
              <w:rPr>
                <w:rFonts w:hint="eastAsia" w:ascii="宋体" w:hAnsi="宋体" w:cs="宋体"/>
                <w:bCs/>
                <w:iCs/>
                <w:color w:val="auto"/>
                <w:szCs w:val="21"/>
              </w:rPr>
              <w:t>5</w:t>
            </w:r>
          </w:p>
        </w:tc>
        <w:tc>
          <w:tcPr>
            <w:tcW w:w="1072"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服务响应措施及违约承诺</w:t>
            </w:r>
          </w:p>
          <w:p>
            <w:pPr>
              <w:spacing w:line="288" w:lineRule="auto"/>
              <w:rPr>
                <w:rFonts w:hint="eastAsia" w:ascii="宋体" w:hAnsi="宋体" w:cs="宋体"/>
                <w:color w:val="auto"/>
                <w:szCs w:val="21"/>
              </w:rPr>
            </w:pPr>
            <w:r>
              <w:rPr>
                <w:rFonts w:hint="eastAsia" w:ascii="宋体" w:hAnsi="宋体" w:cs="宋体"/>
                <w:color w:val="auto"/>
                <w:szCs w:val="21"/>
              </w:rPr>
              <w:t>（满分10分</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zCs w:val="21"/>
              </w:rPr>
            </w:pPr>
            <w:r>
              <w:rPr>
                <w:rFonts w:hint="eastAsia" w:ascii="宋体" w:hAnsi="宋体" w:cs="宋体"/>
                <w:color w:val="auto"/>
                <w:szCs w:val="21"/>
              </w:rPr>
              <w:t>（满分10分）</w:t>
            </w:r>
          </w:p>
        </w:tc>
        <w:tc>
          <w:tcPr>
            <w:tcW w:w="7062" w:type="dxa"/>
            <w:gridSpan w:val="2"/>
            <w:tcBorders>
              <w:top w:val="single" w:color="auto" w:sz="4" w:space="0"/>
              <w:left w:val="nil"/>
              <w:bottom w:val="single" w:color="auto" w:sz="4" w:space="0"/>
              <w:right w:val="single" w:color="auto" w:sz="4" w:space="0"/>
            </w:tcBorders>
            <w:noWrap w:val="0"/>
            <w:vAlign w:val="center"/>
          </w:tcPr>
          <w:p>
            <w:pPr>
              <w:numPr>
                <w:ilvl w:val="0"/>
                <w:numId w:val="1"/>
              </w:numPr>
              <w:spacing w:line="320" w:lineRule="exact"/>
              <w:rPr>
                <w:rFonts w:hint="eastAsia" w:ascii="宋体" w:hAnsi="宋体" w:cs="宋体"/>
                <w:color w:val="auto"/>
                <w:szCs w:val="21"/>
              </w:rPr>
            </w:pPr>
            <w:r>
              <w:rPr>
                <w:rFonts w:hint="eastAsia" w:ascii="宋体" w:hAnsi="宋体" w:cs="宋体"/>
                <w:color w:val="auto"/>
                <w:szCs w:val="21"/>
              </w:rPr>
              <w:t>服务响应措施及违约承诺比较细致、合理、可行，保障响应措施较有力，有详细的违约责任承诺，且相应措施细致、合理、可行，有保障；项目负责人能接到通知后能在2小时内到达采购人办公室对接，保障快速服务响应，后续服务承诺详细具体，具有针对性；并有切实可行的保障措施，现有保障条件较优，针对性较强，提供后续服务承诺书；接到通知后2小时内到达采购人单位承诺书，并分别附有具体的违约承诺书的，得7-10分；</w:t>
            </w:r>
          </w:p>
          <w:p>
            <w:pPr>
              <w:spacing w:line="320" w:lineRule="exact"/>
              <w:rPr>
                <w:rFonts w:hint="eastAsia" w:ascii="宋体" w:hAnsi="宋体" w:cs="宋体"/>
                <w:color w:val="auto"/>
                <w:szCs w:val="21"/>
              </w:rPr>
            </w:pPr>
            <w:r>
              <w:rPr>
                <w:rFonts w:hint="eastAsia" w:ascii="宋体" w:hAnsi="宋体" w:cs="宋体"/>
                <w:color w:val="auto"/>
                <w:szCs w:val="21"/>
              </w:rPr>
              <w:t>（2）服务响应措施及违约承诺比较细致、合理、可行，保障响应措施较有力，服务经验较丰富，有详细的服务承诺；项目组成人员接到通知后能在2小时内到达采购人办公室对接，保障快速服务响应的，得4-6分；</w:t>
            </w:r>
          </w:p>
          <w:p>
            <w:pPr>
              <w:spacing w:line="320" w:lineRule="exact"/>
              <w:rPr>
                <w:rFonts w:hint="eastAsia" w:ascii="宋体" w:hAnsi="宋体" w:cs="宋体"/>
                <w:color w:val="auto"/>
                <w:szCs w:val="21"/>
              </w:rPr>
            </w:pPr>
            <w:r>
              <w:rPr>
                <w:rFonts w:hint="eastAsia" w:ascii="宋体" w:hAnsi="宋体" w:cs="宋体"/>
                <w:color w:val="auto"/>
                <w:szCs w:val="21"/>
              </w:rPr>
              <w:t>（3）服务响应措施及违约承诺基本合理、可行，保障响应措施，服务经验一般；接到通知后能在2小时内到达采购人办公室对接，得1-3分。</w:t>
            </w:r>
          </w:p>
          <w:p>
            <w:pPr>
              <w:spacing w:line="288" w:lineRule="auto"/>
              <w:rPr>
                <w:rFonts w:hint="eastAsia" w:ascii="宋体" w:hAnsi="宋体" w:cs="宋体"/>
                <w:color w:val="auto"/>
                <w:szCs w:val="21"/>
                <w:lang w:val="zh-CN"/>
              </w:rPr>
            </w:pPr>
            <w:r>
              <w:rPr>
                <w:rFonts w:hint="eastAsia" w:ascii="宋体" w:hAnsi="宋体" w:cs="宋体"/>
                <w:color w:val="auto"/>
                <w:szCs w:val="21"/>
              </w:rPr>
              <w:t>（4）没有保障措施或保障措施没有针对性或没有违约承诺的不得分。</w:t>
            </w:r>
          </w:p>
        </w:tc>
      </w:tr>
      <w:tr>
        <w:tblPrEx>
          <w:tblCellMar>
            <w:top w:w="0" w:type="dxa"/>
            <w:left w:w="108" w:type="dxa"/>
            <w:bottom w:w="0" w:type="dxa"/>
            <w:right w:w="108" w:type="dxa"/>
          </w:tblCellMar>
        </w:tblPrEx>
        <w:trPr>
          <w:trHeight w:val="90" w:hRule="atLeast"/>
        </w:trPr>
        <w:tc>
          <w:tcPr>
            <w:tcW w:w="2476" w:type="dxa"/>
            <w:gridSpan w:val="4"/>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cs="宋体"/>
                <w:color w:val="auto"/>
                <w:szCs w:val="21"/>
              </w:rPr>
            </w:pPr>
            <w:r>
              <w:rPr>
                <w:rFonts w:hint="eastAsia" w:ascii="宋体" w:hAnsi="宋体" w:cs="宋体"/>
                <w:color w:val="auto"/>
                <w:szCs w:val="21"/>
              </w:rPr>
              <w:t>综合评分办法</w:t>
            </w:r>
          </w:p>
        </w:tc>
        <w:tc>
          <w:tcPr>
            <w:tcW w:w="7062" w:type="dxa"/>
            <w:gridSpan w:val="2"/>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经磋商确定最终采购内容及要求和提交最后报价的供应商后，磋商小组成员按照客观、公正、谨慎的原则，根据磋商文件规定的评审程序、评审方法和评审标准进行独立评审并打分，计算各磋商小组成员打分算术平均值为供应商的最后得分(保留小数点后两位)，综合得分最高的供应商推荐为第一成交候选人，综合得分次高的供应商推荐为第二成交候选人，依次类推，若出现综合得分相同的，评审得分相同的，按照最后报价由低到高的顺序推荐。评审得分且最后报价相同的，按照技术指标优劣顺序推荐。</w:t>
            </w:r>
          </w:p>
        </w:tc>
      </w:tr>
    </w:tbl>
    <w:p>
      <w:pPr>
        <w:autoSpaceDE w:val="0"/>
        <w:autoSpaceDN w:val="0"/>
        <w:adjustRightInd w:val="0"/>
        <w:snapToGrid w:val="0"/>
        <w:spacing w:after="156" w:afterLines="50"/>
        <w:jc w:val="center"/>
        <w:outlineLvl w:val="0"/>
        <w:rPr>
          <w:rStyle w:val="9"/>
          <w:rFonts w:hint="eastAsia" w:ascii="宋体" w:hAnsi="宋体" w:cs="宋体"/>
          <w:color w:val="auto"/>
        </w:rPr>
      </w:pPr>
    </w:p>
    <w:p>
      <w:bookmarkStart w:id="3" w:name="_GoBack"/>
      <w:bookmarkEnd w:id="3"/>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D8E10"/>
    <w:multiLevelType w:val="singleLevel"/>
    <w:tmpl w:val="6DDD8E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2IxYzM1YTQ5MGY4MTRmMThiZTAzMTc0MDRjNjQifQ=="/>
  </w:docVars>
  <w:rsids>
    <w:rsidRoot w:val="2D446E66"/>
    <w:rsid w:val="01B43ACB"/>
    <w:rsid w:val="057A3858"/>
    <w:rsid w:val="073B23D1"/>
    <w:rsid w:val="09D010EE"/>
    <w:rsid w:val="0D0962F1"/>
    <w:rsid w:val="14F64036"/>
    <w:rsid w:val="1E1972ED"/>
    <w:rsid w:val="209C74AF"/>
    <w:rsid w:val="25552D83"/>
    <w:rsid w:val="285901F2"/>
    <w:rsid w:val="28683D97"/>
    <w:rsid w:val="29871D1D"/>
    <w:rsid w:val="2D446E66"/>
    <w:rsid w:val="343E49F9"/>
    <w:rsid w:val="350F14C7"/>
    <w:rsid w:val="38530AD8"/>
    <w:rsid w:val="3A3C6305"/>
    <w:rsid w:val="3ABC27B1"/>
    <w:rsid w:val="3D3F2B87"/>
    <w:rsid w:val="401647F2"/>
    <w:rsid w:val="45055B3D"/>
    <w:rsid w:val="46A57F1B"/>
    <w:rsid w:val="523A13EA"/>
    <w:rsid w:val="56182F21"/>
    <w:rsid w:val="59AB5CF4"/>
    <w:rsid w:val="5B343B95"/>
    <w:rsid w:val="5CC050D0"/>
    <w:rsid w:val="68FF5F42"/>
    <w:rsid w:val="699471C9"/>
    <w:rsid w:val="69992BEC"/>
    <w:rsid w:val="6B764BF4"/>
    <w:rsid w:val="6C8D4E94"/>
    <w:rsid w:val="6DCB6548"/>
    <w:rsid w:val="6E615730"/>
    <w:rsid w:val="746106B5"/>
    <w:rsid w:val="75D87965"/>
    <w:rsid w:val="78304B12"/>
    <w:rsid w:val="7C795F13"/>
    <w:rsid w:val="7D6600B6"/>
    <w:rsid w:val="7E55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120" w:after="120"/>
      <w:jc w:val="center"/>
      <w:outlineLvl w:val="0"/>
    </w:pPr>
    <w:rPr>
      <w:b/>
      <w:spacing w:val="20"/>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ocument Map"/>
    <w:basedOn w:val="1"/>
    <w:unhideWhenUsed/>
    <w:qFormat/>
    <w:uiPriority w:val="0"/>
    <w:rPr>
      <w:rFonts w:ascii="宋体"/>
      <w:sz w:val="18"/>
      <w:szCs w:val="18"/>
    </w:rPr>
  </w:style>
  <w:style w:type="paragraph" w:styleId="4">
    <w:name w:val="Body Text"/>
    <w:basedOn w:val="1"/>
    <w:next w:val="1"/>
    <w:qFormat/>
    <w:uiPriority w:val="0"/>
    <w:pPr>
      <w:spacing w:after="120" w:afterLines="0" w:afterAutospacing="0"/>
    </w:pPr>
  </w:style>
  <w:style w:type="paragraph" w:styleId="5">
    <w:name w:val="Plain Text"/>
    <w:basedOn w:val="1"/>
    <w:qFormat/>
    <w:uiPriority w:val="0"/>
    <w:rPr>
      <w:rFonts w:ascii="宋体" w:hAnsi="Courier New" w:cs="Courier New"/>
      <w:szCs w:val="21"/>
    </w:rPr>
  </w:style>
  <w:style w:type="paragraph" w:customStyle="1" w:styleId="8">
    <w:name w:val="列出段落1"/>
    <w:basedOn w:val="1"/>
    <w:qFormat/>
    <w:uiPriority w:val="34"/>
    <w:pPr>
      <w:ind w:firstLine="420" w:firstLineChars="200"/>
    </w:pPr>
    <w:rPr>
      <w:szCs w:val="20"/>
    </w:rPr>
  </w:style>
  <w:style w:type="character" w:customStyle="1" w:styleId="9">
    <w:name w:val="标题 1 Char"/>
    <w:link w:val="2"/>
    <w:qFormat/>
    <w:uiPriority w:val="0"/>
    <w:rPr>
      <w:b/>
      <w:spacing w:val="20"/>
      <w:kern w:val="44"/>
      <w:sz w:val="32"/>
    </w:rPr>
  </w:style>
  <w:style w:type="paragraph" w:customStyle="1" w:styleId="10">
    <w:name w:val="表格文字"/>
    <w:basedOn w:val="11"/>
    <w:next w:val="1"/>
    <w:qFormat/>
    <w:uiPriority w:val="0"/>
    <w:pPr>
      <w:spacing w:before="25" w:after="25"/>
      <w:jc w:val="left"/>
    </w:pPr>
    <w:rPr>
      <w:bCs/>
      <w:spacing w:val="10"/>
      <w:kern w:val="0"/>
      <w:sz w:val="24"/>
    </w:rPr>
  </w:style>
  <w:style w:type="paragraph" w:customStyle="1" w:styleId="11">
    <w:name w:val="表格文字图表文字"/>
    <w:basedOn w:val="1"/>
    <w:qFormat/>
    <w:uiPriority w:val="0"/>
    <w:pPr>
      <w:snapToGrid w:val="0"/>
      <w:ind w:firstLine="200" w:firstLineChars="200"/>
      <w:jc w:val="center"/>
    </w:pPr>
    <w:rPr>
      <w:color w:val="7030A0"/>
      <w:szCs w:val="20"/>
    </w:rPr>
  </w:style>
  <w:style w:type="paragraph" w:customStyle="1" w:styleId="12">
    <w:name w:val="表格样式2"/>
    <w:basedOn w:val="1"/>
    <w:qFormat/>
    <w:uiPriority w:val="0"/>
    <w:pPr>
      <w:widowControl/>
      <w:spacing w:line="276" w:lineRule="auto"/>
      <w:jc w:val="left"/>
    </w:pPr>
    <w:rPr>
      <w:rFonts w:ascii="仿宋_GB2312" w:hAnsi="宋体" w:eastAsia="仿宋_GB2312"/>
      <w:kern w:val="0"/>
      <w:sz w:val="18"/>
      <w:szCs w:val="18"/>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2024-05-20T08:23:00Z</dcterms:created>
  <dc:creator>小褚13628771669</dc:creator>
  <cp:lastModifiedBy>小褚13628771669</cp:lastModifiedBy>
  <dcterms:modified xsi:type="dcterms:W3CDTF">2024-05-20T08:24:01Z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D01C2EBB873B48BB8CD0DC8FAE42DB65_11</vt:lpwstr>
  </property>
</Properties>
</file>