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12" w:lineRule="auto"/>
        <w:jc w:val="center"/>
        <w:rPr>
          <w:rFonts w:ascii="宋体" w:hAnsi="宋体" w:cs="宋体"/>
          <w:b/>
          <w:bCs/>
          <w:szCs w:val="28"/>
        </w:rPr>
      </w:pPr>
      <w:r>
        <w:rPr>
          <w:rFonts w:hint="eastAsia" w:ascii="宋体" w:hAnsi="宋体" w:cs="宋体"/>
          <w:b/>
          <w:bCs/>
          <w:szCs w:val="28"/>
        </w:rPr>
        <w:t>评审标准</w:t>
      </w:r>
    </w:p>
    <w:p>
      <w:pPr>
        <w:spacing w:line="312" w:lineRule="auto"/>
        <w:ind w:firstLine="480" w:firstLineChars="200"/>
        <w:jc w:val="center"/>
        <w:rPr>
          <w:rFonts w:ascii="宋体" w:hAnsi="宋体" w:cs="宋体"/>
          <w:color w:val="FF0000"/>
          <w:sz w:val="24"/>
          <w:szCs w:val="24"/>
        </w:rPr>
      </w:pPr>
    </w:p>
    <w:tbl>
      <w:tblPr>
        <w:tblStyle w:val="9"/>
        <w:tblpPr w:leftFromText="180" w:rightFromText="180" w:vertAnchor="text" w:tblpXSpec="center" w:tblpY="1"/>
        <w:tblOverlap w:val="never"/>
        <w:tblW w:w="10330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1269"/>
        <w:gridCol w:w="955"/>
        <w:gridCol w:w="5997"/>
        <w:gridCol w:w="14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70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FF0000"/>
                <w:sz w:val="24"/>
                <w:szCs w:val="24"/>
              </w:rPr>
              <w:t>序号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FF0000"/>
                <w:sz w:val="24"/>
                <w:szCs w:val="24"/>
              </w:rPr>
              <w:t>评分因素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FF0000"/>
                <w:sz w:val="24"/>
                <w:szCs w:val="24"/>
              </w:rPr>
              <w:t>分值</w:t>
            </w:r>
          </w:p>
        </w:tc>
        <w:tc>
          <w:tcPr>
            <w:tcW w:w="599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FF0000"/>
                <w:sz w:val="24"/>
                <w:szCs w:val="24"/>
              </w:rPr>
              <w:t>评分标准（以下评分标准为举例）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pStyle w:val="13"/>
              <w:spacing w:before="0" w:after="0" w:line="440" w:lineRule="exact"/>
              <w:rPr>
                <w:rFonts w:ascii="宋体" w:hAnsi="宋体" w:eastAsia="宋体" w:cs="宋体"/>
                <w:color w:val="FF0000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Cs w:val="24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</w:trPr>
        <w:tc>
          <w:tcPr>
            <w:tcW w:w="70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方正仿宋_GBK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 w:cs="方正仿宋_GBK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color w:val="FF0000"/>
                <w:sz w:val="24"/>
                <w:szCs w:val="24"/>
              </w:rPr>
              <w:t>投标报价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方正仿宋_GBK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color w:val="FF0000"/>
                <w:sz w:val="24"/>
                <w:szCs w:val="24"/>
              </w:rPr>
              <w:t>30</w:t>
            </w:r>
          </w:p>
        </w:tc>
        <w:tc>
          <w:tcPr>
            <w:tcW w:w="5997" w:type="dxa"/>
            <w:noWrap w:val="0"/>
            <w:vAlign w:val="center"/>
          </w:tcPr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  <w:szCs w:val="24"/>
              </w:rPr>
              <w:t>有效的投标报价中的最低价为评标基准价，按照下列公式计算每个投标人的投标价格得分。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方正仿宋_GBK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  <w:szCs w:val="24"/>
              </w:rPr>
              <w:t>投标报价得分＝（评标基准价/投标报价）×价格权重×100。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 w:cs="方正仿宋_GBK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  <w:szCs w:val="24"/>
              </w:rPr>
              <w:t>高于预算价为无效报价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0" w:hRule="atLeast"/>
        </w:trPr>
        <w:tc>
          <w:tcPr>
            <w:tcW w:w="70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方正仿宋_GBK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方正仿宋_GBK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color w:val="FF0000"/>
                <w:sz w:val="24"/>
                <w:szCs w:val="24"/>
              </w:rPr>
              <w:t>服务部分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微软雅黑" w:cs="方正仿宋_GBK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color w:val="FF0000"/>
                <w:sz w:val="24"/>
                <w:szCs w:val="24"/>
              </w:rPr>
              <w:t>50</w:t>
            </w:r>
          </w:p>
        </w:tc>
        <w:tc>
          <w:tcPr>
            <w:tcW w:w="5997" w:type="dxa"/>
            <w:noWrap w:val="0"/>
            <w:vAlign w:val="center"/>
          </w:tcPr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  <w:szCs w:val="24"/>
              </w:rPr>
              <w:t>服务需求内容提供书面方案。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  <w:szCs w:val="24"/>
              </w:rPr>
              <w:t>1、服务及现场管理方案。（15分）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  <w:szCs w:val="24"/>
              </w:rPr>
              <w:t>①方案描述清晰，完整可行，得15分。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  <w:szCs w:val="24"/>
              </w:rPr>
              <w:t>②方案描述较清晰，较可行，得8-14分。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  <w:szCs w:val="24"/>
              </w:rPr>
              <w:t>③方案描述不够清晰，可行性一般，得1-7分。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  <w:szCs w:val="24"/>
              </w:rPr>
              <w:t>④无方案，得0分。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FF000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  <w:szCs w:val="24"/>
              </w:rPr>
              <w:t>2、服务优化方案。（15分）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  <w:szCs w:val="24"/>
              </w:rPr>
              <w:t>①方案完整、详细、与本项目相适应，得15分。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  <w:szCs w:val="24"/>
              </w:rPr>
              <w:t>②方案较完整、详细、与本项目较相适，得8-14分。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  <w:szCs w:val="24"/>
              </w:rPr>
              <w:t>③方案不够完整、详细，与本项目不太相适，得1-7分。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  <w:szCs w:val="24"/>
              </w:rPr>
              <w:t>④无方案，得0分。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FF000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  <w:szCs w:val="24"/>
              </w:rPr>
              <w:t>3、服务质量保障方案。（10分）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  <w:szCs w:val="24"/>
              </w:rPr>
              <w:t>①方案描述清晰，完整可行，得10分。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  <w:szCs w:val="24"/>
              </w:rPr>
              <w:t>②方案描述较清晰，较可行，得5-9分。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  <w:szCs w:val="24"/>
              </w:rPr>
              <w:t>③方案描述不够清晰，可行性一般，得1-4分。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  <w:szCs w:val="24"/>
              </w:rPr>
              <w:t>④无方案，得0分。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FF000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  <w:szCs w:val="24"/>
              </w:rPr>
              <w:t>4、服务现场安全保障方案（10分）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  <w:szCs w:val="24"/>
              </w:rPr>
              <w:t>①方案描述清晰，完整可行，得10分。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  <w:szCs w:val="24"/>
              </w:rPr>
              <w:t>②方案描述较清晰，较可行，得5-9分。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  <w:szCs w:val="24"/>
              </w:rPr>
              <w:t>③方案描述不够清晰，可行性一般，得1-4分。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  <w:szCs w:val="24"/>
              </w:rPr>
              <w:t>④无方案，得0分。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 w:cs="方正仿宋_GBK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  <w:szCs w:val="24"/>
              </w:rPr>
              <w:t>采购人会根据采购服务要求为标准，对各供应商提供的书面方案进行横向比较评分。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</w:trPr>
        <w:tc>
          <w:tcPr>
            <w:tcW w:w="7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方正仿宋_GBK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方正仿宋_GBK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color w:val="FF0000"/>
                <w:sz w:val="24"/>
                <w:szCs w:val="24"/>
              </w:rPr>
              <w:t>商务部分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outlineLvl w:val="2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  <w:szCs w:val="24"/>
              </w:rPr>
              <w:t>20</w:t>
            </w:r>
          </w:p>
        </w:tc>
        <w:tc>
          <w:tcPr>
            <w:tcW w:w="5997" w:type="dxa"/>
            <w:noWrap w:val="0"/>
            <w:vAlign w:val="center"/>
          </w:tcPr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  <w:szCs w:val="24"/>
              </w:rPr>
              <w:t>供应商自20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</w:rPr>
              <w:t>年1月1日起在全国范围内提供过类似服务的，每提供1份合同或其他有效证明文件得5分，最高得20分。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spacing w:line="320" w:lineRule="exact"/>
              <w:rPr>
                <w:rFonts w:ascii="宋体" w:hAnsi="宋体" w:cs="方正仿宋_GBK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  <w:szCs w:val="24"/>
              </w:rPr>
              <w:t>提供合同或其他有效证明文件扫描件，原件备查。</w:t>
            </w:r>
          </w:p>
        </w:tc>
      </w:tr>
    </w:tbl>
    <w:p>
      <w:bookmarkStart w:id="0" w:name="_GoBack"/>
      <w:bookmarkEnd w:id="0"/>
    </w:p>
    <w:sectPr>
      <w:headerReference r:id="rId3" w:type="default"/>
      <w:footerReference r:id="rId4" w:type="default"/>
      <w:pgSz w:w="11907" w:h="16840"/>
      <w:pgMar w:top="1134" w:right="1191" w:bottom="1134" w:left="1304" w:header="851" w:footer="992" w:gutter="0"/>
      <w:pgNumType w:fmt="numberInDash"/>
      <w:cols w:space="720" w:num="1"/>
      <w:docGrid w:linePitch="380" w:charSpace="-57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90500" cy="1314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50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- 5 -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1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KKkUuzQAAAAAwEAAA8AAAAAAAAAAQAgAAAAIgAAAGRy&#10;cy9kb3ducmV2LnhtbFBLAQIUABQAAAAIAIdO4kC9u/foDQIAABAEAAAOAAAAAAAAAAEAIAAAAB8B&#10;AABkcnMvZTJvRG9jLnhtbFBLBQYAAAAABgAGAFkBAACe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- 5 -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  <w:jc w:val="both"/>
      <w:rPr>
        <w:rFonts w:ascii="方正仿宋_GBK" w:eastAsia="方正仿宋_GBK"/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4ZTFmYzljNTJiZjBjMTJmYjQzOTY2NzNiMDhiMzQifQ=="/>
  </w:docVars>
  <w:rsids>
    <w:rsidRoot w:val="693D54F0"/>
    <w:rsid w:val="05157BA2"/>
    <w:rsid w:val="05EE76C9"/>
    <w:rsid w:val="06A050CB"/>
    <w:rsid w:val="06B42EB1"/>
    <w:rsid w:val="0A1421D6"/>
    <w:rsid w:val="0B8B6D4B"/>
    <w:rsid w:val="0BB34F64"/>
    <w:rsid w:val="0EAA5DC8"/>
    <w:rsid w:val="132F05CB"/>
    <w:rsid w:val="182C07DA"/>
    <w:rsid w:val="1C8651B5"/>
    <w:rsid w:val="1DD40E18"/>
    <w:rsid w:val="1DF83E91"/>
    <w:rsid w:val="2191051A"/>
    <w:rsid w:val="21F12473"/>
    <w:rsid w:val="23EB02D5"/>
    <w:rsid w:val="250E3566"/>
    <w:rsid w:val="26C11296"/>
    <w:rsid w:val="29B06FF2"/>
    <w:rsid w:val="2C416A03"/>
    <w:rsid w:val="30EE1A1C"/>
    <w:rsid w:val="335F3F32"/>
    <w:rsid w:val="36B966AC"/>
    <w:rsid w:val="36FB257C"/>
    <w:rsid w:val="37622728"/>
    <w:rsid w:val="38DC0F08"/>
    <w:rsid w:val="3AB76AC1"/>
    <w:rsid w:val="3E5C371C"/>
    <w:rsid w:val="416A65A4"/>
    <w:rsid w:val="47E250E6"/>
    <w:rsid w:val="4A771465"/>
    <w:rsid w:val="4E724CEA"/>
    <w:rsid w:val="546B406B"/>
    <w:rsid w:val="55807EB1"/>
    <w:rsid w:val="55DE4A60"/>
    <w:rsid w:val="5DB260B4"/>
    <w:rsid w:val="647B1516"/>
    <w:rsid w:val="657038D9"/>
    <w:rsid w:val="693D54F0"/>
    <w:rsid w:val="6AB218A3"/>
    <w:rsid w:val="6AEA5EDC"/>
    <w:rsid w:val="6D500BE4"/>
    <w:rsid w:val="6E610A2F"/>
    <w:rsid w:val="77A313CA"/>
    <w:rsid w:val="7CAD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autoRedefine/>
    <w:qFormat/>
    <w:uiPriority w:val="0"/>
    <w:pPr>
      <w:widowControl/>
      <w:spacing w:line="560" w:lineRule="exact"/>
      <w:ind w:firstLine="200" w:firstLineChars="200"/>
    </w:pPr>
    <w:rPr>
      <w:rFonts w:eastAsia="仿宋_GB2312"/>
      <w:sz w:val="28"/>
      <w:szCs w:val="28"/>
    </w:rPr>
  </w:style>
  <w:style w:type="paragraph" w:styleId="3">
    <w:name w:val="Body Text Indent"/>
    <w:basedOn w:val="1"/>
    <w:autoRedefine/>
    <w:qFormat/>
    <w:uiPriority w:val="0"/>
    <w:pPr>
      <w:spacing w:line="700" w:lineRule="exact"/>
      <w:ind w:left="960"/>
    </w:pPr>
    <w:rPr>
      <w:sz w:val="44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7">
    <w:name w:val="toc 1"/>
    <w:basedOn w:val="1"/>
    <w:next w:val="1"/>
    <w:autoRedefine/>
    <w:qFormat/>
    <w:uiPriority w:val="0"/>
    <w:pPr>
      <w:spacing w:line="180" w:lineRule="auto"/>
      <w:jc w:val="center"/>
    </w:pPr>
    <w:rPr>
      <w:sz w:val="30"/>
    </w:rPr>
  </w:style>
  <w:style w:type="paragraph" w:styleId="8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autoRedefine/>
    <w:qFormat/>
    <w:uiPriority w:val="0"/>
  </w:style>
  <w:style w:type="paragraph" w:customStyle="1" w:styleId="13">
    <w:name w:val="图例"/>
    <w:basedOn w:val="1"/>
    <w:autoRedefine/>
    <w:qFormat/>
    <w:uiPriority w:val="0"/>
    <w:pPr>
      <w:spacing w:before="120" w:after="120" w:line="360" w:lineRule="auto"/>
      <w:jc w:val="center"/>
    </w:pPr>
    <w:rPr>
      <w:rFonts w:eastAsia="仿宋_GB2312"/>
      <w:b/>
      <w:sz w:val="24"/>
    </w:rPr>
  </w:style>
  <w:style w:type="character" w:customStyle="1" w:styleId="14">
    <w:name w:val="font31"/>
    <w:basedOn w:val="11"/>
    <w:autoRedefine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5">
    <w:name w:val="font61"/>
    <w:basedOn w:val="11"/>
    <w:uiPriority w:val="0"/>
    <w:rPr>
      <w:rFonts w:hint="eastAsia" w:ascii="仿宋_GB2312" w:eastAsia="仿宋_GB2312" w:cs="仿宋_GB2312"/>
      <w:color w:val="000000"/>
      <w:sz w:val="12"/>
      <w:szCs w:val="12"/>
      <w:u w:val="none"/>
    </w:rPr>
  </w:style>
  <w:style w:type="character" w:customStyle="1" w:styleId="16">
    <w:name w:val="font71"/>
    <w:basedOn w:val="11"/>
    <w:autoRedefine/>
    <w:qFormat/>
    <w:uiPriority w:val="0"/>
    <w:rPr>
      <w:rFonts w:hint="eastAsia" w:ascii="仿宋_GB2312" w:eastAsia="仿宋_GB2312" w:cs="仿宋_GB2312"/>
      <w:color w:val="000000"/>
      <w:sz w:val="18"/>
      <w:szCs w:val="18"/>
      <w:u w:val="none"/>
    </w:rPr>
  </w:style>
  <w:style w:type="character" w:customStyle="1" w:styleId="17">
    <w:name w:val="font11"/>
    <w:basedOn w:val="11"/>
    <w:autoRedefine/>
    <w:qFormat/>
    <w:uiPriority w:val="0"/>
    <w:rPr>
      <w:rFonts w:hint="default" w:ascii="仿宋_GB2312" w:eastAsia="仿宋_GB2312" w:cs="仿宋_GB2312"/>
      <w:color w:val="000000"/>
      <w:sz w:val="40"/>
      <w:szCs w:val="40"/>
      <w:u w:val="none"/>
    </w:rPr>
  </w:style>
  <w:style w:type="character" w:customStyle="1" w:styleId="18">
    <w:name w:val="font21"/>
    <w:basedOn w:val="11"/>
    <w:autoRedefine/>
    <w:qFormat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  <w:style w:type="character" w:customStyle="1" w:styleId="19">
    <w:name w:val="font51"/>
    <w:basedOn w:val="11"/>
    <w:autoRedefine/>
    <w:qFormat/>
    <w:uiPriority w:val="0"/>
    <w:rPr>
      <w:rFonts w:hint="default" w:ascii="仿宋_GB2312" w:eastAsia="仿宋_GB2312" w:cs="仿宋_GB2312"/>
      <w:color w:val="000000"/>
      <w:sz w:val="18"/>
      <w:szCs w:val="18"/>
      <w:u w:val="none"/>
    </w:rPr>
  </w:style>
  <w:style w:type="character" w:customStyle="1" w:styleId="20">
    <w:name w:val="font41"/>
    <w:basedOn w:val="11"/>
    <w:autoRedefine/>
    <w:qFormat/>
    <w:uiPriority w:val="0"/>
    <w:rPr>
      <w:rFonts w:hint="default"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3676</Words>
  <Characters>4193</Characters>
  <Lines>0</Lines>
  <Paragraphs>0</Paragraphs>
  <TotalTime>0</TotalTime>
  <ScaleCrop>false</ScaleCrop>
  <LinksUpToDate>false</LinksUpToDate>
  <CharactersWithSpaces>4742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2021-12-17T06:17:00Z</dcterms:created>
  <dc:creator>Administrator</dc:creator>
  <cp:lastModifiedBy>Trust</cp:lastModifiedBy>
  <dcterms:modified xsi:type="dcterms:W3CDTF">2024-04-19T07:45:57Z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3EEF80B42C974961BC41D1C54E24DCC5_13</vt:lpwstr>
  </property>
</Properties>
</file>