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ind w:firstLine="643" w:firstLineChars="200"/>
        <w:contextualSpacing/>
        <w:jc w:val="center"/>
        <w:outlineLvl w:val="0"/>
        <w:rPr>
          <w:rFonts w:ascii="宋体" w:hAnsi="宋体" w:cs="宋体"/>
          <w:b/>
          <w:bCs/>
          <w:sz w:val="28"/>
          <w:szCs w:val="28"/>
        </w:rPr>
      </w:pPr>
      <w:bookmarkStart w:id="0" w:name="_Toc20862"/>
      <w:r>
        <w:rPr>
          <w:rFonts w:hint="eastAsia" w:ascii="宋体" w:hAnsi="宋体" w:cs="宋体"/>
          <w:b/>
          <w:bCs/>
          <w:sz w:val="32"/>
          <w:szCs w:val="32"/>
        </w:rPr>
        <w:t>第三章  评标办法（综合评估法）</w:t>
      </w:r>
      <w:bookmarkEnd w:id="0"/>
    </w:p>
    <w:p>
      <w:pPr>
        <w:spacing w:after="120" w:afterLines="50"/>
        <w:jc w:val="center"/>
        <w:outlineLvl w:val="1"/>
        <w:rPr>
          <w:rFonts w:ascii="宋体" w:hAnsi="宋体" w:cs="宋体"/>
          <w:b/>
          <w:bCs/>
          <w:sz w:val="28"/>
          <w:szCs w:val="28"/>
        </w:rPr>
      </w:pPr>
      <w:bookmarkStart w:id="1" w:name="_Toc15191"/>
      <w:bookmarkStart w:id="2" w:name="_Toc488769012"/>
      <w:bookmarkStart w:id="3" w:name="_Toc5767"/>
      <w:r>
        <w:rPr>
          <w:rFonts w:hint="eastAsia" w:ascii="宋体" w:hAnsi="宋体" w:cs="宋体"/>
          <w:b/>
          <w:bCs/>
          <w:sz w:val="28"/>
          <w:szCs w:val="28"/>
        </w:rPr>
        <w:t>一、评标办法前附表</w:t>
      </w:r>
      <w:bookmarkEnd w:id="1"/>
      <w:bookmarkEnd w:id="2"/>
      <w:bookmarkEnd w:id="3"/>
    </w:p>
    <w:tbl>
      <w:tblPr>
        <w:tblStyle w:val="8"/>
        <w:tblW w:w="99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0"/>
        <w:gridCol w:w="1055"/>
        <w:gridCol w:w="1533"/>
        <w:gridCol w:w="753"/>
        <w:gridCol w:w="58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825" w:type="dxa"/>
            <w:gridSpan w:val="2"/>
            <w:vAlign w:val="center"/>
          </w:tcPr>
          <w:p>
            <w:pPr>
              <w:spacing w:line="360" w:lineRule="auto"/>
              <w:jc w:val="center"/>
              <w:rPr>
                <w:rFonts w:ascii="宋体" w:hAnsi="宋体" w:cs="宋体"/>
                <w:b/>
                <w:szCs w:val="21"/>
              </w:rPr>
            </w:pPr>
            <w:r>
              <w:rPr>
                <w:rFonts w:hint="eastAsia" w:ascii="宋体" w:hAnsi="宋体" w:cs="宋体"/>
                <w:b/>
                <w:szCs w:val="21"/>
              </w:rPr>
              <w:t>条款号</w:t>
            </w:r>
          </w:p>
        </w:tc>
        <w:tc>
          <w:tcPr>
            <w:tcW w:w="2286" w:type="dxa"/>
            <w:gridSpan w:val="2"/>
            <w:vAlign w:val="center"/>
          </w:tcPr>
          <w:p>
            <w:pPr>
              <w:spacing w:line="360" w:lineRule="auto"/>
              <w:jc w:val="center"/>
              <w:rPr>
                <w:rFonts w:ascii="宋体" w:hAnsi="宋体" w:cs="宋体"/>
                <w:b/>
                <w:szCs w:val="21"/>
              </w:rPr>
            </w:pPr>
            <w:r>
              <w:rPr>
                <w:rFonts w:hint="eastAsia" w:ascii="宋体" w:hAnsi="宋体" w:cs="宋体"/>
                <w:b/>
                <w:szCs w:val="21"/>
              </w:rPr>
              <w:t>评审因素</w:t>
            </w:r>
          </w:p>
        </w:tc>
        <w:tc>
          <w:tcPr>
            <w:tcW w:w="5864" w:type="dxa"/>
            <w:vAlign w:val="center"/>
          </w:tcPr>
          <w:p>
            <w:pPr>
              <w:spacing w:line="360" w:lineRule="auto"/>
              <w:jc w:val="center"/>
              <w:rPr>
                <w:rFonts w:ascii="宋体" w:hAnsi="宋体" w:cs="宋体"/>
                <w:b/>
                <w:szCs w:val="21"/>
              </w:rPr>
            </w:pPr>
            <w:r>
              <w:rPr>
                <w:rFonts w:hint="eastAsia" w:ascii="宋体" w:hAnsi="宋体" w:cs="宋体"/>
                <w:b/>
                <w:szCs w:val="21"/>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770" w:type="dxa"/>
            <w:vMerge w:val="restart"/>
            <w:vAlign w:val="center"/>
          </w:tcPr>
          <w:p>
            <w:pPr>
              <w:spacing w:line="360" w:lineRule="auto"/>
              <w:jc w:val="center"/>
              <w:rPr>
                <w:rFonts w:ascii="宋体" w:hAnsi="宋体" w:cs="宋体"/>
                <w:szCs w:val="21"/>
              </w:rPr>
            </w:pPr>
            <w:r>
              <w:rPr>
                <w:rFonts w:hint="eastAsia" w:ascii="宋体" w:hAnsi="宋体" w:cs="宋体"/>
                <w:szCs w:val="21"/>
              </w:rPr>
              <w:t>2.1.1</w:t>
            </w:r>
          </w:p>
          <w:p>
            <w:pPr>
              <w:spacing w:line="360" w:lineRule="auto"/>
              <w:jc w:val="center"/>
              <w:rPr>
                <w:rFonts w:ascii="宋体" w:hAnsi="宋体" w:cs="宋体"/>
                <w:szCs w:val="21"/>
              </w:rPr>
            </w:pPr>
          </w:p>
        </w:tc>
        <w:tc>
          <w:tcPr>
            <w:tcW w:w="1055" w:type="dxa"/>
            <w:vMerge w:val="restart"/>
            <w:vAlign w:val="center"/>
          </w:tcPr>
          <w:p>
            <w:pPr>
              <w:adjustRightInd w:val="0"/>
              <w:snapToGrid w:val="0"/>
              <w:spacing w:line="360" w:lineRule="auto"/>
              <w:jc w:val="center"/>
              <w:rPr>
                <w:rFonts w:ascii="宋体" w:hAnsi="宋体" w:cs="宋体"/>
                <w:szCs w:val="21"/>
              </w:rPr>
            </w:pPr>
            <w:r>
              <w:rPr>
                <w:rFonts w:hint="eastAsia" w:ascii="宋体" w:hAnsi="宋体" w:cs="宋体"/>
                <w:kern w:val="0"/>
                <w:szCs w:val="21"/>
              </w:rPr>
              <w:t>资格审查87号令</w:t>
            </w:r>
          </w:p>
        </w:tc>
        <w:tc>
          <w:tcPr>
            <w:tcW w:w="2286" w:type="dxa"/>
            <w:gridSpan w:val="2"/>
            <w:vAlign w:val="center"/>
          </w:tcPr>
          <w:p>
            <w:pPr>
              <w:adjustRightInd w:val="0"/>
              <w:snapToGrid w:val="0"/>
              <w:spacing w:line="360" w:lineRule="auto"/>
              <w:jc w:val="left"/>
              <w:rPr>
                <w:rFonts w:ascii="宋体" w:hAnsi="宋体" w:cs="宋体"/>
                <w:szCs w:val="21"/>
              </w:rPr>
            </w:pPr>
            <w:r>
              <w:rPr>
                <w:rFonts w:hint="eastAsia" w:ascii="宋体" w:hAnsi="宋体" w:cs="宋体"/>
                <w:kern w:val="0"/>
                <w:szCs w:val="21"/>
              </w:rPr>
              <w:t>具有独立承担民事责任的能力</w:t>
            </w:r>
          </w:p>
        </w:tc>
        <w:tc>
          <w:tcPr>
            <w:tcW w:w="5864" w:type="dxa"/>
            <w:vAlign w:val="center"/>
          </w:tcPr>
          <w:p>
            <w:pPr>
              <w:adjustRightInd w:val="0"/>
              <w:snapToGrid w:val="0"/>
              <w:spacing w:line="360" w:lineRule="auto"/>
              <w:rPr>
                <w:rFonts w:ascii="宋体" w:hAnsi="宋体" w:cs="宋体"/>
                <w:szCs w:val="21"/>
              </w:rPr>
            </w:pPr>
            <w:r>
              <w:rPr>
                <w:rFonts w:hint="eastAsia" w:ascii="宋体" w:hAnsi="宋体" w:cs="宋体"/>
                <w:szCs w:val="21"/>
              </w:rPr>
              <w:t>在中国境内注册，具有独立法人资格，能够独立承担民事责任，在国内合法提供采购内容及其相应服务，具备有效的法人或者其他组织的营业执照或其他证明文件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szCs w:val="21"/>
              </w:rPr>
            </w:pPr>
            <w:r>
              <w:rPr>
                <w:rFonts w:hint="eastAsia" w:ascii="宋体" w:hAnsi="宋体" w:cs="宋体"/>
                <w:szCs w:val="21"/>
              </w:rPr>
              <w:t>具有良好的商业信誉和健全的财务会计制度</w:t>
            </w:r>
          </w:p>
        </w:tc>
        <w:tc>
          <w:tcPr>
            <w:tcW w:w="5864" w:type="dxa"/>
            <w:vAlign w:val="center"/>
          </w:tcPr>
          <w:p>
            <w:pPr>
              <w:adjustRightInd w:val="0"/>
              <w:snapToGrid w:val="0"/>
              <w:spacing w:line="360" w:lineRule="auto"/>
              <w:rPr>
                <w:rFonts w:ascii="宋体" w:hAnsi="宋体" w:cs="宋体"/>
                <w:szCs w:val="21"/>
              </w:rPr>
            </w:pPr>
            <w:r>
              <w:rPr>
                <w:rFonts w:hint="eastAsia" w:ascii="宋体" w:hAnsi="宋体" w:cs="宋体"/>
                <w:szCs w:val="21"/>
              </w:rPr>
              <w:t>提供2021年至今任意一年财务报表（包含资产负债表、利润表、现金流量表等）或者提供经第三方中介机构/审计部门审计的财务报表或财务报告（新成立不满一年的供应商提供成立至今的财务报表或银行资信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szCs w:val="21"/>
              </w:rPr>
            </w:pPr>
            <w:r>
              <w:rPr>
                <w:rFonts w:hint="eastAsia" w:ascii="宋体" w:hAnsi="宋体" w:cs="宋体"/>
                <w:szCs w:val="21"/>
              </w:rPr>
              <w:t>具有履行合同所必需的设备和专业技术能力</w:t>
            </w:r>
          </w:p>
        </w:tc>
        <w:tc>
          <w:tcPr>
            <w:tcW w:w="5864" w:type="dxa"/>
            <w:vAlign w:val="center"/>
          </w:tcPr>
          <w:p>
            <w:pPr>
              <w:adjustRightInd w:val="0"/>
              <w:snapToGrid w:val="0"/>
              <w:spacing w:line="360" w:lineRule="auto"/>
              <w:rPr>
                <w:rFonts w:ascii="宋体" w:hAnsi="宋体" w:cs="宋体"/>
                <w:szCs w:val="21"/>
              </w:rPr>
            </w:pPr>
            <w:r>
              <w:rPr>
                <w:rFonts w:hint="eastAsia" w:ascii="宋体" w:hAnsi="宋体" w:cs="宋体"/>
                <w:szCs w:val="21"/>
              </w:rPr>
              <w:t>提供具有履行合同所必需的设备和专业技术能力的承诺书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szCs w:val="21"/>
              </w:rPr>
            </w:pPr>
            <w:r>
              <w:rPr>
                <w:rFonts w:hint="eastAsia" w:ascii="宋体" w:hAnsi="宋体" w:cs="宋体"/>
                <w:szCs w:val="21"/>
              </w:rPr>
              <w:t>具有依法缴纳税收和社会保障资金的良好记录</w:t>
            </w:r>
          </w:p>
        </w:tc>
        <w:tc>
          <w:tcPr>
            <w:tcW w:w="5864" w:type="dxa"/>
            <w:vAlign w:val="center"/>
          </w:tcPr>
          <w:p>
            <w:pPr>
              <w:adjustRightInd w:val="0"/>
              <w:snapToGrid w:val="0"/>
              <w:spacing w:line="360" w:lineRule="auto"/>
              <w:rPr>
                <w:rFonts w:ascii="宋体" w:hAnsi="宋体" w:cs="宋体"/>
                <w:szCs w:val="21"/>
              </w:rPr>
            </w:pPr>
            <w:r>
              <w:rPr>
                <w:rFonts w:hint="eastAsia" w:ascii="宋体" w:hAnsi="宋体" w:cs="宋体"/>
                <w:szCs w:val="21"/>
              </w:rPr>
              <w:t>提供缴税所属时间在2023年1月至今任意1个月的税务局税收通用缴款书复印件或银行电子缴税（费）凭证复印件或税务局出具纳税情况的相关证明复印件；提供缴费所属时间在 2023年1月至今任意1个月的社会保险费缴款书复印件或银行电子缴税（费）凭证复印件或社保管理部门出具的有效的缴款证明复印件，依法免税免缴的提供相应证明材料）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kern w:val="0"/>
                <w:szCs w:val="21"/>
              </w:rPr>
            </w:pPr>
            <w:r>
              <w:rPr>
                <w:rFonts w:hint="eastAsia" w:ascii="宋体" w:hAnsi="宋体" w:cs="宋体"/>
                <w:szCs w:val="21"/>
              </w:rPr>
              <w:t>参加政府采购活动前3年内在经营活动中没有重大违法记录</w:t>
            </w:r>
          </w:p>
        </w:tc>
        <w:tc>
          <w:tcPr>
            <w:tcW w:w="5864" w:type="dxa"/>
            <w:vAlign w:val="center"/>
          </w:tcPr>
          <w:p>
            <w:pPr>
              <w:adjustRightInd w:val="0"/>
              <w:snapToGrid w:val="0"/>
              <w:spacing w:line="360" w:lineRule="auto"/>
              <w:rPr>
                <w:rFonts w:ascii="宋体" w:hAnsi="宋体" w:cs="宋体"/>
                <w:kern w:val="0"/>
                <w:szCs w:val="21"/>
              </w:rPr>
            </w:pPr>
            <w:r>
              <w:rPr>
                <w:rFonts w:hint="eastAsia" w:ascii="宋体" w:hAnsi="宋体" w:cs="宋体"/>
                <w:szCs w:val="21"/>
              </w:rPr>
              <w:t>提供参加本次政府采购活动前3年内（2021年1月1日至今）在经营活动中没有重大违法记录的书面声明，声明中包含本次采购的项目名称及项目编号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kern w:val="0"/>
                <w:szCs w:val="21"/>
              </w:rPr>
            </w:pPr>
            <w:r>
              <w:rPr>
                <w:rFonts w:hint="eastAsia" w:ascii="宋体" w:hAnsi="宋体" w:cs="宋体"/>
                <w:szCs w:val="21"/>
              </w:rPr>
              <w:t>法律、行政法规规定的其他条件</w:t>
            </w:r>
          </w:p>
        </w:tc>
        <w:tc>
          <w:tcPr>
            <w:tcW w:w="5864" w:type="dxa"/>
            <w:vAlign w:val="center"/>
          </w:tcPr>
          <w:p>
            <w:pPr>
              <w:adjustRightInd w:val="0"/>
              <w:snapToGrid w:val="0"/>
              <w:spacing w:line="360" w:lineRule="auto"/>
              <w:rPr>
                <w:rFonts w:ascii="宋体" w:hAnsi="宋体" w:cs="宋体"/>
                <w:kern w:val="0"/>
                <w:szCs w:val="21"/>
              </w:rPr>
            </w:pPr>
            <w:r>
              <w:rPr>
                <w:rFonts w:hint="eastAsia" w:ascii="宋体" w:hAnsi="宋体" w:cs="宋体"/>
                <w:szCs w:val="21"/>
              </w:rPr>
              <w:t>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参与本项目的供应商信用查询截止时点：本项目招标公告发布之日起至投标截止时间前（查询结果以采购代理机构查询结果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kern w:val="0"/>
                <w:szCs w:val="21"/>
              </w:rPr>
            </w:pPr>
            <w:r>
              <w:rPr>
                <w:rFonts w:hint="eastAsia" w:ascii="宋体" w:hAnsi="宋体" w:cs="宋体"/>
                <w:szCs w:val="21"/>
              </w:rPr>
              <w:t>本项目的特定资格要求</w:t>
            </w:r>
          </w:p>
        </w:tc>
        <w:tc>
          <w:tcPr>
            <w:tcW w:w="5864" w:type="dxa"/>
            <w:vAlign w:val="center"/>
          </w:tcPr>
          <w:p>
            <w:pPr>
              <w:adjustRightInd w:val="0"/>
              <w:snapToGrid w:val="0"/>
              <w:spacing w:line="360" w:lineRule="auto"/>
              <w:rPr>
                <w:rFonts w:ascii="宋体" w:hAnsi="宋体" w:cs="宋体"/>
                <w:kern w:val="0"/>
                <w:szCs w:val="21"/>
              </w:rPr>
            </w:pPr>
            <w:r>
              <w:rPr>
                <w:rFonts w:hint="eastAsia" w:ascii="宋体" w:hAnsi="宋体" w:cs="宋体"/>
                <w:kern w:val="0"/>
                <w:szCs w:val="21"/>
              </w:rPr>
              <w:t>详见竞争性磋商公告“投标供应商的资格要求”。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0" w:type="dxa"/>
            <w:vMerge w:val="restart"/>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2.1.2</w:t>
            </w:r>
          </w:p>
        </w:tc>
        <w:tc>
          <w:tcPr>
            <w:tcW w:w="1055" w:type="dxa"/>
            <w:vMerge w:val="restart"/>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形式响应性评审标准</w:t>
            </w:r>
          </w:p>
        </w:tc>
        <w:tc>
          <w:tcPr>
            <w:tcW w:w="2286" w:type="dxa"/>
            <w:gridSpan w:val="2"/>
            <w:vAlign w:val="center"/>
          </w:tcPr>
          <w:p>
            <w:pPr>
              <w:spacing w:line="360" w:lineRule="auto"/>
              <w:jc w:val="left"/>
              <w:rPr>
                <w:rFonts w:ascii="宋体" w:hAnsi="宋体" w:cs="宋体"/>
                <w:kern w:val="0"/>
                <w:szCs w:val="21"/>
              </w:rPr>
            </w:pPr>
            <w:r>
              <w:rPr>
                <w:rFonts w:hint="eastAsia" w:ascii="宋体" w:hAnsi="宋体" w:cs="宋体"/>
                <w:szCs w:val="21"/>
              </w:rPr>
              <w:t>供应商名称</w:t>
            </w:r>
          </w:p>
        </w:tc>
        <w:tc>
          <w:tcPr>
            <w:tcW w:w="5864" w:type="dxa"/>
            <w:vAlign w:val="center"/>
          </w:tcPr>
          <w:p>
            <w:pPr>
              <w:spacing w:line="360" w:lineRule="auto"/>
              <w:rPr>
                <w:rFonts w:ascii="宋体" w:hAnsi="宋体" w:cs="宋体"/>
                <w:kern w:val="0"/>
                <w:szCs w:val="21"/>
              </w:rPr>
            </w:pPr>
            <w:r>
              <w:rPr>
                <w:rFonts w:hint="eastAsia" w:ascii="宋体" w:hAnsi="宋体" w:cs="宋体"/>
                <w:szCs w:val="21"/>
              </w:rPr>
              <w:t>与营业执照一致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spacing w:line="360" w:lineRule="auto"/>
              <w:jc w:val="left"/>
              <w:rPr>
                <w:rFonts w:ascii="宋体" w:hAnsi="宋体" w:cs="宋体"/>
                <w:kern w:val="0"/>
                <w:szCs w:val="21"/>
              </w:rPr>
            </w:pPr>
            <w:r>
              <w:rPr>
                <w:rFonts w:hint="eastAsia" w:ascii="宋体" w:hAnsi="宋体" w:cs="宋体"/>
                <w:szCs w:val="21"/>
              </w:rPr>
              <w:t>响应文件的签署</w:t>
            </w:r>
          </w:p>
        </w:tc>
        <w:tc>
          <w:tcPr>
            <w:tcW w:w="5864" w:type="dxa"/>
            <w:vAlign w:val="center"/>
          </w:tcPr>
          <w:p>
            <w:pPr>
              <w:spacing w:line="360" w:lineRule="auto"/>
              <w:rPr>
                <w:rFonts w:ascii="宋体" w:hAnsi="宋体" w:cs="宋体"/>
                <w:kern w:val="0"/>
                <w:szCs w:val="21"/>
              </w:rPr>
            </w:pPr>
            <w:r>
              <w:rPr>
                <w:rFonts w:hint="eastAsia" w:ascii="宋体" w:hAnsi="宋体" w:cs="宋体"/>
                <w:szCs w:val="21"/>
              </w:rPr>
              <w:t>符合第二章“供应商须知”第3.6.3项要求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spacing w:line="360" w:lineRule="auto"/>
              <w:jc w:val="left"/>
              <w:rPr>
                <w:rFonts w:ascii="宋体" w:hAnsi="宋体" w:cs="宋体"/>
                <w:szCs w:val="21"/>
              </w:rPr>
            </w:pPr>
            <w:r>
              <w:rPr>
                <w:rFonts w:hint="eastAsia" w:ascii="宋体" w:hAnsi="宋体" w:cs="宋体"/>
                <w:szCs w:val="21"/>
              </w:rPr>
              <w:t>响应文件格式</w:t>
            </w:r>
          </w:p>
        </w:tc>
        <w:tc>
          <w:tcPr>
            <w:tcW w:w="5864" w:type="dxa"/>
            <w:vAlign w:val="center"/>
          </w:tcPr>
          <w:p>
            <w:pPr>
              <w:spacing w:line="360" w:lineRule="auto"/>
              <w:rPr>
                <w:rFonts w:ascii="宋体" w:hAnsi="宋体" w:cs="宋体"/>
                <w:szCs w:val="21"/>
              </w:rPr>
            </w:pPr>
            <w:r>
              <w:rPr>
                <w:rFonts w:hint="eastAsia" w:ascii="宋体" w:hAnsi="宋体" w:cs="宋体"/>
                <w:szCs w:val="21"/>
              </w:rPr>
              <w:t>符合第五章“响应文件格式”的要求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5"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spacing w:line="360" w:lineRule="auto"/>
              <w:jc w:val="left"/>
              <w:rPr>
                <w:rFonts w:ascii="宋体" w:hAnsi="宋体" w:cs="宋体"/>
                <w:kern w:val="0"/>
                <w:szCs w:val="21"/>
              </w:rPr>
            </w:pPr>
            <w:r>
              <w:rPr>
                <w:rFonts w:hint="eastAsia" w:ascii="宋体" w:hAnsi="宋体" w:cs="宋体"/>
                <w:szCs w:val="21"/>
              </w:rPr>
              <w:t>投标价格</w:t>
            </w:r>
          </w:p>
        </w:tc>
        <w:tc>
          <w:tcPr>
            <w:tcW w:w="5864" w:type="dxa"/>
            <w:vAlign w:val="center"/>
          </w:tcPr>
          <w:p>
            <w:pPr>
              <w:spacing w:line="360" w:lineRule="auto"/>
              <w:rPr>
                <w:rFonts w:ascii="宋体" w:hAnsi="宋体" w:cs="宋体"/>
                <w:kern w:val="0"/>
                <w:szCs w:val="21"/>
              </w:rPr>
            </w:pPr>
            <w:r>
              <w:rPr>
                <w:rFonts w:hint="eastAsia" w:ascii="宋体" w:hAnsi="宋体" w:cs="宋体"/>
                <w:szCs w:val="21"/>
              </w:rPr>
              <w:t>低于（含等于）第二章“供应商须知”前附表第3.2.3款载明的最高投标限价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tcBorders>
              <w:top w:val="single" w:color="auto" w:sz="4" w:space="0"/>
            </w:tcBorders>
            <w:vAlign w:val="center"/>
          </w:tcPr>
          <w:p>
            <w:pPr>
              <w:adjustRightInd w:val="0"/>
              <w:snapToGrid w:val="0"/>
              <w:spacing w:line="360" w:lineRule="auto"/>
              <w:jc w:val="left"/>
              <w:rPr>
                <w:rFonts w:ascii="宋体" w:hAnsi="宋体" w:cs="宋体"/>
                <w:kern w:val="0"/>
                <w:szCs w:val="21"/>
              </w:rPr>
            </w:pPr>
            <w:r>
              <w:rPr>
                <w:rFonts w:hint="eastAsia" w:ascii="宋体" w:hAnsi="宋体" w:cs="宋体"/>
                <w:szCs w:val="21"/>
              </w:rPr>
              <w:t>投标内容</w:t>
            </w:r>
          </w:p>
        </w:tc>
        <w:tc>
          <w:tcPr>
            <w:tcW w:w="5864" w:type="dxa"/>
            <w:vAlign w:val="center"/>
          </w:tcPr>
          <w:p>
            <w:pPr>
              <w:adjustRightInd w:val="0"/>
              <w:snapToGrid w:val="0"/>
              <w:spacing w:line="360" w:lineRule="auto"/>
              <w:rPr>
                <w:rFonts w:ascii="宋体" w:hAnsi="宋体" w:cs="宋体"/>
                <w:kern w:val="0"/>
                <w:szCs w:val="21"/>
              </w:rPr>
            </w:pPr>
            <w:r>
              <w:rPr>
                <w:rFonts w:hint="eastAsia" w:ascii="宋体" w:hAnsi="宋体" w:cs="宋体"/>
                <w:szCs w:val="21"/>
              </w:rPr>
              <w:t>符合第二章“供应商须知”第1.3.1项规定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kern w:val="0"/>
                <w:szCs w:val="21"/>
              </w:rPr>
            </w:pPr>
            <w:r>
              <w:rPr>
                <w:rFonts w:hint="eastAsia" w:ascii="宋体" w:hAnsi="宋体" w:cs="宋体"/>
                <w:kern w:val="0"/>
                <w:szCs w:val="21"/>
              </w:rPr>
              <w:t>合同履行期限</w:t>
            </w:r>
          </w:p>
        </w:tc>
        <w:tc>
          <w:tcPr>
            <w:tcW w:w="5864" w:type="dxa"/>
            <w:vAlign w:val="center"/>
          </w:tcPr>
          <w:p>
            <w:pPr>
              <w:adjustRightInd w:val="0"/>
              <w:snapToGrid w:val="0"/>
              <w:spacing w:line="360" w:lineRule="auto"/>
              <w:rPr>
                <w:rFonts w:ascii="宋体" w:hAnsi="宋体" w:cs="宋体"/>
                <w:szCs w:val="21"/>
              </w:rPr>
            </w:pPr>
            <w:r>
              <w:rPr>
                <w:rFonts w:hint="eastAsia" w:ascii="宋体" w:hAnsi="宋体" w:cs="宋体"/>
                <w:szCs w:val="21"/>
              </w:rPr>
              <w:t>符合第二章“供应商须知”第1.3.2项规定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kern w:val="0"/>
                <w:szCs w:val="21"/>
              </w:rPr>
            </w:pPr>
            <w:r>
              <w:rPr>
                <w:rFonts w:hint="eastAsia" w:ascii="宋体" w:hAnsi="宋体" w:cs="宋体"/>
                <w:szCs w:val="21"/>
              </w:rPr>
              <w:t>质量要求</w:t>
            </w:r>
          </w:p>
        </w:tc>
        <w:tc>
          <w:tcPr>
            <w:tcW w:w="5864" w:type="dxa"/>
            <w:vAlign w:val="center"/>
          </w:tcPr>
          <w:p>
            <w:pPr>
              <w:adjustRightInd w:val="0"/>
              <w:snapToGrid w:val="0"/>
              <w:spacing w:line="360" w:lineRule="auto"/>
              <w:rPr>
                <w:rFonts w:ascii="宋体" w:hAnsi="宋体" w:cs="宋体"/>
                <w:szCs w:val="21"/>
              </w:rPr>
            </w:pPr>
            <w:r>
              <w:rPr>
                <w:rFonts w:hint="eastAsia" w:ascii="宋体" w:hAnsi="宋体" w:cs="宋体"/>
                <w:szCs w:val="21"/>
              </w:rPr>
              <w:t>符合第二章“供应商须知”第1.3.3项规定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kern w:val="0"/>
                <w:szCs w:val="21"/>
              </w:rPr>
            </w:pPr>
            <w:r>
              <w:rPr>
                <w:rFonts w:hint="eastAsia" w:ascii="宋体" w:hAnsi="宋体" w:cs="宋体"/>
                <w:szCs w:val="21"/>
              </w:rPr>
              <w:t>投标有效期</w:t>
            </w:r>
          </w:p>
        </w:tc>
        <w:tc>
          <w:tcPr>
            <w:tcW w:w="5864" w:type="dxa"/>
            <w:vAlign w:val="center"/>
          </w:tcPr>
          <w:p>
            <w:pPr>
              <w:adjustRightInd w:val="0"/>
              <w:snapToGrid w:val="0"/>
              <w:spacing w:line="360" w:lineRule="auto"/>
              <w:rPr>
                <w:rFonts w:ascii="宋体" w:hAnsi="宋体" w:cs="宋体"/>
                <w:szCs w:val="21"/>
              </w:rPr>
            </w:pPr>
            <w:r>
              <w:rPr>
                <w:rFonts w:hint="eastAsia" w:ascii="宋体" w:hAnsi="宋体" w:cs="宋体"/>
                <w:szCs w:val="21"/>
              </w:rPr>
              <w:t>符合第二章“供应商须知”第3.3.1项规定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szCs w:val="21"/>
              </w:rPr>
            </w:pPr>
            <w:r>
              <w:rPr>
                <w:rFonts w:hint="eastAsia" w:ascii="宋体" w:hAnsi="宋体" w:cs="宋体"/>
                <w:szCs w:val="21"/>
              </w:rPr>
              <w:t>权利义务</w:t>
            </w:r>
          </w:p>
        </w:tc>
        <w:tc>
          <w:tcPr>
            <w:tcW w:w="5864" w:type="dxa"/>
            <w:vAlign w:val="center"/>
          </w:tcPr>
          <w:p>
            <w:pPr>
              <w:adjustRightInd w:val="0"/>
              <w:snapToGrid w:val="0"/>
              <w:spacing w:line="360" w:lineRule="auto"/>
              <w:rPr>
                <w:rFonts w:ascii="宋体" w:hAnsi="宋体" w:cs="宋体"/>
                <w:szCs w:val="21"/>
              </w:rPr>
            </w:pPr>
            <w:r>
              <w:rPr>
                <w:rFonts w:hint="eastAsia" w:ascii="宋体" w:hAnsi="宋体" w:cs="宋体"/>
                <w:szCs w:val="21"/>
              </w:rPr>
              <w:t>符合第四章“合同条款及格式”规定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770" w:type="dxa"/>
            <w:vMerge w:val="continue"/>
            <w:vAlign w:val="center"/>
          </w:tcPr>
          <w:p>
            <w:pPr>
              <w:spacing w:line="360" w:lineRule="auto"/>
              <w:jc w:val="center"/>
              <w:rPr>
                <w:rFonts w:ascii="宋体" w:hAnsi="宋体" w:cs="宋体"/>
                <w:szCs w:val="21"/>
              </w:rPr>
            </w:pPr>
          </w:p>
        </w:tc>
        <w:tc>
          <w:tcPr>
            <w:tcW w:w="1055" w:type="dxa"/>
            <w:vMerge w:val="continue"/>
            <w:vAlign w:val="center"/>
          </w:tcPr>
          <w:p>
            <w:pPr>
              <w:spacing w:line="360" w:lineRule="auto"/>
              <w:jc w:val="center"/>
              <w:rPr>
                <w:rFonts w:ascii="宋体" w:hAnsi="宋体" w:cs="宋体"/>
                <w:szCs w:val="21"/>
              </w:rPr>
            </w:pPr>
          </w:p>
        </w:tc>
        <w:tc>
          <w:tcPr>
            <w:tcW w:w="2286" w:type="dxa"/>
            <w:gridSpan w:val="2"/>
            <w:vAlign w:val="center"/>
          </w:tcPr>
          <w:p>
            <w:pPr>
              <w:adjustRightInd w:val="0"/>
              <w:snapToGrid w:val="0"/>
              <w:spacing w:line="360" w:lineRule="auto"/>
              <w:jc w:val="left"/>
              <w:rPr>
                <w:rFonts w:ascii="宋体" w:hAnsi="宋体" w:cs="宋体"/>
                <w:kern w:val="0"/>
                <w:szCs w:val="21"/>
              </w:rPr>
            </w:pPr>
            <w:r>
              <w:rPr>
                <w:rFonts w:hint="eastAsia" w:ascii="宋体" w:hAnsi="宋体" w:cs="宋体"/>
                <w:kern w:val="0"/>
                <w:szCs w:val="21"/>
              </w:rPr>
              <w:t>其他</w:t>
            </w:r>
          </w:p>
        </w:tc>
        <w:tc>
          <w:tcPr>
            <w:tcW w:w="5864" w:type="dxa"/>
            <w:vAlign w:val="center"/>
          </w:tcPr>
          <w:p>
            <w:pPr>
              <w:adjustRightInd w:val="0"/>
              <w:snapToGrid w:val="0"/>
              <w:spacing w:line="360" w:lineRule="auto"/>
              <w:rPr>
                <w:rFonts w:ascii="宋体" w:hAnsi="宋体" w:cs="宋体"/>
                <w:kern w:val="0"/>
                <w:szCs w:val="21"/>
              </w:rPr>
            </w:pPr>
            <w:r>
              <w:rPr>
                <w:rFonts w:hint="eastAsia" w:ascii="宋体" w:hAnsi="宋体" w:cs="宋体"/>
                <w:kern w:val="0"/>
                <w:szCs w:val="21"/>
              </w:rPr>
              <w:t>符合竞争性磋商文件要求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1825" w:type="dxa"/>
            <w:gridSpan w:val="2"/>
            <w:vAlign w:val="center"/>
          </w:tcPr>
          <w:p>
            <w:pPr>
              <w:spacing w:line="360" w:lineRule="auto"/>
              <w:jc w:val="center"/>
              <w:rPr>
                <w:rFonts w:ascii="宋体" w:hAnsi="宋体" w:cs="宋体"/>
                <w:szCs w:val="21"/>
              </w:rPr>
            </w:pPr>
            <w:r>
              <w:rPr>
                <w:rFonts w:hint="eastAsia" w:ascii="宋体" w:hAnsi="宋体" w:cs="宋体"/>
                <w:snapToGrid w:val="0"/>
                <w:kern w:val="0"/>
                <w:szCs w:val="21"/>
              </w:rPr>
              <w:t>2.2.1</w:t>
            </w:r>
          </w:p>
        </w:tc>
        <w:tc>
          <w:tcPr>
            <w:tcW w:w="2286" w:type="dxa"/>
            <w:gridSpan w:val="2"/>
            <w:vAlign w:val="center"/>
          </w:tcPr>
          <w:p>
            <w:pPr>
              <w:adjustRightInd w:val="0"/>
              <w:snapToGrid w:val="0"/>
              <w:spacing w:line="360" w:lineRule="auto"/>
              <w:rPr>
                <w:rFonts w:ascii="宋体" w:hAnsi="宋体" w:cs="宋体"/>
                <w:szCs w:val="21"/>
              </w:rPr>
            </w:pPr>
            <w:r>
              <w:rPr>
                <w:rFonts w:hint="eastAsia" w:ascii="宋体" w:hAnsi="宋体" w:cs="宋体"/>
                <w:snapToGrid w:val="0"/>
                <w:kern w:val="0"/>
                <w:szCs w:val="21"/>
              </w:rPr>
              <w:t>分值构成</w:t>
            </w:r>
          </w:p>
        </w:tc>
        <w:tc>
          <w:tcPr>
            <w:tcW w:w="5864" w:type="dxa"/>
            <w:vAlign w:val="center"/>
          </w:tcPr>
          <w:p>
            <w:pPr>
              <w:pStyle w:val="10"/>
              <w:spacing w:line="360" w:lineRule="auto"/>
              <w:contextualSpacing/>
              <w:rPr>
                <w:rFonts w:ascii="宋体" w:hAnsi="宋体" w:cs="宋体"/>
                <w:snapToGrid w:val="0"/>
                <w:kern w:val="0"/>
                <w:szCs w:val="21"/>
                <w:highlight w:val="none"/>
              </w:rPr>
            </w:pPr>
            <w:r>
              <w:rPr>
                <w:rFonts w:hint="eastAsia" w:ascii="宋体" w:hAnsi="宋体" w:cs="宋体"/>
                <w:snapToGrid w:val="0"/>
                <w:kern w:val="0"/>
                <w:szCs w:val="21"/>
                <w:highlight w:val="none"/>
              </w:rPr>
              <w:t>F1投标报价：</w:t>
            </w:r>
            <w:r>
              <w:rPr>
                <w:rFonts w:hint="eastAsia" w:ascii="宋体" w:hAnsi="宋体" w:cs="宋体"/>
                <w:snapToGrid w:val="0"/>
                <w:kern w:val="0"/>
                <w:szCs w:val="21"/>
                <w:highlight w:val="none"/>
                <w:u w:val="single"/>
              </w:rPr>
              <w:t>10</w:t>
            </w:r>
            <w:r>
              <w:rPr>
                <w:rFonts w:hint="eastAsia" w:ascii="宋体" w:hAnsi="宋体" w:cs="宋体"/>
                <w:snapToGrid w:val="0"/>
                <w:kern w:val="0"/>
                <w:szCs w:val="21"/>
                <w:highlight w:val="none"/>
              </w:rPr>
              <w:t xml:space="preserve">分    </w:t>
            </w:r>
          </w:p>
          <w:p>
            <w:pPr>
              <w:adjustRightInd w:val="0"/>
              <w:snapToGrid w:val="0"/>
              <w:spacing w:line="360" w:lineRule="auto"/>
              <w:rPr>
                <w:rFonts w:ascii="宋体" w:hAnsi="宋体" w:cs="宋体"/>
                <w:snapToGrid w:val="0"/>
                <w:kern w:val="0"/>
                <w:szCs w:val="21"/>
                <w:highlight w:val="none"/>
              </w:rPr>
            </w:pPr>
            <w:r>
              <w:rPr>
                <w:rFonts w:hint="eastAsia" w:ascii="宋体" w:hAnsi="宋体" w:cs="宋体"/>
                <w:snapToGrid w:val="0"/>
                <w:kern w:val="0"/>
                <w:szCs w:val="21"/>
                <w:highlight w:val="none"/>
              </w:rPr>
              <w:t>F2技术部分：</w:t>
            </w:r>
            <w:r>
              <w:rPr>
                <w:rFonts w:hint="eastAsia" w:ascii="宋体" w:hAnsi="宋体" w:cs="宋体"/>
                <w:snapToGrid w:val="0"/>
                <w:kern w:val="0"/>
                <w:szCs w:val="21"/>
                <w:highlight w:val="none"/>
                <w:u w:val="single"/>
              </w:rPr>
              <w:t>70</w:t>
            </w:r>
            <w:r>
              <w:rPr>
                <w:rFonts w:hint="eastAsia" w:ascii="宋体" w:hAnsi="宋体" w:cs="宋体"/>
                <w:snapToGrid w:val="0"/>
                <w:kern w:val="0"/>
                <w:szCs w:val="21"/>
                <w:highlight w:val="none"/>
              </w:rPr>
              <w:t xml:space="preserve">分    </w:t>
            </w:r>
          </w:p>
          <w:p>
            <w:pPr>
              <w:adjustRightInd w:val="0"/>
              <w:snapToGrid w:val="0"/>
              <w:spacing w:line="360" w:lineRule="auto"/>
              <w:rPr>
                <w:szCs w:val="21"/>
                <w:highlight w:val="yellow"/>
              </w:rPr>
            </w:pPr>
            <w:r>
              <w:rPr>
                <w:rFonts w:hint="eastAsia" w:cs="宋体"/>
                <w:snapToGrid w:val="0"/>
                <w:kern w:val="0"/>
                <w:szCs w:val="21"/>
                <w:highlight w:val="none"/>
              </w:rPr>
              <w:t>F3商务部分：</w:t>
            </w:r>
            <w:r>
              <w:rPr>
                <w:rFonts w:hint="eastAsia" w:cs="宋体"/>
                <w:snapToGrid w:val="0"/>
                <w:kern w:val="0"/>
                <w:szCs w:val="21"/>
                <w:highlight w:val="none"/>
                <w:u w:val="single"/>
              </w:rPr>
              <w:t>20</w:t>
            </w:r>
            <w:r>
              <w:rPr>
                <w:rFonts w:hint="eastAsia" w:cs="宋体"/>
                <w:snapToGrid w:val="0"/>
                <w:kern w:val="0"/>
                <w:szCs w:val="21"/>
                <w:highlight w:val="none"/>
              </w:rPr>
              <w:t xml:space="preserve">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825" w:type="dxa"/>
            <w:gridSpan w:val="2"/>
            <w:vAlign w:val="center"/>
          </w:tcPr>
          <w:p>
            <w:pPr>
              <w:spacing w:line="360" w:lineRule="auto"/>
              <w:jc w:val="center"/>
              <w:rPr>
                <w:rFonts w:ascii="宋体" w:hAnsi="宋体" w:cs="宋体"/>
                <w:b/>
                <w:snapToGrid w:val="0"/>
                <w:kern w:val="0"/>
                <w:szCs w:val="21"/>
              </w:rPr>
            </w:pPr>
            <w:r>
              <w:rPr>
                <w:rFonts w:hint="eastAsia" w:ascii="宋体" w:hAnsi="宋体" w:cs="宋体"/>
                <w:b/>
                <w:snapToGrid w:val="0"/>
                <w:kern w:val="0"/>
                <w:szCs w:val="21"/>
              </w:rPr>
              <w:t>条款号</w:t>
            </w:r>
          </w:p>
        </w:tc>
        <w:tc>
          <w:tcPr>
            <w:tcW w:w="1533" w:type="dxa"/>
            <w:tcBorders>
              <w:righ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评审因素</w:t>
            </w:r>
          </w:p>
        </w:tc>
        <w:tc>
          <w:tcPr>
            <w:tcW w:w="753" w:type="dxa"/>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分值</w:t>
            </w:r>
          </w:p>
        </w:tc>
        <w:tc>
          <w:tcPr>
            <w:tcW w:w="5864" w:type="dxa"/>
            <w:vAlign w:val="center"/>
          </w:tcPr>
          <w:p>
            <w:pPr>
              <w:spacing w:line="360" w:lineRule="auto"/>
              <w:jc w:val="center"/>
              <w:rPr>
                <w:rFonts w:ascii="宋体" w:hAnsi="宋体" w:cs="宋体"/>
                <w:b/>
                <w:snapToGrid w:val="0"/>
                <w:kern w:val="0"/>
                <w:szCs w:val="21"/>
              </w:rPr>
            </w:pPr>
            <w:r>
              <w:rPr>
                <w:rFonts w:hint="eastAsia" w:ascii="宋体" w:hAnsi="宋体" w:cs="宋体"/>
                <w:b/>
                <w:snapToGrid w:val="0"/>
                <w:kern w:val="0"/>
                <w:szCs w:val="21"/>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0" w:type="dxa"/>
            <w:tcBorders>
              <w:right w:val="single" w:color="auto" w:sz="4" w:space="0"/>
            </w:tcBorders>
            <w:vAlign w:val="center"/>
          </w:tcPr>
          <w:p>
            <w:pPr>
              <w:pStyle w:val="10"/>
              <w:spacing w:line="360" w:lineRule="auto"/>
              <w:contextualSpacing/>
              <w:jc w:val="center"/>
              <w:rPr>
                <w:rFonts w:ascii="宋体" w:hAnsi="宋体" w:cs="宋体"/>
                <w:snapToGrid w:val="0"/>
                <w:kern w:val="0"/>
                <w:szCs w:val="21"/>
              </w:rPr>
            </w:pPr>
            <w:r>
              <w:rPr>
                <w:rFonts w:hint="eastAsia" w:ascii="宋体" w:hAnsi="宋体" w:cs="宋体"/>
                <w:snapToGrid w:val="0"/>
                <w:kern w:val="0"/>
                <w:szCs w:val="21"/>
              </w:rPr>
              <w:t>2.2.1</w:t>
            </w:r>
          </w:p>
          <w:p>
            <w:pPr>
              <w:spacing w:line="360" w:lineRule="auto"/>
              <w:jc w:val="center"/>
              <w:rPr>
                <w:rFonts w:ascii="宋体" w:hAnsi="宋体" w:cs="宋体"/>
                <w:b/>
                <w:snapToGrid w:val="0"/>
                <w:kern w:val="0"/>
                <w:szCs w:val="21"/>
              </w:rPr>
            </w:pPr>
            <w:r>
              <w:rPr>
                <w:rFonts w:hint="eastAsia" w:ascii="宋体" w:hAnsi="宋体" w:cs="宋体"/>
                <w:snapToGrid w:val="0"/>
                <w:kern w:val="0"/>
                <w:szCs w:val="21"/>
              </w:rPr>
              <w:t>(A1)</w:t>
            </w:r>
          </w:p>
        </w:tc>
        <w:tc>
          <w:tcPr>
            <w:tcW w:w="1055" w:type="dxa"/>
            <w:tcBorders>
              <w:left w:val="single" w:color="auto" w:sz="4" w:space="0"/>
            </w:tcBorders>
            <w:vAlign w:val="center"/>
          </w:tcPr>
          <w:p>
            <w:pPr>
              <w:adjustRightInd w:val="0"/>
              <w:snapToGrid w:val="0"/>
              <w:spacing w:line="360" w:lineRule="auto"/>
              <w:jc w:val="center"/>
              <w:rPr>
                <w:szCs w:val="21"/>
              </w:rPr>
            </w:pPr>
            <w:r>
              <w:rPr>
                <w:rFonts w:hint="eastAsia"/>
                <w:szCs w:val="21"/>
              </w:rPr>
              <w:t>F1投标报价评分（10分）</w:t>
            </w:r>
          </w:p>
          <w:p>
            <w:pPr>
              <w:pStyle w:val="5"/>
            </w:pPr>
          </w:p>
        </w:tc>
        <w:tc>
          <w:tcPr>
            <w:tcW w:w="1533" w:type="dxa"/>
            <w:tcBorders>
              <w:righ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投标报价</w:t>
            </w:r>
          </w:p>
        </w:tc>
        <w:tc>
          <w:tcPr>
            <w:tcW w:w="753" w:type="dxa"/>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10分</w:t>
            </w:r>
          </w:p>
        </w:tc>
        <w:tc>
          <w:tcPr>
            <w:tcW w:w="5864" w:type="dxa"/>
            <w:vAlign w:val="center"/>
          </w:tcPr>
          <w:p>
            <w:pPr>
              <w:spacing w:line="360" w:lineRule="auto"/>
              <w:jc w:val="left"/>
              <w:rPr>
                <w:rFonts w:ascii="宋体" w:hAnsi="宋体" w:cs="宋体"/>
                <w:szCs w:val="21"/>
              </w:rPr>
            </w:pPr>
            <w:r>
              <w:rPr>
                <w:rFonts w:hint="eastAsia" w:ascii="宋体" w:hAnsi="宋体" w:cs="宋体"/>
                <w:szCs w:val="21"/>
              </w:rPr>
              <w:t>价格分统一采用低价优先法计算，即满足竞争性磋商文件要求且投标最低的投标报价为评标基准价，其价格分为满分。其他投标供应商的价格分统一按照下列公式计算：投标报价得分=(评标基准价／投标报价)×10。</w:t>
            </w:r>
          </w:p>
          <w:p>
            <w:pPr>
              <w:spacing w:line="360" w:lineRule="auto"/>
              <w:jc w:val="left"/>
              <w:rPr>
                <w:rFonts w:ascii="宋体" w:hAnsi="宋体" w:cs="宋体"/>
                <w:szCs w:val="21"/>
              </w:rPr>
            </w:pPr>
            <w:r>
              <w:rPr>
                <w:rFonts w:hint="eastAsia" w:ascii="宋体" w:hAnsi="宋体" w:cs="宋体"/>
                <w:szCs w:val="21"/>
              </w:rPr>
              <w:t>注：1.所有高于采购预算价的报价均为无效报价，其投标将不能进入下一评审环节。</w:t>
            </w:r>
          </w:p>
          <w:p>
            <w:pPr>
              <w:spacing w:line="360" w:lineRule="auto"/>
              <w:jc w:val="left"/>
              <w:rPr>
                <w:rFonts w:ascii="宋体" w:hAnsi="宋体" w:cs="宋体"/>
                <w:szCs w:val="21"/>
              </w:rPr>
            </w:pPr>
            <w:r>
              <w:rPr>
                <w:rFonts w:hint="eastAsia" w:ascii="宋体" w:hAnsi="宋体" w:cs="宋体"/>
                <w:szCs w:val="21"/>
              </w:rPr>
              <w:t>评审价以二次报价为准。</w:t>
            </w:r>
          </w:p>
          <w:p>
            <w:pPr>
              <w:spacing w:line="360" w:lineRule="auto"/>
              <w:jc w:val="left"/>
              <w:rPr>
                <w:rFonts w:ascii="宋体" w:hAnsi="宋体" w:cs="宋体"/>
                <w:szCs w:val="21"/>
              </w:rPr>
            </w:pPr>
            <w:r>
              <w:rPr>
                <w:rFonts w:hint="eastAsia" w:ascii="宋体" w:hAnsi="宋体" w:cs="宋体"/>
                <w:szCs w:val="21"/>
              </w:rPr>
              <w:t>2.因落实政府采购政策进行价格调整的，以调整后的价格计算评标基准价和投标报价</w:t>
            </w:r>
            <w:r>
              <w:rPr>
                <w:rFonts w:hint="eastAsia" w:ascii="宋体" w:hAnsi="宋体"/>
                <w:szCs w:val="21"/>
              </w:rPr>
              <w:t>最后磋商报价得分。</w:t>
            </w:r>
            <w:r>
              <w:rPr>
                <w:rFonts w:hint="eastAsia" w:ascii="宋体" w:hAnsi="宋体"/>
                <w:b/>
                <w:bCs/>
                <w:szCs w:val="21"/>
              </w:rPr>
              <w:t>若投标供应商符合本项目竞争性磋商文件第二章《投标供应商须知前附表》第8.9条相关规定的，其磋商报价给以10%的价格扣除，用扣除后的价格参加评审。评审价格=最后磋商报价*90%。</w:t>
            </w:r>
          </w:p>
          <w:p>
            <w:pPr>
              <w:spacing w:line="360" w:lineRule="auto"/>
              <w:jc w:val="left"/>
              <w:rPr>
                <w:rFonts w:ascii="宋体" w:hAnsi="宋体" w:cs="宋体"/>
                <w:szCs w:val="21"/>
              </w:rPr>
            </w:pPr>
            <w:r>
              <w:rPr>
                <w:rFonts w:hint="eastAsia" w:ascii="宋体" w:hAnsi="宋体" w:cs="宋体"/>
                <w:szCs w:val="21"/>
              </w:rPr>
              <w:t>3.报价采用优惠下浮比例进行报价的，磋商报价（指计算报价得分的磋商报价）=1-优惠下浮率。</w:t>
            </w:r>
          </w:p>
          <w:p>
            <w:pPr>
              <w:spacing w:line="360" w:lineRule="auto"/>
              <w:jc w:val="left"/>
              <w:rPr>
                <w:rFonts w:ascii="宋体" w:hAnsi="宋体" w:cs="宋体"/>
                <w:szCs w:val="21"/>
              </w:rPr>
            </w:pPr>
            <w:r>
              <w:rPr>
                <w:rFonts w:hint="eastAsia" w:ascii="宋体" w:hAnsi="宋体" w:cs="宋体"/>
                <w:szCs w:val="21"/>
              </w:rPr>
              <w:t>4.最低价不作为中标的保证。</w:t>
            </w:r>
          </w:p>
          <w:p>
            <w:pPr>
              <w:spacing w:line="360" w:lineRule="auto"/>
              <w:jc w:val="left"/>
              <w:rPr>
                <w:rFonts w:ascii="宋体" w:hAnsi="宋体" w:cs="宋体"/>
                <w:szCs w:val="21"/>
              </w:rPr>
            </w:pPr>
            <w:r>
              <w:rPr>
                <w:rFonts w:hint="eastAsia" w:ascii="宋体" w:hAnsi="宋体" w:cs="宋体"/>
                <w:szCs w:val="21"/>
              </w:rPr>
              <w:t>5.竞争性磋商小组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竞争性磋商小组应当将其作为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770" w:type="dxa"/>
            <w:vMerge w:val="restart"/>
            <w:tcBorders>
              <w:right w:val="single" w:color="auto" w:sz="4" w:space="0"/>
            </w:tcBorders>
            <w:vAlign w:val="center"/>
          </w:tcPr>
          <w:p>
            <w:pPr>
              <w:pStyle w:val="10"/>
              <w:spacing w:line="360" w:lineRule="auto"/>
              <w:contextualSpacing/>
              <w:jc w:val="center"/>
              <w:rPr>
                <w:rFonts w:ascii="宋体" w:hAnsi="宋体" w:cs="宋体"/>
                <w:snapToGrid w:val="0"/>
                <w:kern w:val="0"/>
                <w:szCs w:val="21"/>
              </w:rPr>
            </w:pPr>
            <w:r>
              <w:rPr>
                <w:rFonts w:hint="eastAsia" w:ascii="宋体" w:hAnsi="宋体" w:cs="宋体"/>
                <w:snapToGrid w:val="0"/>
                <w:kern w:val="0"/>
                <w:szCs w:val="21"/>
              </w:rPr>
              <w:t>2.2.1</w:t>
            </w:r>
          </w:p>
          <w:p>
            <w:pPr>
              <w:spacing w:line="360" w:lineRule="auto"/>
              <w:jc w:val="center"/>
              <w:rPr>
                <w:rFonts w:ascii="宋体" w:hAnsi="宋体" w:cs="宋体"/>
                <w:b/>
                <w:snapToGrid w:val="0"/>
                <w:kern w:val="0"/>
                <w:szCs w:val="21"/>
              </w:rPr>
            </w:pPr>
            <w:r>
              <w:rPr>
                <w:rFonts w:hint="eastAsia" w:ascii="宋体" w:hAnsi="宋体" w:cs="宋体"/>
                <w:snapToGrid w:val="0"/>
                <w:kern w:val="0"/>
                <w:szCs w:val="21"/>
              </w:rPr>
              <w:t>(A2)</w:t>
            </w:r>
          </w:p>
        </w:tc>
        <w:tc>
          <w:tcPr>
            <w:tcW w:w="1055" w:type="dxa"/>
            <w:vMerge w:val="restart"/>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F2技术部分评分（70分）</w:t>
            </w:r>
          </w:p>
        </w:tc>
        <w:tc>
          <w:tcPr>
            <w:tcW w:w="1533" w:type="dxa"/>
            <w:tcBorders>
              <w:righ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产品技术参数响应性评审</w:t>
            </w:r>
          </w:p>
        </w:tc>
        <w:tc>
          <w:tcPr>
            <w:tcW w:w="753" w:type="dxa"/>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20分</w:t>
            </w:r>
          </w:p>
        </w:tc>
        <w:tc>
          <w:tcPr>
            <w:tcW w:w="5864" w:type="dxa"/>
            <w:vAlign w:val="center"/>
          </w:tcPr>
          <w:p>
            <w:pPr>
              <w:rPr>
                <w:rFonts w:ascii="宋体" w:hAnsi="宋体" w:cs="宋体"/>
                <w:szCs w:val="21"/>
              </w:rPr>
            </w:pPr>
            <w:r>
              <w:rPr>
                <w:rFonts w:hint="eastAsia" w:ascii="宋体" w:hAnsi="宋体" w:cs="宋体"/>
                <w:szCs w:val="21"/>
              </w:rPr>
              <w:t>投标产品技术参数完全满足招标文件要求的，得</w:t>
            </w:r>
            <w:r>
              <w:rPr>
                <w:rFonts w:hint="eastAsia" w:ascii="宋体" w:hAnsi="宋体" w:cs="宋体"/>
                <w:szCs w:val="21"/>
                <w:lang w:val="en-US" w:eastAsia="zh-CN"/>
              </w:rPr>
              <w:t>20</w:t>
            </w:r>
            <w:r>
              <w:rPr>
                <w:rFonts w:hint="eastAsia" w:ascii="宋体" w:hAnsi="宋体" w:cs="宋体"/>
                <w:szCs w:val="21"/>
              </w:rPr>
              <w:t>分；对其中标注“★”号的项目每出现一项负偏离的扣2分；非“★”号每出现一项负偏离的扣1分，分数扣完为止。</w:t>
            </w:r>
          </w:p>
          <w:p>
            <w:pPr>
              <w:spacing w:line="360" w:lineRule="auto"/>
              <w:jc w:val="left"/>
              <w:rPr>
                <w:rFonts w:ascii="宋体" w:hAnsi="宋体" w:cs="宋体"/>
                <w:szCs w:val="21"/>
              </w:rPr>
            </w:pPr>
            <w:r>
              <w:rPr>
                <w:rFonts w:hint="eastAsia" w:ascii="宋体" w:hAnsi="宋体" w:cs="宋体"/>
                <w:b/>
                <w:szCs w:val="21"/>
              </w:rPr>
              <w:t>注：投标人须提供产品说明书等相关技术资料证明材料，否则该项不予评分。技术资料未列明的参数视为负偏离，并按相应分值扣分。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0" w:type="dxa"/>
            <w:vMerge w:val="continue"/>
            <w:tcBorders>
              <w:right w:val="single" w:color="auto" w:sz="4" w:space="0"/>
            </w:tcBorders>
            <w:vAlign w:val="center"/>
          </w:tcPr>
          <w:p>
            <w:pPr>
              <w:spacing w:line="360" w:lineRule="auto"/>
              <w:jc w:val="center"/>
              <w:rPr>
                <w:rFonts w:ascii="宋体" w:hAnsi="宋体" w:cs="宋体"/>
                <w:b/>
                <w:snapToGrid w:val="0"/>
                <w:kern w:val="0"/>
                <w:szCs w:val="21"/>
              </w:rPr>
            </w:pPr>
          </w:p>
        </w:tc>
        <w:tc>
          <w:tcPr>
            <w:tcW w:w="1055" w:type="dxa"/>
            <w:vMerge w:val="continue"/>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p>
        </w:tc>
        <w:tc>
          <w:tcPr>
            <w:tcW w:w="1533" w:type="dxa"/>
            <w:tcBorders>
              <w:righ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实施方案评审</w:t>
            </w:r>
          </w:p>
        </w:tc>
        <w:tc>
          <w:tcPr>
            <w:tcW w:w="753" w:type="dxa"/>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40分</w:t>
            </w:r>
          </w:p>
        </w:tc>
        <w:tc>
          <w:tcPr>
            <w:tcW w:w="5864" w:type="dxa"/>
            <w:vAlign w:val="center"/>
          </w:tcPr>
          <w:p>
            <w:pPr>
              <w:spacing w:line="360" w:lineRule="auto"/>
              <w:contextualSpacing/>
              <w:jc w:val="left"/>
              <w:rPr>
                <w:rFonts w:ascii="宋体" w:hAnsi="宋体" w:cs="宋体"/>
                <w:szCs w:val="21"/>
              </w:rPr>
            </w:pPr>
            <w:r>
              <w:rPr>
                <w:rFonts w:hint="eastAsia" w:ascii="宋体" w:hAnsi="宋体" w:cs="宋体"/>
                <w:szCs w:val="21"/>
              </w:rPr>
              <w:t>1.[40～26分]：整体方案完整合理、准确、实施方案科学、完善、可行，有针对性；</w:t>
            </w:r>
          </w:p>
          <w:p>
            <w:pPr>
              <w:spacing w:line="360" w:lineRule="auto"/>
              <w:contextualSpacing/>
              <w:jc w:val="left"/>
              <w:rPr>
                <w:rFonts w:ascii="宋体" w:hAnsi="宋体" w:cs="宋体"/>
                <w:szCs w:val="21"/>
              </w:rPr>
            </w:pPr>
            <w:r>
              <w:rPr>
                <w:rFonts w:hint="eastAsia" w:ascii="宋体" w:hAnsi="宋体" w:cs="宋体"/>
                <w:szCs w:val="21"/>
              </w:rPr>
              <w:t>2.[25～10分]：整体方案基本可行、点位基本完整、准确，基本满足部署要求；</w:t>
            </w:r>
          </w:p>
          <w:p>
            <w:pPr>
              <w:spacing w:line="360" w:lineRule="auto"/>
              <w:contextualSpacing/>
              <w:jc w:val="left"/>
              <w:rPr>
                <w:rFonts w:ascii="宋体" w:hAnsi="宋体" w:cs="宋体"/>
                <w:szCs w:val="21"/>
              </w:rPr>
            </w:pPr>
            <w:r>
              <w:rPr>
                <w:rFonts w:hint="eastAsia" w:ascii="宋体" w:hAnsi="宋体" w:cs="宋体"/>
                <w:szCs w:val="21"/>
              </w:rPr>
              <w:t>3.[9～0分]：整体方案较差、点位不完整、不准确，可实施性差。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0" w:type="dxa"/>
            <w:vMerge w:val="continue"/>
            <w:tcBorders>
              <w:right w:val="single" w:color="auto" w:sz="4" w:space="0"/>
            </w:tcBorders>
            <w:vAlign w:val="center"/>
          </w:tcPr>
          <w:p>
            <w:pPr>
              <w:spacing w:line="360" w:lineRule="auto"/>
              <w:jc w:val="center"/>
              <w:rPr>
                <w:rFonts w:ascii="宋体" w:hAnsi="宋体" w:cs="宋体"/>
                <w:szCs w:val="21"/>
              </w:rPr>
            </w:pPr>
          </w:p>
          <w:p>
            <w:pPr>
              <w:pStyle w:val="7"/>
              <w:spacing w:line="360" w:lineRule="auto"/>
              <w:jc w:val="center"/>
              <w:rPr>
                <w:rFonts w:hAnsi="宋体" w:cs="宋体"/>
                <w:szCs w:val="21"/>
              </w:rPr>
            </w:pPr>
          </w:p>
        </w:tc>
        <w:tc>
          <w:tcPr>
            <w:tcW w:w="1055" w:type="dxa"/>
            <w:vMerge w:val="continue"/>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p>
        </w:tc>
        <w:tc>
          <w:tcPr>
            <w:tcW w:w="1533" w:type="dxa"/>
            <w:tcBorders>
              <w:righ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服务保障方案</w:t>
            </w:r>
          </w:p>
        </w:tc>
        <w:tc>
          <w:tcPr>
            <w:tcW w:w="753" w:type="dxa"/>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10分</w:t>
            </w:r>
          </w:p>
        </w:tc>
        <w:tc>
          <w:tcPr>
            <w:tcW w:w="5864" w:type="dxa"/>
            <w:vAlign w:val="center"/>
          </w:tcPr>
          <w:p>
            <w:pPr>
              <w:spacing w:line="360" w:lineRule="auto"/>
              <w:contextualSpacing/>
              <w:jc w:val="left"/>
              <w:rPr>
                <w:rFonts w:ascii="宋体" w:hAnsi="宋体" w:cs="宋体"/>
                <w:szCs w:val="21"/>
              </w:rPr>
            </w:pPr>
            <w:r>
              <w:rPr>
                <w:rFonts w:hint="eastAsia" w:ascii="宋体" w:hAnsi="宋体" w:cs="宋体"/>
                <w:szCs w:val="21"/>
              </w:rPr>
              <w:t>1.[10-8分]：针对本项目提出的质量保证措施内容完整规范、科学具体，对本项目的服务质量把控能力强，能够迅速应对出现的任何质量问题，质量承诺、详实、清晰，与其质量保障措施紧扣，保障有力，措施完善切实可靠的，可行性、针对性强，切合实际且条例清晰的；</w:t>
            </w:r>
          </w:p>
          <w:p>
            <w:pPr>
              <w:spacing w:line="360" w:lineRule="auto"/>
              <w:contextualSpacing/>
              <w:jc w:val="left"/>
              <w:rPr>
                <w:rFonts w:ascii="宋体" w:hAnsi="宋体" w:cs="宋体"/>
                <w:szCs w:val="21"/>
              </w:rPr>
            </w:pPr>
            <w:r>
              <w:rPr>
                <w:rFonts w:hint="eastAsia" w:ascii="宋体" w:hAnsi="宋体" w:cs="宋体"/>
                <w:szCs w:val="21"/>
              </w:rPr>
              <w:t>2.[7-4分]：针对本项目提出的质量保证措施内容完整、合理，对本项目的服务质量把控能力一般，基本能够应对出现的任何质量问题，质量承诺内容基本完整，与其质量保障措施相呼应，保障措施基本完善、可行，存在一定不切合实际的情况；</w:t>
            </w:r>
          </w:p>
          <w:p>
            <w:pPr>
              <w:spacing w:line="360" w:lineRule="auto"/>
              <w:contextualSpacing/>
              <w:jc w:val="left"/>
              <w:rPr>
                <w:rFonts w:ascii="宋体" w:hAnsi="宋体" w:cs="宋体"/>
                <w:szCs w:val="21"/>
              </w:rPr>
            </w:pPr>
            <w:r>
              <w:rPr>
                <w:rFonts w:hint="eastAsia" w:ascii="宋体" w:hAnsi="宋体" w:cs="宋体"/>
                <w:szCs w:val="21"/>
              </w:rPr>
              <w:t>3.[3-1分]：针对本项目提出的质量保证措施内容一般，对本项目的服务质量把控能力差，不能应对出现的任何质量问题，质量承诺内容一般，与其质量保障措施基本匹配，保障措施不完善、不清晰，不具可行性、存在不合理或不切合实际的情况。</w:t>
            </w:r>
          </w:p>
          <w:p>
            <w:pPr>
              <w:spacing w:line="360" w:lineRule="auto"/>
              <w:contextualSpacing/>
              <w:jc w:val="left"/>
              <w:rPr>
                <w:rFonts w:ascii="宋体" w:hAnsi="宋体" w:cs="宋体"/>
                <w:szCs w:val="21"/>
              </w:rPr>
            </w:pPr>
            <w:r>
              <w:rPr>
                <w:rFonts w:hint="eastAsia" w:ascii="宋体" w:hAnsi="宋体" w:cs="宋体"/>
                <w:szCs w:val="21"/>
              </w:rPr>
              <w:t>无质量保证措施，不得分。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0" w:type="dxa"/>
            <w:vMerge w:val="restart"/>
            <w:tcBorders>
              <w:right w:val="single" w:color="auto" w:sz="4" w:space="0"/>
            </w:tcBorders>
            <w:vAlign w:val="center"/>
          </w:tcPr>
          <w:p>
            <w:pPr>
              <w:pStyle w:val="10"/>
              <w:spacing w:line="360" w:lineRule="auto"/>
              <w:contextualSpacing/>
              <w:jc w:val="center"/>
              <w:rPr>
                <w:rFonts w:ascii="宋体" w:hAnsi="宋体" w:cs="宋体"/>
                <w:snapToGrid w:val="0"/>
                <w:kern w:val="0"/>
                <w:szCs w:val="21"/>
              </w:rPr>
            </w:pPr>
            <w:r>
              <w:rPr>
                <w:rFonts w:hint="eastAsia" w:ascii="宋体" w:hAnsi="宋体" w:cs="宋体"/>
                <w:snapToGrid w:val="0"/>
                <w:kern w:val="0"/>
                <w:szCs w:val="21"/>
              </w:rPr>
              <w:t>2.2.2</w:t>
            </w:r>
          </w:p>
          <w:p>
            <w:pPr>
              <w:pStyle w:val="7"/>
              <w:spacing w:line="360" w:lineRule="auto"/>
              <w:jc w:val="center"/>
              <w:rPr>
                <w:rFonts w:hAnsi="宋体" w:cs="宋体"/>
                <w:szCs w:val="21"/>
              </w:rPr>
            </w:pPr>
            <w:r>
              <w:rPr>
                <w:rFonts w:hint="eastAsia" w:hAnsi="宋体" w:cs="宋体"/>
                <w:snapToGrid w:val="0"/>
                <w:kern w:val="0"/>
                <w:szCs w:val="21"/>
              </w:rPr>
              <w:t>(A2)</w:t>
            </w:r>
          </w:p>
        </w:tc>
        <w:tc>
          <w:tcPr>
            <w:tcW w:w="1055" w:type="dxa"/>
            <w:vMerge w:val="restart"/>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F3商务部分评分（20分）</w:t>
            </w:r>
          </w:p>
          <w:p>
            <w:pPr>
              <w:adjustRightInd w:val="0"/>
              <w:snapToGrid w:val="0"/>
              <w:spacing w:line="360" w:lineRule="auto"/>
              <w:jc w:val="center"/>
              <w:rPr>
                <w:rFonts w:ascii="宋体" w:hAnsi="宋体" w:cs="宋体"/>
                <w:b/>
                <w:snapToGrid w:val="0"/>
                <w:kern w:val="0"/>
                <w:szCs w:val="21"/>
              </w:rPr>
            </w:pPr>
          </w:p>
        </w:tc>
        <w:tc>
          <w:tcPr>
            <w:tcW w:w="1533" w:type="dxa"/>
            <w:tcBorders>
              <w:right w:val="single" w:color="auto" w:sz="4" w:space="0"/>
            </w:tcBorders>
            <w:vAlign w:val="center"/>
          </w:tcPr>
          <w:p>
            <w:pPr>
              <w:jc w:val="center"/>
              <w:rPr>
                <w:rFonts w:ascii="宋体" w:hAnsi="宋体" w:cs="宋体"/>
                <w:b/>
                <w:bCs/>
                <w:snapToGrid w:val="0"/>
                <w:kern w:val="0"/>
                <w:szCs w:val="21"/>
              </w:rPr>
            </w:pPr>
            <w:r>
              <w:rPr>
                <w:rFonts w:hint="eastAsia" w:ascii="宋体" w:hAnsi="宋体" w:cs="宋体"/>
                <w:b/>
                <w:bCs/>
                <w:szCs w:val="21"/>
              </w:rPr>
              <w:t>投标人针对本项目的综合能力</w:t>
            </w:r>
          </w:p>
        </w:tc>
        <w:tc>
          <w:tcPr>
            <w:tcW w:w="753" w:type="dxa"/>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r>
              <w:rPr>
                <w:rFonts w:hint="eastAsia" w:ascii="宋体" w:hAnsi="宋体" w:cs="宋体"/>
                <w:b/>
                <w:snapToGrid w:val="0"/>
                <w:kern w:val="0"/>
                <w:szCs w:val="21"/>
              </w:rPr>
              <w:t>5分</w:t>
            </w:r>
          </w:p>
        </w:tc>
        <w:tc>
          <w:tcPr>
            <w:tcW w:w="5864" w:type="dxa"/>
            <w:vAlign w:val="center"/>
          </w:tcPr>
          <w:p>
            <w:pPr>
              <w:pStyle w:val="6"/>
              <w:rPr>
                <w:rFonts w:ascii="宋体" w:hAnsi="宋体" w:cs="宋体"/>
                <w:szCs w:val="21"/>
              </w:rPr>
            </w:pPr>
            <w:r>
              <w:rPr>
                <w:rFonts w:hint="eastAsia" w:ascii="宋体" w:hAnsi="宋体" w:cs="宋体"/>
                <w:szCs w:val="21"/>
              </w:rPr>
              <w:t>针对本项目运营能力、经营能力、基础设施建设能力等进行横向比较：</w:t>
            </w:r>
          </w:p>
          <w:p>
            <w:pPr>
              <w:pStyle w:val="6"/>
              <w:rPr>
                <w:rFonts w:ascii="宋体" w:hAnsi="宋体" w:cs="宋体"/>
                <w:szCs w:val="21"/>
              </w:rPr>
            </w:pPr>
            <w:r>
              <w:rPr>
                <w:rFonts w:hint="eastAsia" w:ascii="宋体" w:hAnsi="宋体" w:cs="宋体"/>
                <w:szCs w:val="21"/>
              </w:rPr>
              <w:t>1、[5-4分]：针对本项目运营能力、经营能力、基础设施建设能力各方面较优的；</w:t>
            </w:r>
          </w:p>
          <w:p>
            <w:pPr>
              <w:pStyle w:val="6"/>
              <w:rPr>
                <w:rFonts w:ascii="宋体" w:hAnsi="宋体" w:cs="宋体"/>
                <w:szCs w:val="21"/>
              </w:rPr>
            </w:pPr>
            <w:r>
              <w:rPr>
                <w:rFonts w:hint="eastAsia" w:ascii="宋体" w:hAnsi="宋体" w:cs="宋体"/>
                <w:szCs w:val="21"/>
              </w:rPr>
              <w:t>2、[3-2分]：针对本项目运营能力、经营能力、基础设施建设能力各方面一般；</w:t>
            </w:r>
          </w:p>
          <w:p>
            <w:pPr>
              <w:pStyle w:val="6"/>
              <w:rPr>
                <w:rFonts w:ascii="宋体" w:hAnsi="宋体" w:cs="宋体"/>
                <w:szCs w:val="21"/>
              </w:rPr>
            </w:pPr>
            <w:r>
              <w:rPr>
                <w:rFonts w:hint="eastAsia" w:ascii="宋体" w:hAnsi="宋体" w:cs="宋体"/>
                <w:szCs w:val="21"/>
              </w:rPr>
              <w:t>3、[1-0分]：针对本项目运营能力、经营能力、基础设施建设能力各方面差。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0" w:type="dxa"/>
            <w:vMerge w:val="continue"/>
            <w:tcBorders>
              <w:right w:val="single" w:color="auto" w:sz="4" w:space="0"/>
            </w:tcBorders>
            <w:vAlign w:val="center"/>
          </w:tcPr>
          <w:p>
            <w:pPr>
              <w:pStyle w:val="7"/>
              <w:spacing w:line="360" w:lineRule="auto"/>
              <w:jc w:val="center"/>
              <w:rPr>
                <w:rFonts w:hAnsi="宋体" w:cs="宋体"/>
                <w:szCs w:val="21"/>
              </w:rPr>
            </w:pPr>
          </w:p>
        </w:tc>
        <w:tc>
          <w:tcPr>
            <w:tcW w:w="1055" w:type="dxa"/>
            <w:vMerge w:val="continue"/>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p>
        </w:tc>
        <w:tc>
          <w:tcPr>
            <w:tcW w:w="1533" w:type="dxa"/>
            <w:tcBorders>
              <w:right w:val="single" w:color="auto" w:sz="4" w:space="0"/>
            </w:tcBorders>
            <w:vAlign w:val="center"/>
          </w:tcPr>
          <w:p>
            <w:pPr>
              <w:widowControl/>
              <w:jc w:val="center"/>
              <w:textAlignment w:val="center"/>
              <w:rPr>
                <w:rFonts w:ascii="宋体" w:hAnsi="宋体" w:cs="宋体"/>
                <w:b/>
                <w:bCs/>
                <w:snapToGrid w:val="0"/>
                <w:kern w:val="0"/>
                <w:szCs w:val="21"/>
              </w:rPr>
            </w:pPr>
            <w:r>
              <w:rPr>
                <w:rFonts w:hint="eastAsia" w:ascii="宋体" w:hAnsi="宋体" w:cs="宋体"/>
                <w:b/>
                <w:bCs/>
                <w:color w:val="000000"/>
                <w:kern w:val="0"/>
                <w:szCs w:val="21"/>
                <w:lang w:bidi="ar"/>
              </w:rPr>
              <w:t>售后服务能力</w:t>
            </w:r>
          </w:p>
        </w:tc>
        <w:tc>
          <w:tcPr>
            <w:tcW w:w="753" w:type="dxa"/>
            <w:tcBorders>
              <w:left w:val="single" w:color="auto" w:sz="4" w:space="0"/>
            </w:tcBorders>
            <w:vAlign w:val="center"/>
          </w:tcPr>
          <w:p>
            <w:pPr>
              <w:widowControl/>
              <w:jc w:val="center"/>
              <w:textAlignment w:val="center"/>
              <w:rPr>
                <w:rFonts w:ascii="宋体" w:hAnsi="宋体" w:cs="宋体"/>
                <w:szCs w:val="21"/>
              </w:rPr>
            </w:pPr>
            <w:r>
              <w:rPr>
                <w:rFonts w:hint="eastAsia" w:ascii="宋体" w:hAnsi="宋体" w:cs="宋体"/>
                <w:b/>
                <w:bCs/>
                <w:color w:val="000000"/>
                <w:kern w:val="0"/>
                <w:szCs w:val="21"/>
                <w:lang w:bidi="ar"/>
              </w:rPr>
              <w:t>10分</w:t>
            </w:r>
          </w:p>
        </w:tc>
        <w:tc>
          <w:tcPr>
            <w:tcW w:w="5864" w:type="dxa"/>
          </w:tcPr>
          <w:p>
            <w:pPr>
              <w:widowControl/>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10</w:t>
            </w:r>
            <w:r>
              <w:rPr>
                <w:rFonts w:hint="eastAsia" w:ascii="宋体" w:hAnsi="宋体" w:cs="宋体"/>
                <w:color w:val="000000"/>
                <w:kern w:val="0"/>
                <w:szCs w:val="21"/>
                <w:lang w:bidi="ar"/>
              </w:rPr>
              <w:t>-</w:t>
            </w:r>
            <w:r>
              <w:rPr>
                <w:rFonts w:hint="eastAsia" w:ascii="宋体" w:hAnsi="宋体" w:cs="宋体"/>
                <w:color w:val="000000"/>
                <w:kern w:val="0"/>
                <w:szCs w:val="21"/>
                <w:lang w:val="en-US" w:eastAsia="zh-CN" w:bidi="ar"/>
              </w:rPr>
              <w:t>8</w:t>
            </w:r>
            <w:r>
              <w:rPr>
                <w:rFonts w:hint="eastAsia" w:ascii="宋体" w:hAnsi="宋体" w:cs="宋体"/>
                <w:color w:val="000000"/>
                <w:kern w:val="0"/>
                <w:szCs w:val="21"/>
                <w:lang w:bidi="ar"/>
              </w:rPr>
              <w:t>]：具备较强的项目运行和维护、本地化服务能力，且在本地具有常驻机构，具备项目运维所必备的人员、车辆、维护设备、维护工具等相关证明文件，需提供相关证明材料原件扫描件，材料齐全。</w:t>
            </w:r>
          </w:p>
          <w:p>
            <w:pPr>
              <w:widowControl/>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（2）[</w:t>
            </w:r>
            <w:r>
              <w:rPr>
                <w:rFonts w:hint="eastAsia" w:ascii="宋体" w:hAnsi="宋体" w:cs="宋体"/>
                <w:color w:val="000000"/>
                <w:kern w:val="0"/>
                <w:szCs w:val="21"/>
                <w:lang w:val="en-US" w:eastAsia="zh-CN" w:bidi="ar"/>
              </w:rPr>
              <w:t>7</w:t>
            </w:r>
            <w:r>
              <w:rPr>
                <w:rFonts w:hint="eastAsia" w:ascii="宋体" w:hAnsi="宋体" w:cs="宋体"/>
                <w:color w:val="000000"/>
                <w:kern w:val="0"/>
                <w:szCs w:val="21"/>
                <w:lang w:bidi="ar"/>
              </w:rPr>
              <w:t>～</w:t>
            </w:r>
            <w:r>
              <w:rPr>
                <w:rFonts w:hint="eastAsia" w:ascii="宋体" w:hAnsi="宋体" w:cs="宋体"/>
                <w:color w:val="000000"/>
                <w:kern w:val="0"/>
                <w:szCs w:val="21"/>
                <w:lang w:val="en-US" w:eastAsia="zh-CN" w:bidi="ar"/>
              </w:rPr>
              <w:t>4</w:t>
            </w:r>
            <w:r>
              <w:rPr>
                <w:rFonts w:hint="eastAsia" w:ascii="宋体" w:hAnsi="宋体" w:cs="宋体"/>
                <w:color w:val="000000"/>
                <w:kern w:val="0"/>
                <w:szCs w:val="21"/>
                <w:lang w:bidi="ar"/>
              </w:rPr>
              <w:t>]：投标人基本满足项目运行和维护以及本地化服务的能力，但提供的相关证明材料不齐全。</w:t>
            </w:r>
          </w:p>
          <w:p>
            <w:pPr>
              <w:widowControl/>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（3）[</w:t>
            </w: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w:t>
            </w: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]：投标人不具备本地化服务能力，且不能提供相关证明材料。</w:t>
            </w:r>
          </w:p>
          <w:p>
            <w:pPr>
              <w:widowControl/>
              <w:jc w:val="left"/>
              <w:textAlignment w:val="top"/>
              <w:rPr>
                <w:rFonts w:ascii="宋体" w:hAnsi="宋体" w:cs="宋体"/>
                <w:szCs w:val="21"/>
              </w:rPr>
            </w:pPr>
            <w:r>
              <w:rPr>
                <w:rFonts w:hint="eastAsia" w:ascii="宋体" w:hAnsi="宋体" w:cs="宋体"/>
                <w:color w:val="000000"/>
                <w:kern w:val="0"/>
                <w:szCs w:val="21"/>
                <w:lang w:bidi="ar"/>
              </w:rPr>
              <w:t>注：具备项目运维所必备的人员、车辆、维护设备、维护工具等相关证明文件，需提供相关证明材料原件扫描件。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0" w:type="dxa"/>
            <w:vMerge w:val="continue"/>
            <w:tcBorders>
              <w:right w:val="single" w:color="auto" w:sz="4" w:space="0"/>
            </w:tcBorders>
            <w:vAlign w:val="center"/>
          </w:tcPr>
          <w:p>
            <w:pPr>
              <w:pStyle w:val="7"/>
              <w:spacing w:line="360" w:lineRule="auto"/>
              <w:jc w:val="center"/>
              <w:rPr>
                <w:rFonts w:hAnsi="宋体" w:cs="宋体"/>
                <w:szCs w:val="21"/>
              </w:rPr>
            </w:pPr>
          </w:p>
        </w:tc>
        <w:tc>
          <w:tcPr>
            <w:tcW w:w="1055" w:type="dxa"/>
            <w:vMerge w:val="continue"/>
            <w:tcBorders>
              <w:left w:val="single" w:color="auto" w:sz="4" w:space="0"/>
            </w:tcBorders>
            <w:vAlign w:val="center"/>
          </w:tcPr>
          <w:p>
            <w:pPr>
              <w:adjustRightInd w:val="0"/>
              <w:snapToGrid w:val="0"/>
              <w:spacing w:line="360" w:lineRule="auto"/>
              <w:jc w:val="center"/>
              <w:rPr>
                <w:rFonts w:ascii="宋体" w:hAnsi="宋体" w:cs="宋体"/>
                <w:b/>
                <w:snapToGrid w:val="0"/>
                <w:kern w:val="0"/>
                <w:szCs w:val="21"/>
              </w:rPr>
            </w:pPr>
          </w:p>
        </w:tc>
        <w:tc>
          <w:tcPr>
            <w:tcW w:w="1533" w:type="dxa"/>
            <w:tcBorders>
              <w:right w:val="single" w:color="auto" w:sz="4" w:space="0"/>
            </w:tcBorders>
            <w:vAlign w:val="center"/>
          </w:tcPr>
          <w:p>
            <w:pPr>
              <w:widowControl/>
              <w:jc w:val="center"/>
              <w:textAlignment w:val="center"/>
              <w:rPr>
                <w:rFonts w:ascii="宋体" w:hAnsi="宋体" w:cs="宋体"/>
                <w:b/>
                <w:bCs/>
                <w:snapToGrid w:val="0"/>
                <w:kern w:val="0"/>
                <w:szCs w:val="21"/>
              </w:rPr>
            </w:pPr>
            <w:r>
              <w:rPr>
                <w:rFonts w:hint="eastAsia" w:ascii="宋体" w:hAnsi="宋体" w:cs="宋体"/>
                <w:b/>
                <w:bCs/>
                <w:color w:val="000000"/>
                <w:kern w:val="0"/>
                <w:szCs w:val="21"/>
                <w:lang w:bidi="ar"/>
              </w:rPr>
              <w:t>类似业绩</w:t>
            </w:r>
          </w:p>
        </w:tc>
        <w:tc>
          <w:tcPr>
            <w:tcW w:w="753" w:type="dxa"/>
            <w:tcBorders>
              <w:left w:val="single" w:color="auto" w:sz="4" w:space="0"/>
            </w:tcBorders>
            <w:vAlign w:val="center"/>
          </w:tcPr>
          <w:p>
            <w:pPr>
              <w:widowControl/>
              <w:jc w:val="center"/>
              <w:textAlignment w:val="center"/>
              <w:rPr>
                <w:rFonts w:ascii="宋体" w:hAnsi="宋体" w:cs="宋体"/>
                <w:b/>
                <w:snapToGrid w:val="0"/>
                <w:kern w:val="0"/>
                <w:szCs w:val="21"/>
              </w:rPr>
            </w:pPr>
            <w:r>
              <w:rPr>
                <w:rFonts w:hint="eastAsia" w:ascii="宋体" w:hAnsi="宋体" w:cs="宋体"/>
                <w:b/>
                <w:bCs/>
                <w:color w:val="000000"/>
                <w:kern w:val="0"/>
                <w:szCs w:val="21"/>
                <w:lang w:bidi="ar"/>
              </w:rPr>
              <w:t>5分</w:t>
            </w:r>
          </w:p>
        </w:tc>
        <w:tc>
          <w:tcPr>
            <w:tcW w:w="5864" w:type="dxa"/>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投标供应商2022年1月1日至今每提供一项与本项目类似的（视频监控类）业绩的得，每增加1个类似业绩1分，分数加满为止（本条满分5分）。未提供业绩列表及相关证明材料的不得分。</w:t>
            </w:r>
          </w:p>
          <w:p>
            <w:pPr>
              <w:widowControl/>
              <w:textAlignment w:val="center"/>
              <w:rPr>
                <w:rFonts w:ascii="宋体" w:hAnsi="宋体" w:cs="宋体"/>
                <w:szCs w:val="21"/>
              </w:rPr>
            </w:pPr>
            <w:r>
              <w:rPr>
                <w:rFonts w:hint="eastAsia" w:ascii="宋体" w:hAnsi="宋体" w:cs="宋体"/>
                <w:color w:val="000000"/>
                <w:kern w:val="0"/>
                <w:szCs w:val="21"/>
                <w:lang w:bidi="ar"/>
              </w:rPr>
              <w:t>业绩证明材料为中标（成交）通知书或合同协议书。</w:t>
            </w:r>
          </w:p>
        </w:tc>
      </w:tr>
    </w:tbl>
    <w:p>
      <w:pPr>
        <w:spacing w:line="360" w:lineRule="auto"/>
        <w:ind w:firstLine="440" w:firstLineChars="200"/>
        <w:jc w:val="left"/>
        <w:rPr>
          <w:rFonts w:ascii="宋体" w:hAnsi="宋体" w:cs="宋体"/>
          <w:sz w:val="22"/>
          <w:szCs w:val="22"/>
        </w:rPr>
      </w:pPr>
      <w:r>
        <w:rPr>
          <w:rFonts w:hint="eastAsia" w:ascii="宋体" w:hAnsi="宋体" w:cs="宋体"/>
          <w:snapToGrid w:val="0"/>
          <w:kern w:val="0"/>
          <w:sz w:val="22"/>
          <w:szCs w:val="22"/>
        </w:rPr>
        <w:t>竞争性磋商小组评委根据竞争性磋商文件规定的打分内容，独立打分，并署名确认。若出现最后得分相等时，应以投标报价、技术方案顺序的得分高低进行排序；若还并列，由竞争性磋商小组无记名投票表决，得票多者排序在前。</w:t>
      </w:r>
    </w:p>
    <w:p>
      <w:pPr>
        <w:spacing w:line="360" w:lineRule="auto"/>
        <w:jc w:val="center"/>
        <w:outlineLvl w:val="1"/>
        <w:rPr>
          <w:rFonts w:ascii="宋体" w:hAnsi="宋体" w:cs="宋体"/>
          <w:b/>
          <w:sz w:val="28"/>
          <w:szCs w:val="28"/>
        </w:rPr>
      </w:pPr>
      <w:r>
        <w:rPr>
          <w:rFonts w:hint="eastAsia" w:ascii="宋体" w:hAnsi="宋体" w:cs="宋体"/>
          <w:b/>
          <w:szCs w:val="21"/>
        </w:rPr>
        <w:br w:type="page"/>
      </w:r>
      <w:bookmarkStart w:id="4" w:name="_Toc312067869"/>
      <w:bookmarkStart w:id="5" w:name="_Toc355944309"/>
      <w:bookmarkStart w:id="6" w:name="_Toc302769233"/>
      <w:bookmarkStart w:id="7" w:name="_Toc450311987"/>
      <w:bookmarkStart w:id="8" w:name="_Toc30331"/>
      <w:bookmarkStart w:id="9" w:name="_Toc4822"/>
      <w:bookmarkStart w:id="10" w:name="_Toc356201241"/>
      <w:bookmarkStart w:id="11" w:name="_Toc508636664"/>
      <w:bookmarkStart w:id="12" w:name="_Toc312067870"/>
      <w:r>
        <w:rPr>
          <w:rFonts w:hint="eastAsia" w:ascii="宋体" w:hAnsi="宋体" w:cs="宋体"/>
          <w:b/>
          <w:sz w:val="30"/>
          <w:szCs w:val="30"/>
        </w:rPr>
        <w:t>二、评审办法</w:t>
      </w:r>
      <w:bookmarkEnd w:id="4"/>
      <w:bookmarkEnd w:id="5"/>
      <w:bookmarkEnd w:id="6"/>
      <w:bookmarkEnd w:id="7"/>
      <w:bookmarkEnd w:id="8"/>
      <w:bookmarkEnd w:id="9"/>
      <w:bookmarkEnd w:id="10"/>
      <w:bookmarkEnd w:id="11"/>
      <w:bookmarkEnd w:id="12"/>
    </w:p>
    <w:p>
      <w:pPr>
        <w:tabs>
          <w:tab w:val="left" w:pos="720"/>
        </w:tabs>
        <w:spacing w:line="360" w:lineRule="auto"/>
        <w:rPr>
          <w:rFonts w:ascii="宋体" w:hAnsi="宋体" w:cs="宋体"/>
          <w:b/>
          <w:bCs/>
          <w:sz w:val="22"/>
          <w:szCs w:val="22"/>
        </w:rPr>
      </w:pPr>
      <w:bookmarkStart w:id="13" w:name="_Toc275889753"/>
      <w:bookmarkStart w:id="14" w:name="_Toc450311988"/>
      <w:bookmarkStart w:id="15" w:name="_Toc276300661"/>
      <w:bookmarkStart w:id="16" w:name="_Toc430186539"/>
      <w:bookmarkStart w:id="17" w:name="_Toc508636665"/>
      <w:r>
        <w:rPr>
          <w:rFonts w:hint="eastAsia" w:ascii="宋体" w:hAnsi="宋体" w:cs="宋体"/>
          <w:b/>
          <w:bCs/>
          <w:sz w:val="22"/>
          <w:szCs w:val="22"/>
        </w:rPr>
        <w:t>1、</w:t>
      </w:r>
      <w:bookmarkEnd w:id="13"/>
      <w:bookmarkEnd w:id="14"/>
      <w:bookmarkEnd w:id="15"/>
      <w:bookmarkEnd w:id="16"/>
      <w:bookmarkEnd w:id="17"/>
      <w:r>
        <w:rPr>
          <w:rFonts w:hint="eastAsia" w:ascii="宋体" w:hAnsi="宋体" w:cs="宋体"/>
          <w:b/>
          <w:bCs/>
          <w:sz w:val="22"/>
          <w:szCs w:val="22"/>
        </w:rPr>
        <w:t>竞争性磋商小组</w:t>
      </w:r>
    </w:p>
    <w:p>
      <w:pPr>
        <w:spacing w:line="360" w:lineRule="auto"/>
        <w:ind w:firstLine="440" w:firstLineChars="200"/>
        <w:rPr>
          <w:rFonts w:ascii="宋体" w:hAnsi="宋体" w:cs="宋体"/>
          <w:bCs/>
          <w:sz w:val="22"/>
          <w:szCs w:val="22"/>
        </w:rPr>
      </w:pPr>
      <w:r>
        <w:rPr>
          <w:rFonts w:hint="eastAsia" w:ascii="宋体" w:hAnsi="宋体" w:cs="宋体"/>
          <w:bCs/>
          <w:sz w:val="22"/>
          <w:szCs w:val="22"/>
        </w:rPr>
        <w:t>1.1 本次采购项目依法组建竞争性磋商小组；</w:t>
      </w:r>
    </w:p>
    <w:p>
      <w:pPr>
        <w:spacing w:line="360" w:lineRule="auto"/>
        <w:ind w:firstLine="440" w:firstLineChars="200"/>
        <w:rPr>
          <w:rFonts w:ascii="宋体" w:hAnsi="宋体" w:cs="宋体"/>
          <w:bCs/>
          <w:sz w:val="22"/>
          <w:szCs w:val="22"/>
        </w:rPr>
      </w:pPr>
      <w:r>
        <w:rPr>
          <w:rFonts w:hint="eastAsia" w:ascii="宋体" w:hAnsi="宋体" w:cs="宋体"/>
          <w:bCs/>
          <w:sz w:val="22"/>
          <w:szCs w:val="22"/>
        </w:rPr>
        <w:t>1.2 评审原则：依照“公平、公正、科学、合法、保密”原则；</w:t>
      </w:r>
    </w:p>
    <w:p>
      <w:pPr>
        <w:spacing w:line="360" w:lineRule="auto"/>
        <w:ind w:firstLine="440" w:firstLineChars="200"/>
        <w:rPr>
          <w:rFonts w:ascii="宋体" w:hAnsi="宋体" w:cs="宋体"/>
          <w:bCs/>
          <w:sz w:val="22"/>
          <w:szCs w:val="22"/>
        </w:rPr>
      </w:pPr>
      <w:r>
        <w:rPr>
          <w:rFonts w:hint="eastAsia" w:ascii="宋体" w:hAnsi="宋体" w:cs="宋体"/>
          <w:bCs/>
          <w:sz w:val="22"/>
          <w:szCs w:val="22"/>
        </w:rPr>
        <w:t>1.3 竞争性磋商小组在评审中，不得透露评审的相关信息。响应文件有实质性变动的，竞争性磋商小组将告知所有参加投标的投标供应商。</w:t>
      </w:r>
    </w:p>
    <w:p>
      <w:pPr>
        <w:spacing w:line="360" w:lineRule="auto"/>
        <w:ind w:firstLine="440" w:firstLineChars="200"/>
        <w:rPr>
          <w:rFonts w:ascii="宋体" w:hAnsi="宋体" w:cs="宋体"/>
          <w:bCs/>
          <w:sz w:val="22"/>
          <w:szCs w:val="22"/>
        </w:rPr>
      </w:pPr>
      <w:r>
        <w:rPr>
          <w:rFonts w:hint="eastAsia" w:ascii="宋体" w:hAnsi="宋体" w:cs="宋体"/>
          <w:bCs/>
          <w:sz w:val="22"/>
          <w:szCs w:val="22"/>
        </w:rPr>
        <w:t>1.4 为有助于对响应文件的审查、评价和比较，竞争性磋商小组可对投标供应商进行技术质疑、询问，投标供应商在要求的时限内给予澄清或答疑。</w:t>
      </w:r>
    </w:p>
    <w:p>
      <w:pPr>
        <w:tabs>
          <w:tab w:val="left" w:pos="720"/>
        </w:tabs>
        <w:spacing w:line="360" w:lineRule="auto"/>
        <w:rPr>
          <w:rFonts w:ascii="宋体" w:hAnsi="宋体" w:cs="宋体"/>
          <w:b/>
          <w:bCs/>
          <w:sz w:val="22"/>
          <w:szCs w:val="22"/>
        </w:rPr>
      </w:pPr>
      <w:bookmarkStart w:id="18" w:name="_Toc276300662"/>
      <w:bookmarkStart w:id="19" w:name="_Toc275889754"/>
      <w:bookmarkStart w:id="20" w:name="_Toc430186540"/>
      <w:bookmarkStart w:id="21" w:name="_Toc450311989"/>
      <w:bookmarkStart w:id="22" w:name="_Toc508636666"/>
      <w:r>
        <w:rPr>
          <w:rFonts w:hint="eastAsia" w:ascii="宋体" w:hAnsi="宋体" w:cs="宋体"/>
          <w:b/>
          <w:bCs/>
          <w:sz w:val="22"/>
          <w:szCs w:val="22"/>
        </w:rPr>
        <w:t>2、评审程序</w:t>
      </w:r>
      <w:bookmarkEnd w:id="18"/>
      <w:bookmarkEnd w:id="19"/>
      <w:bookmarkEnd w:id="20"/>
      <w:bookmarkEnd w:id="21"/>
      <w:bookmarkEnd w:id="22"/>
    </w:p>
    <w:p>
      <w:pPr>
        <w:spacing w:line="360" w:lineRule="auto"/>
        <w:ind w:firstLine="440" w:firstLineChars="200"/>
        <w:rPr>
          <w:rFonts w:ascii="宋体" w:hAnsi="宋体" w:cs="宋体"/>
          <w:bCs/>
          <w:sz w:val="22"/>
          <w:szCs w:val="22"/>
        </w:rPr>
      </w:pPr>
      <w:r>
        <w:rPr>
          <w:rFonts w:hint="eastAsia" w:ascii="宋体" w:hAnsi="宋体" w:cs="宋体"/>
          <w:bCs/>
          <w:sz w:val="22"/>
          <w:szCs w:val="22"/>
        </w:rPr>
        <w:t>2.1评审会将于竞争性磋商文件规定的时间进行，竞争性磋商小组成员和采购人的代表出席。</w:t>
      </w:r>
    </w:p>
    <w:p>
      <w:pPr>
        <w:spacing w:line="360" w:lineRule="auto"/>
        <w:ind w:firstLine="440" w:firstLineChars="200"/>
        <w:rPr>
          <w:rFonts w:ascii="宋体" w:hAnsi="宋体" w:cs="宋体"/>
          <w:bCs/>
          <w:sz w:val="22"/>
          <w:szCs w:val="22"/>
        </w:rPr>
      </w:pPr>
      <w:r>
        <w:rPr>
          <w:rFonts w:hint="eastAsia" w:ascii="宋体" w:hAnsi="宋体" w:cs="宋体"/>
          <w:bCs/>
          <w:sz w:val="22"/>
          <w:szCs w:val="22"/>
        </w:rPr>
        <w:t>2.2评审会开始前，由竞争性磋商小组成员推荐竞争性磋商小组组长。</w:t>
      </w:r>
    </w:p>
    <w:p>
      <w:pPr>
        <w:spacing w:line="360" w:lineRule="auto"/>
        <w:ind w:firstLine="440" w:firstLineChars="200"/>
        <w:rPr>
          <w:rFonts w:ascii="宋体" w:hAnsi="宋体" w:cs="宋体"/>
          <w:bCs/>
          <w:sz w:val="22"/>
          <w:szCs w:val="22"/>
        </w:rPr>
      </w:pPr>
      <w:r>
        <w:rPr>
          <w:rFonts w:hint="eastAsia" w:ascii="宋体" w:hAnsi="宋体" w:cs="宋体"/>
          <w:bCs/>
          <w:sz w:val="22"/>
          <w:szCs w:val="22"/>
        </w:rPr>
        <w:t>2.3竞争性磋商小组根据竞争性磋商文件规定的评审办法对各投标供应商递交的响应文件进行资格审查、响应性评审。</w:t>
      </w:r>
    </w:p>
    <w:p>
      <w:pPr>
        <w:spacing w:line="360" w:lineRule="auto"/>
        <w:ind w:firstLine="440" w:firstLineChars="200"/>
        <w:rPr>
          <w:rFonts w:ascii="宋体" w:hAnsi="宋体" w:cs="宋体"/>
          <w:bCs/>
          <w:sz w:val="22"/>
          <w:szCs w:val="22"/>
        </w:rPr>
      </w:pPr>
      <w:bookmarkStart w:id="23" w:name="_Toc17009857"/>
      <w:r>
        <w:rPr>
          <w:rFonts w:hint="eastAsia" w:ascii="宋体" w:hAnsi="宋体" w:cs="宋体"/>
          <w:bCs/>
          <w:sz w:val="22"/>
          <w:szCs w:val="22"/>
        </w:rPr>
        <w:t>2.4竞争性磋商小组组织通过资格审查和响应性评审的投标供应商在规定时间内进行述标、澄清及二次报价等。</w:t>
      </w:r>
    </w:p>
    <w:p>
      <w:pPr>
        <w:spacing w:line="360" w:lineRule="auto"/>
        <w:ind w:firstLine="440" w:firstLineChars="200"/>
        <w:rPr>
          <w:rFonts w:ascii="宋体" w:hAnsi="宋体" w:cs="宋体"/>
          <w:bCs/>
          <w:sz w:val="22"/>
          <w:szCs w:val="22"/>
        </w:rPr>
      </w:pPr>
      <w:r>
        <w:rPr>
          <w:rFonts w:hint="eastAsia" w:ascii="宋体" w:hAnsi="宋体" w:cs="宋体"/>
          <w:bCs/>
          <w:sz w:val="22"/>
          <w:szCs w:val="22"/>
        </w:rPr>
        <w:t>2.</w:t>
      </w:r>
      <w:bookmarkEnd w:id="23"/>
      <w:r>
        <w:rPr>
          <w:rFonts w:hint="eastAsia" w:ascii="宋体" w:hAnsi="宋体" w:cs="宋体"/>
          <w:bCs/>
          <w:sz w:val="22"/>
          <w:szCs w:val="22"/>
        </w:rPr>
        <w:t>5质疑与澄清：竞争性磋商小组认为有必要，可</w:t>
      </w:r>
      <w:r>
        <w:rPr>
          <w:rFonts w:hint="eastAsia" w:ascii="宋体" w:hAnsi="宋体" w:cs="宋体"/>
          <w:sz w:val="22"/>
          <w:szCs w:val="22"/>
        </w:rPr>
        <w:t>请投标供应商对</w:t>
      </w:r>
      <w:r>
        <w:rPr>
          <w:rFonts w:hint="eastAsia" w:ascii="宋体" w:hAnsi="宋体" w:cs="宋体"/>
          <w:bCs/>
          <w:sz w:val="22"/>
          <w:szCs w:val="22"/>
        </w:rPr>
        <w:t>其响应文件中的某些内容予以澄清明确或作出承诺。澄清明确或作出的承诺都应以书面形式进行，并由投标供应商法定代表人或委托代理人签字确认，作为响应文件的组成部分。</w:t>
      </w:r>
    </w:p>
    <w:p>
      <w:pPr>
        <w:spacing w:line="360" w:lineRule="auto"/>
        <w:ind w:firstLine="440" w:firstLineChars="200"/>
        <w:rPr>
          <w:rFonts w:ascii="宋体" w:hAnsi="宋体" w:cs="宋体"/>
          <w:bCs/>
          <w:sz w:val="22"/>
          <w:szCs w:val="22"/>
        </w:rPr>
      </w:pPr>
      <w:r>
        <w:rPr>
          <w:rFonts w:hint="eastAsia" w:ascii="宋体" w:hAnsi="宋体" w:cs="宋体"/>
          <w:bCs/>
          <w:sz w:val="22"/>
          <w:szCs w:val="22"/>
        </w:rPr>
        <w:t>2.6竞争性磋商小组根据竞争性磋商文件规定的评审办法对各投标供应商进行综合评审打分。</w:t>
      </w:r>
    </w:p>
    <w:p>
      <w:pPr>
        <w:spacing w:line="360" w:lineRule="auto"/>
        <w:ind w:firstLine="440" w:firstLineChars="200"/>
        <w:rPr>
          <w:rFonts w:ascii="宋体" w:hAnsi="宋体" w:cs="宋体"/>
          <w:bCs/>
          <w:sz w:val="22"/>
          <w:szCs w:val="22"/>
        </w:rPr>
      </w:pPr>
      <w:r>
        <w:rPr>
          <w:rFonts w:hint="eastAsia" w:ascii="宋体" w:hAnsi="宋体" w:cs="宋体"/>
          <w:bCs/>
          <w:sz w:val="22"/>
          <w:szCs w:val="22"/>
        </w:rPr>
        <w:t>2.7竞争性磋商小组根据评分结果由高致低的顺序推荐成交候选人，并出具书面评审报告。</w:t>
      </w:r>
    </w:p>
    <w:p>
      <w:pPr>
        <w:tabs>
          <w:tab w:val="left" w:pos="720"/>
        </w:tabs>
        <w:spacing w:line="360" w:lineRule="auto"/>
        <w:rPr>
          <w:rFonts w:ascii="宋体" w:hAnsi="宋体" w:cs="宋体"/>
          <w:b/>
          <w:bCs/>
          <w:sz w:val="22"/>
          <w:szCs w:val="22"/>
        </w:rPr>
      </w:pPr>
      <w:bookmarkStart w:id="24" w:name="_Toc275889755"/>
      <w:bookmarkStart w:id="25" w:name="_Toc450311990"/>
      <w:bookmarkStart w:id="26" w:name="_Toc276300663"/>
      <w:bookmarkStart w:id="27" w:name="_Toc508636667"/>
      <w:bookmarkStart w:id="28" w:name="_Toc430186541"/>
      <w:r>
        <w:rPr>
          <w:rFonts w:hint="eastAsia" w:ascii="宋体" w:hAnsi="宋体" w:cs="宋体"/>
          <w:b/>
          <w:bCs/>
          <w:sz w:val="22"/>
          <w:szCs w:val="22"/>
        </w:rPr>
        <w:t>3、评审办法</w:t>
      </w:r>
      <w:bookmarkEnd w:id="24"/>
      <w:bookmarkEnd w:id="25"/>
      <w:bookmarkEnd w:id="26"/>
      <w:bookmarkEnd w:id="27"/>
      <w:bookmarkEnd w:id="28"/>
    </w:p>
    <w:p>
      <w:pPr>
        <w:spacing w:line="360" w:lineRule="auto"/>
        <w:ind w:firstLine="440" w:firstLineChars="200"/>
        <w:rPr>
          <w:rFonts w:ascii="宋体" w:hAnsi="宋体" w:cs="宋体"/>
          <w:bCs/>
          <w:sz w:val="22"/>
          <w:szCs w:val="22"/>
        </w:rPr>
      </w:pPr>
      <w:r>
        <w:rPr>
          <w:rFonts w:hint="eastAsia" w:ascii="宋体" w:hAnsi="宋体" w:cs="宋体"/>
          <w:bCs/>
          <w:sz w:val="22"/>
          <w:szCs w:val="22"/>
        </w:rPr>
        <w:t>采购人（或采购代理机构）根据采购项目的特点依法组建竞争性磋商小组，对响应文件进行评审，对实质性响应竞争性磋商文件要求的响应文件进行综合评议和比较。</w:t>
      </w:r>
    </w:p>
    <w:p>
      <w:pPr>
        <w:spacing w:line="360" w:lineRule="auto"/>
        <w:ind w:firstLine="440" w:firstLineChars="200"/>
        <w:rPr>
          <w:rFonts w:ascii="宋体" w:hAnsi="宋体" w:cs="宋体"/>
          <w:bCs/>
          <w:sz w:val="22"/>
          <w:szCs w:val="22"/>
        </w:rPr>
      </w:pPr>
      <w:r>
        <w:rPr>
          <w:rFonts w:hint="eastAsia" w:ascii="宋体" w:hAnsi="宋体" w:cs="宋体"/>
          <w:bCs/>
          <w:sz w:val="22"/>
          <w:szCs w:val="22"/>
        </w:rPr>
        <w:t>竞争性磋商小组负责评审活动，向采购人推荐成交候选人或者根据采购人的授权直接确定成交投标供应商。</w:t>
      </w:r>
    </w:p>
    <w:p>
      <w:pPr>
        <w:spacing w:line="360" w:lineRule="auto"/>
        <w:ind w:firstLine="440" w:firstLineChars="200"/>
        <w:rPr>
          <w:rFonts w:ascii="宋体" w:hAnsi="宋体" w:cs="宋体"/>
          <w:bCs/>
          <w:sz w:val="22"/>
          <w:szCs w:val="22"/>
        </w:rPr>
      </w:pPr>
      <w:r>
        <w:rPr>
          <w:rFonts w:hint="eastAsia" w:ascii="宋体" w:hAnsi="宋体" w:cs="宋体"/>
          <w:bCs/>
          <w:sz w:val="22"/>
          <w:szCs w:val="22"/>
        </w:rPr>
        <w:t>竞争性磋商小组成员由采购人及有关方面的专家组成，专家成员不得少于2/3。</w:t>
      </w:r>
    </w:p>
    <w:p>
      <w:pPr>
        <w:spacing w:line="360" w:lineRule="auto"/>
        <w:ind w:firstLine="440" w:firstLineChars="200"/>
        <w:rPr>
          <w:rFonts w:ascii="宋体" w:hAnsi="宋体" w:cs="宋体"/>
          <w:bCs/>
          <w:sz w:val="22"/>
          <w:szCs w:val="22"/>
        </w:rPr>
      </w:pPr>
      <w:r>
        <w:rPr>
          <w:rFonts w:hint="eastAsia" w:ascii="宋体" w:hAnsi="宋体" w:cs="宋体"/>
          <w:bCs/>
          <w:sz w:val="22"/>
          <w:szCs w:val="22"/>
        </w:rPr>
        <w:t>竞争性磋商小组成员名单在成交结果确定前应当保密。</w:t>
      </w:r>
    </w:p>
    <w:p>
      <w:pPr>
        <w:spacing w:line="360" w:lineRule="auto"/>
        <w:ind w:firstLine="440" w:firstLineChars="200"/>
        <w:rPr>
          <w:rFonts w:ascii="宋体" w:hAnsi="宋体" w:cs="宋体"/>
          <w:bCs/>
          <w:sz w:val="22"/>
          <w:szCs w:val="22"/>
        </w:rPr>
      </w:pPr>
      <w:r>
        <w:rPr>
          <w:rFonts w:hint="eastAsia" w:ascii="宋体" w:hAnsi="宋体" w:cs="宋体"/>
          <w:bCs/>
          <w:sz w:val="22"/>
          <w:szCs w:val="22"/>
        </w:rPr>
        <w:t>响应文件满足竞争性磋商文件全部实质性要求且按评审因素的量化指标评审得分最高的投标供应商为成交候选人。</w:t>
      </w:r>
    </w:p>
    <w:p>
      <w:pPr>
        <w:spacing w:line="360" w:lineRule="auto"/>
        <w:ind w:firstLine="440" w:firstLineChars="200"/>
        <w:rPr>
          <w:rFonts w:ascii="宋体" w:hAnsi="宋体" w:cs="宋体"/>
          <w:sz w:val="22"/>
          <w:szCs w:val="22"/>
        </w:rPr>
      </w:pPr>
      <w:r>
        <w:rPr>
          <w:rFonts w:hint="eastAsia" w:ascii="宋体" w:hAnsi="宋体" w:cs="宋体"/>
          <w:bCs/>
          <w:sz w:val="22"/>
          <w:szCs w:val="22"/>
        </w:rPr>
        <w:t>（一）</w:t>
      </w:r>
      <w:r>
        <w:rPr>
          <w:rFonts w:hint="eastAsia" w:ascii="宋体" w:hAnsi="宋体" w:cs="宋体"/>
          <w:sz w:val="22"/>
          <w:szCs w:val="22"/>
        </w:rPr>
        <w:t>评标程序：资格评审→响应性评审→投标供应商述标、澄清、二次报价→综合评审→出具评审报告。</w:t>
      </w:r>
      <w:bookmarkStart w:id="29" w:name="_Toc169430814"/>
    </w:p>
    <w:bookmarkEnd w:id="29"/>
    <w:p>
      <w:pPr>
        <w:spacing w:line="360" w:lineRule="auto"/>
        <w:ind w:firstLine="440" w:firstLineChars="200"/>
        <w:rPr>
          <w:rFonts w:ascii="宋体" w:hAnsi="宋体" w:cs="宋体"/>
          <w:bCs/>
          <w:sz w:val="22"/>
          <w:szCs w:val="22"/>
        </w:rPr>
      </w:pPr>
      <w:r>
        <w:rPr>
          <w:rFonts w:hint="eastAsia" w:ascii="宋体" w:hAnsi="宋体" w:cs="宋体"/>
          <w:bCs/>
          <w:sz w:val="22"/>
          <w:szCs w:val="22"/>
        </w:rPr>
        <w:t>（二）资格审查</w:t>
      </w:r>
    </w:p>
    <w:p>
      <w:pPr>
        <w:spacing w:line="360" w:lineRule="auto"/>
        <w:ind w:firstLine="440" w:firstLineChars="200"/>
        <w:rPr>
          <w:rFonts w:ascii="宋体" w:hAnsi="宋体" w:cs="宋体"/>
          <w:bCs/>
          <w:sz w:val="22"/>
          <w:szCs w:val="22"/>
        </w:rPr>
      </w:pPr>
      <w:r>
        <w:rPr>
          <w:rFonts w:hint="eastAsia" w:ascii="宋体" w:hAnsi="宋体" w:cs="宋体"/>
          <w:bCs/>
          <w:sz w:val="22"/>
          <w:szCs w:val="22"/>
        </w:rPr>
        <w:t>竞争性磋商小组根据评审办法前附表中规定的评审因素和评审标准，对投标供应商的响应文件进行资格审查，并记录评审结果，凡不满足资格审查条件中任何一款规定的均不得进入响应性评审。</w:t>
      </w:r>
    </w:p>
    <w:p>
      <w:pPr>
        <w:spacing w:line="360" w:lineRule="auto"/>
        <w:ind w:firstLine="440" w:firstLineChars="200"/>
        <w:rPr>
          <w:rFonts w:ascii="宋体" w:hAnsi="宋体" w:cs="宋体"/>
          <w:bCs/>
          <w:sz w:val="22"/>
          <w:szCs w:val="22"/>
        </w:rPr>
      </w:pPr>
      <w:r>
        <w:rPr>
          <w:rFonts w:hint="eastAsia" w:ascii="宋体" w:hAnsi="宋体" w:cs="宋体"/>
          <w:bCs/>
          <w:sz w:val="22"/>
          <w:szCs w:val="22"/>
        </w:rPr>
        <w:t>（三）响应性评审</w:t>
      </w:r>
    </w:p>
    <w:p>
      <w:pPr>
        <w:spacing w:line="360" w:lineRule="auto"/>
        <w:ind w:firstLine="440" w:firstLineChars="200"/>
        <w:rPr>
          <w:rFonts w:ascii="宋体" w:hAnsi="宋体" w:cs="宋体"/>
          <w:bCs/>
          <w:sz w:val="22"/>
          <w:szCs w:val="22"/>
        </w:rPr>
      </w:pPr>
      <w:r>
        <w:rPr>
          <w:rFonts w:hint="eastAsia" w:ascii="宋体" w:hAnsi="宋体" w:cs="宋体"/>
          <w:bCs/>
          <w:sz w:val="22"/>
          <w:szCs w:val="22"/>
        </w:rPr>
        <w:t>竞争性磋商小组根据评审办法前附表中规定的评审因素和评审标准，对投标供应商的响应文件进行响应性审查，并记录评审结果。凡不满足响应性评审条件中任何一款规定的均不得进入综合评分。</w:t>
      </w:r>
    </w:p>
    <w:p>
      <w:pPr>
        <w:spacing w:line="360" w:lineRule="auto"/>
        <w:ind w:firstLine="440" w:firstLineChars="200"/>
        <w:rPr>
          <w:rFonts w:ascii="宋体" w:hAnsi="宋体" w:cs="宋体"/>
          <w:bCs/>
          <w:sz w:val="22"/>
          <w:szCs w:val="22"/>
        </w:rPr>
      </w:pPr>
      <w:r>
        <w:rPr>
          <w:rFonts w:hint="eastAsia" w:ascii="宋体" w:hAnsi="宋体" w:cs="宋体"/>
          <w:bCs/>
          <w:sz w:val="22"/>
          <w:szCs w:val="22"/>
        </w:rPr>
        <w:t>对上述情况作出通过或不通过的评审意见，对不合格的内容应在评审报告中说明。</w:t>
      </w:r>
    </w:p>
    <w:p>
      <w:pPr>
        <w:spacing w:line="360" w:lineRule="auto"/>
        <w:ind w:firstLine="440" w:firstLineChars="200"/>
        <w:rPr>
          <w:rFonts w:ascii="宋体" w:hAnsi="宋体" w:cs="宋体"/>
          <w:bCs/>
          <w:sz w:val="22"/>
          <w:szCs w:val="22"/>
        </w:rPr>
      </w:pPr>
      <w:bookmarkStart w:id="30" w:name="_Toc169430815"/>
      <w:r>
        <w:rPr>
          <w:rFonts w:hint="eastAsia" w:ascii="宋体" w:hAnsi="宋体" w:cs="宋体"/>
          <w:bCs/>
          <w:sz w:val="22"/>
          <w:szCs w:val="22"/>
        </w:rPr>
        <w:t>（四）经竞争性磋商小组评审过程中确认以下情况的，将否决相关投标供应商的响应文件，并将相关情况报政府采购监督部门处理：</w:t>
      </w:r>
    </w:p>
    <w:p>
      <w:pPr>
        <w:spacing w:line="360" w:lineRule="auto"/>
        <w:ind w:firstLine="440" w:firstLineChars="200"/>
        <w:rPr>
          <w:rFonts w:ascii="宋体" w:hAnsi="宋体" w:cs="宋体"/>
          <w:bCs/>
          <w:sz w:val="22"/>
          <w:szCs w:val="22"/>
        </w:rPr>
      </w:pPr>
      <w:r>
        <w:rPr>
          <w:rFonts w:hint="eastAsia" w:ascii="宋体" w:hAnsi="宋体" w:cs="宋体"/>
          <w:bCs/>
          <w:sz w:val="22"/>
          <w:szCs w:val="22"/>
        </w:rPr>
        <w:t xml:space="preserve">（1） 投标供应商在响应文件上签名与其他投标供应商在响应文件上的签名相同的； </w:t>
      </w:r>
    </w:p>
    <w:p>
      <w:pPr>
        <w:spacing w:line="360" w:lineRule="auto"/>
        <w:ind w:firstLine="440" w:firstLineChars="200"/>
        <w:rPr>
          <w:rFonts w:ascii="宋体" w:hAnsi="宋体" w:cs="宋体"/>
          <w:bCs/>
          <w:sz w:val="22"/>
          <w:szCs w:val="22"/>
        </w:rPr>
      </w:pPr>
      <w:r>
        <w:rPr>
          <w:rFonts w:hint="eastAsia" w:ascii="宋体" w:hAnsi="宋体" w:cs="宋体"/>
          <w:bCs/>
          <w:sz w:val="22"/>
          <w:szCs w:val="22"/>
        </w:rPr>
        <w:t>（2）不同投标供应商委托同一人投标的；</w:t>
      </w:r>
    </w:p>
    <w:p>
      <w:pPr>
        <w:spacing w:line="360" w:lineRule="auto"/>
        <w:ind w:firstLine="440" w:firstLineChars="200"/>
        <w:rPr>
          <w:rFonts w:ascii="宋体" w:hAnsi="宋体" w:cs="宋体"/>
          <w:bCs/>
          <w:sz w:val="22"/>
          <w:szCs w:val="22"/>
        </w:rPr>
      </w:pPr>
      <w:r>
        <w:rPr>
          <w:rFonts w:hint="eastAsia" w:ascii="宋体" w:hAnsi="宋体" w:cs="宋体"/>
          <w:bCs/>
          <w:sz w:val="22"/>
          <w:szCs w:val="22"/>
        </w:rPr>
        <w:t xml:space="preserve">（3）不同投标供应商的响应文件由同一台电脑编制的； </w:t>
      </w:r>
    </w:p>
    <w:p>
      <w:pPr>
        <w:spacing w:line="360" w:lineRule="auto"/>
        <w:ind w:firstLine="440" w:firstLineChars="200"/>
        <w:rPr>
          <w:rFonts w:ascii="宋体" w:hAnsi="宋体" w:cs="宋体"/>
          <w:bCs/>
          <w:sz w:val="22"/>
          <w:szCs w:val="22"/>
        </w:rPr>
      </w:pPr>
      <w:r>
        <w:rPr>
          <w:rFonts w:hint="eastAsia" w:ascii="宋体" w:hAnsi="宋体" w:cs="宋体"/>
          <w:bCs/>
          <w:sz w:val="22"/>
          <w:szCs w:val="22"/>
        </w:rPr>
        <w:t xml:space="preserve">（4）不同投标供应商的响应文件内容存在非正常一致的； </w:t>
      </w:r>
    </w:p>
    <w:p>
      <w:pPr>
        <w:spacing w:line="360" w:lineRule="auto"/>
        <w:ind w:firstLine="440" w:firstLineChars="200"/>
        <w:rPr>
          <w:rFonts w:ascii="宋体" w:hAnsi="宋体" w:cs="宋体"/>
          <w:bCs/>
          <w:sz w:val="22"/>
          <w:szCs w:val="22"/>
        </w:rPr>
      </w:pPr>
      <w:r>
        <w:rPr>
          <w:rFonts w:hint="eastAsia" w:ascii="宋体" w:hAnsi="宋体" w:cs="宋体"/>
          <w:bCs/>
          <w:sz w:val="22"/>
          <w:szCs w:val="22"/>
        </w:rPr>
        <w:t xml:space="preserve">（5）不同投标供应商的响应文件错漏之处一致的； </w:t>
      </w:r>
    </w:p>
    <w:p>
      <w:pPr>
        <w:spacing w:line="360" w:lineRule="auto"/>
        <w:ind w:firstLine="440" w:firstLineChars="200"/>
        <w:rPr>
          <w:rFonts w:ascii="宋体" w:hAnsi="宋体" w:cs="宋体"/>
          <w:bCs/>
          <w:sz w:val="22"/>
          <w:szCs w:val="22"/>
        </w:rPr>
      </w:pPr>
      <w:r>
        <w:rPr>
          <w:rFonts w:hint="eastAsia" w:ascii="宋体" w:hAnsi="宋体" w:cs="宋体"/>
          <w:bCs/>
          <w:sz w:val="22"/>
          <w:szCs w:val="22"/>
        </w:rPr>
        <w:t>（6）不同投标供应商的响应文件载明的项目管理机构成员出现相同人员的。</w:t>
      </w:r>
    </w:p>
    <w:p>
      <w:pPr>
        <w:spacing w:line="360" w:lineRule="auto"/>
        <w:ind w:firstLine="440" w:firstLineChars="200"/>
        <w:rPr>
          <w:rFonts w:ascii="宋体" w:hAnsi="宋体" w:cs="宋体"/>
          <w:bCs/>
          <w:sz w:val="22"/>
          <w:szCs w:val="22"/>
        </w:rPr>
      </w:pPr>
      <w:r>
        <w:rPr>
          <w:rFonts w:hint="eastAsia" w:ascii="宋体" w:hAnsi="宋体" w:cs="宋体"/>
          <w:bCs/>
          <w:sz w:val="22"/>
          <w:szCs w:val="22"/>
        </w:rPr>
        <w:t>（7）其他经竞争性磋商小组认定有围标、串标情况的。</w:t>
      </w:r>
    </w:p>
    <w:p>
      <w:pPr>
        <w:spacing w:line="360" w:lineRule="auto"/>
        <w:ind w:firstLine="440" w:firstLineChars="200"/>
        <w:rPr>
          <w:rFonts w:ascii="宋体" w:hAnsi="宋体" w:cs="宋体"/>
          <w:bCs/>
          <w:sz w:val="22"/>
          <w:szCs w:val="22"/>
        </w:rPr>
      </w:pPr>
      <w:r>
        <w:rPr>
          <w:rFonts w:hint="eastAsia" w:ascii="宋体" w:hAnsi="宋体" w:cs="宋体"/>
          <w:bCs/>
          <w:sz w:val="22"/>
          <w:szCs w:val="22"/>
        </w:rPr>
        <w:t>（五）评审、述标和最后报价</w:t>
      </w:r>
    </w:p>
    <w:p>
      <w:pPr>
        <w:spacing w:line="360" w:lineRule="auto"/>
        <w:ind w:firstLine="440" w:firstLineChars="200"/>
        <w:rPr>
          <w:rFonts w:ascii="宋体" w:hAnsi="宋体" w:cs="宋体"/>
          <w:bCs/>
          <w:sz w:val="22"/>
          <w:szCs w:val="22"/>
        </w:rPr>
      </w:pPr>
      <w:r>
        <w:rPr>
          <w:rFonts w:hint="eastAsia" w:ascii="宋体" w:hAnsi="宋体" w:cs="宋体"/>
          <w:bCs/>
          <w:sz w:val="22"/>
          <w:szCs w:val="22"/>
        </w:rPr>
        <w:t>竞争性磋商小组组织对通过资格审查、响应性评审的投标供应商就有关需要澄清的问题一一进行评审、澄清，并要求投标供应商在规定时间内填报最后报价。投标供应商应事先准备述标材料。书面的澄清或说明即最后报价应有投标供应商的法定代表人或其授权代理人和竞争性磋商小组成员的签名，并作为响应文件内容的一部分。</w:t>
      </w:r>
    </w:p>
    <w:p>
      <w:pPr>
        <w:spacing w:line="360" w:lineRule="auto"/>
        <w:ind w:firstLine="440" w:firstLineChars="200"/>
        <w:rPr>
          <w:rFonts w:ascii="宋体" w:hAnsi="宋体" w:cs="宋体"/>
          <w:bCs/>
          <w:sz w:val="22"/>
          <w:szCs w:val="22"/>
        </w:rPr>
      </w:pPr>
      <w:r>
        <w:rPr>
          <w:rFonts w:hint="eastAsia" w:ascii="宋体" w:hAnsi="宋体" w:cs="宋体"/>
          <w:bCs/>
          <w:sz w:val="22"/>
          <w:szCs w:val="22"/>
        </w:rPr>
        <w:t>（六）综合评分</w:t>
      </w:r>
      <w:bookmarkEnd w:id="30"/>
    </w:p>
    <w:p>
      <w:pPr>
        <w:spacing w:line="360" w:lineRule="auto"/>
        <w:ind w:firstLine="440" w:firstLineChars="200"/>
        <w:rPr>
          <w:rFonts w:ascii="宋体" w:hAnsi="宋体" w:cs="宋体"/>
          <w:sz w:val="22"/>
          <w:szCs w:val="22"/>
        </w:rPr>
      </w:pPr>
      <w:r>
        <w:rPr>
          <w:rFonts w:hint="eastAsia" w:ascii="宋体" w:hAnsi="宋体" w:cs="宋体"/>
          <w:bCs/>
          <w:sz w:val="22"/>
          <w:szCs w:val="22"/>
        </w:rPr>
        <w:t>竞争性磋商小组依据本章评审办法前附表规定的标准对响应文件进行综合评分。</w:t>
      </w:r>
    </w:p>
    <w:p>
      <w:pPr>
        <w:spacing w:line="360" w:lineRule="auto"/>
        <w:ind w:firstLine="440" w:firstLineChars="200"/>
        <w:rPr>
          <w:rFonts w:ascii="宋体" w:hAnsi="宋体" w:cs="宋体"/>
          <w:bCs/>
          <w:sz w:val="22"/>
          <w:szCs w:val="22"/>
        </w:rPr>
      </w:pPr>
      <w:r>
        <w:rPr>
          <w:rFonts w:hint="eastAsia" w:ascii="宋体" w:hAnsi="宋体" w:cs="宋体"/>
          <w:bCs/>
          <w:sz w:val="22"/>
          <w:szCs w:val="22"/>
        </w:rPr>
        <w:t>（七）统分原则</w:t>
      </w:r>
    </w:p>
    <w:p>
      <w:pPr>
        <w:spacing w:line="360" w:lineRule="auto"/>
        <w:ind w:firstLine="440" w:firstLineChars="200"/>
        <w:rPr>
          <w:rFonts w:ascii="宋体" w:hAnsi="宋体" w:cs="宋体"/>
          <w:bCs/>
          <w:sz w:val="22"/>
          <w:szCs w:val="22"/>
        </w:rPr>
      </w:pPr>
      <w:r>
        <w:rPr>
          <w:rFonts w:hint="eastAsia" w:ascii="宋体" w:hAnsi="宋体" w:cs="宋体"/>
          <w:bCs/>
          <w:sz w:val="22"/>
          <w:szCs w:val="22"/>
        </w:rPr>
        <w:t>（1）评委应首先对各投标供应商响应文件进行评审，写出书面意见并按响应文件规定独立进行评分。</w:t>
      </w:r>
    </w:p>
    <w:p>
      <w:pPr>
        <w:spacing w:line="360" w:lineRule="auto"/>
        <w:ind w:firstLine="440" w:firstLineChars="200"/>
        <w:rPr>
          <w:rFonts w:ascii="宋体" w:hAnsi="宋体" w:cs="宋体"/>
          <w:bCs/>
          <w:sz w:val="22"/>
          <w:szCs w:val="22"/>
        </w:rPr>
      </w:pPr>
      <w:r>
        <w:rPr>
          <w:rFonts w:hint="eastAsia" w:ascii="宋体" w:hAnsi="宋体" w:cs="宋体"/>
          <w:bCs/>
          <w:sz w:val="22"/>
          <w:szCs w:val="22"/>
        </w:rPr>
        <w:t>（2）统分原则：</w:t>
      </w:r>
      <w:r>
        <w:rPr>
          <w:rFonts w:hint="eastAsia" w:ascii="宋体" w:hAnsi="宋体" w:cs="宋体"/>
          <w:bCs/>
          <w:sz w:val="22"/>
          <w:szCs w:val="22"/>
          <w:u w:val="single"/>
        </w:rPr>
        <w:t>各评委的算术平均分值为投标供应商的该项评分因素的得分（保留小数点后两位）</w:t>
      </w:r>
      <w:r>
        <w:rPr>
          <w:rFonts w:hint="eastAsia" w:ascii="宋体" w:hAnsi="宋体" w:cs="宋体"/>
          <w:bCs/>
          <w:sz w:val="22"/>
          <w:szCs w:val="22"/>
        </w:rPr>
        <w:t>。</w:t>
      </w:r>
    </w:p>
    <w:p>
      <w:pPr>
        <w:spacing w:line="360" w:lineRule="auto"/>
        <w:ind w:firstLine="440" w:firstLineChars="200"/>
        <w:rPr>
          <w:rFonts w:ascii="宋体" w:hAnsi="宋体" w:cs="宋体"/>
          <w:bCs/>
          <w:sz w:val="22"/>
          <w:szCs w:val="22"/>
        </w:rPr>
      </w:pPr>
      <w:r>
        <w:rPr>
          <w:rFonts w:hint="eastAsia" w:ascii="宋体" w:hAnsi="宋体" w:cs="宋体"/>
          <w:bCs/>
          <w:sz w:val="22"/>
          <w:szCs w:val="22"/>
        </w:rPr>
        <w:t>（八）推荐</w:t>
      </w:r>
    </w:p>
    <w:p>
      <w:pPr>
        <w:spacing w:line="360" w:lineRule="auto"/>
        <w:ind w:firstLine="440" w:firstLineChars="200"/>
        <w:rPr>
          <w:rFonts w:ascii="宋体" w:hAnsi="宋体" w:cs="宋体"/>
          <w:bCs/>
          <w:sz w:val="22"/>
          <w:szCs w:val="22"/>
        </w:rPr>
      </w:pPr>
      <w:r>
        <w:rPr>
          <w:rFonts w:hint="eastAsia" w:ascii="宋体" w:hAnsi="宋体" w:cs="宋体"/>
          <w:bCs/>
          <w:sz w:val="22"/>
          <w:szCs w:val="22"/>
        </w:rPr>
        <w:t>竞争性磋商小组按评审后总得分由高到低顺序推荐成交候选人。总得分相同的，按二次报价由低到高顺序排列，如出现得分相同的，总报价较低的排在前，总报价也相同的。</w:t>
      </w:r>
    </w:p>
    <w:p>
      <w:pPr>
        <w:spacing w:line="360" w:lineRule="auto"/>
        <w:ind w:firstLine="495" w:firstLineChars="225"/>
        <w:rPr>
          <w:rFonts w:ascii="宋体" w:hAnsi="宋体" w:cs="宋体"/>
          <w:bCs/>
          <w:sz w:val="22"/>
          <w:szCs w:val="22"/>
        </w:rPr>
      </w:pPr>
      <w:bookmarkStart w:id="31" w:name="_Toc169430817"/>
      <w:bookmarkStart w:id="32" w:name="_Toc58036829"/>
      <w:r>
        <w:rPr>
          <w:rFonts w:hint="eastAsia" w:ascii="宋体" w:hAnsi="宋体" w:cs="宋体"/>
          <w:bCs/>
          <w:sz w:val="22"/>
          <w:szCs w:val="22"/>
        </w:rPr>
        <w:t>（九）评审过程的保密</w:t>
      </w:r>
      <w:bookmarkEnd w:id="31"/>
      <w:bookmarkEnd w:id="32"/>
    </w:p>
    <w:p>
      <w:pPr>
        <w:spacing w:line="360" w:lineRule="auto"/>
        <w:ind w:firstLine="440" w:firstLineChars="200"/>
        <w:rPr>
          <w:rFonts w:ascii="宋体" w:hAnsi="宋体" w:cs="宋体"/>
          <w:bCs/>
          <w:sz w:val="22"/>
          <w:szCs w:val="22"/>
        </w:rPr>
      </w:pPr>
      <w:r>
        <w:rPr>
          <w:rFonts w:hint="eastAsia" w:ascii="宋体" w:hAnsi="宋体" w:cs="宋体"/>
          <w:sz w:val="22"/>
          <w:szCs w:val="22"/>
        </w:rPr>
        <w:t>评</w:t>
      </w:r>
      <w:r>
        <w:rPr>
          <w:rFonts w:hint="eastAsia" w:ascii="宋体" w:hAnsi="宋体" w:cs="宋体"/>
          <w:bCs/>
          <w:sz w:val="22"/>
          <w:szCs w:val="22"/>
        </w:rPr>
        <w:t>审活动在严格保密的情况下进行。竞争性磋商小组成员在成交结果确定前保密。</w:t>
      </w:r>
    </w:p>
    <w:p>
      <w:pPr>
        <w:spacing w:line="360" w:lineRule="auto"/>
        <w:ind w:firstLine="440" w:firstLineChars="200"/>
        <w:rPr>
          <w:rFonts w:ascii="宋体" w:hAnsi="宋体" w:cs="宋体"/>
          <w:bCs/>
          <w:sz w:val="22"/>
          <w:szCs w:val="22"/>
        </w:rPr>
      </w:pPr>
      <w:r>
        <w:rPr>
          <w:rFonts w:hint="eastAsia" w:ascii="宋体" w:hAnsi="宋体" w:cs="宋体"/>
          <w:bCs/>
          <w:sz w:val="22"/>
          <w:szCs w:val="22"/>
        </w:rPr>
        <w:t>竞争性磋商小组成员或者与评审活动有关的工作人员不得向他人透露对响应文件的评审和比较、成交候选人的推荐以及与评审有关的其他情况。</w:t>
      </w:r>
    </w:p>
    <w:p>
      <w:pPr>
        <w:tabs>
          <w:tab w:val="left" w:pos="720"/>
        </w:tabs>
        <w:spacing w:line="360" w:lineRule="auto"/>
        <w:rPr>
          <w:rFonts w:ascii="宋体" w:hAnsi="宋体" w:cs="宋体"/>
          <w:b/>
          <w:bCs/>
          <w:sz w:val="22"/>
          <w:szCs w:val="22"/>
        </w:rPr>
      </w:pPr>
      <w:bookmarkStart w:id="33" w:name="_Toc450311991"/>
      <w:bookmarkStart w:id="34" w:name="_Toc508636668"/>
      <w:r>
        <w:rPr>
          <w:rFonts w:hint="eastAsia" w:ascii="宋体" w:hAnsi="宋体" w:cs="宋体"/>
          <w:b/>
          <w:bCs/>
          <w:sz w:val="22"/>
          <w:szCs w:val="22"/>
        </w:rPr>
        <w:t>4、编制评审报告</w:t>
      </w:r>
      <w:bookmarkEnd w:id="33"/>
      <w:bookmarkEnd w:id="34"/>
    </w:p>
    <w:p>
      <w:pPr>
        <w:spacing w:line="360" w:lineRule="auto"/>
        <w:ind w:firstLine="440" w:firstLineChars="200"/>
        <w:rPr>
          <w:rFonts w:ascii="宋体" w:hAnsi="宋体" w:cs="宋体"/>
          <w:sz w:val="22"/>
          <w:szCs w:val="22"/>
        </w:rPr>
      </w:pPr>
      <w:r>
        <w:rPr>
          <w:rFonts w:hint="eastAsia" w:ascii="宋体" w:hAnsi="宋体" w:cs="宋体"/>
          <w:sz w:val="22"/>
          <w:szCs w:val="22"/>
        </w:rPr>
        <w:t>竞争性磋商小组根据本章的规定向采购人提交评标报告。评标报告应当由全体竞争性磋商小组成员签字。评标报告应当包括以下内容：</w:t>
      </w:r>
    </w:p>
    <w:p>
      <w:pPr>
        <w:spacing w:line="360" w:lineRule="auto"/>
        <w:ind w:firstLine="440" w:firstLineChars="200"/>
        <w:rPr>
          <w:rFonts w:ascii="宋体" w:hAnsi="宋体" w:cs="宋体"/>
          <w:sz w:val="22"/>
          <w:szCs w:val="22"/>
        </w:rPr>
      </w:pPr>
      <w:r>
        <w:rPr>
          <w:rFonts w:hint="eastAsia" w:ascii="宋体" w:hAnsi="宋体" w:cs="宋体"/>
          <w:sz w:val="22"/>
          <w:szCs w:val="22"/>
        </w:rPr>
        <w:t>（1）项目基本情况；</w:t>
      </w:r>
    </w:p>
    <w:p>
      <w:pPr>
        <w:spacing w:line="360" w:lineRule="auto"/>
        <w:ind w:firstLine="440" w:firstLineChars="200"/>
        <w:rPr>
          <w:rFonts w:ascii="宋体" w:hAnsi="宋体" w:cs="宋体"/>
          <w:sz w:val="22"/>
          <w:szCs w:val="22"/>
        </w:rPr>
      </w:pPr>
      <w:r>
        <w:rPr>
          <w:rFonts w:hint="eastAsia" w:ascii="宋体" w:hAnsi="宋体" w:cs="宋体"/>
          <w:sz w:val="22"/>
          <w:szCs w:val="22"/>
        </w:rPr>
        <w:t>（2）竞争性磋商小组成员名单；</w:t>
      </w:r>
    </w:p>
    <w:p>
      <w:pPr>
        <w:spacing w:line="360" w:lineRule="auto"/>
        <w:ind w:firstLine="440" w:firstLineChars="200"/>
        <w:rPr>
          <w:rFonts w:ascii="宋体" w:hAnsi="宋体" w:cs="宋体"/>
          <w:sz w:val="22"/>
          <w:szCs w:val="22"/>
        </w:rPr>
      </w:pPr>
      <w:r>
        <w:rPr>
          <w:rFonts w:hint="eastAsia" w:ascii="宋体" w:hAnsi="宋体" w:cs="宋体"/>
          <w:sz w:val="22"/>
          <w:szCs w:val="22"/>
        </w:rPr>
        <w:t>（3）评审情况；</w:t>
      </w:r>
    </w:p>
    <w:p>
      <w:pPr>
        <w:spacing w:line="360" w:lineRule="auto"/>
        <w:ind w:firstLine="440" w:firstLineChars="200"/>
        <w:rPr>
          <w:rFonts w:ascii="宋体" w:hAnsi="宋体" w:cs="宋体"/>
          <w:sz w:val="22"/>
          <w:szCs w:val="22"/>
        </w:rPr>
      </w:pPr>
      <w:r>
        <w:rPr>
          <w:rFonts w:hint="eastAsia" w:ascii="宋体" w:hAnsi="宋体" w:cs="宋体"/>
          <w:sz w:val="22"/>
          <w:szCs w:val="22"/>
        </w:rPr>
        <w:t>（4）废标情况说明；</w:t>
      </w:r>
    </w:p>
    <w:p>
      <w:pPr>
        <w:spacing w:line="360" w:lineRule="auto"/>
        <w:ind w:firstLine="440" w:firstLineChars="200"/>
        <w:rPr>
          <w:rFonts w:ascii="宋体" w:hAnsi="宋体" w:cs="宋体"/>
          <w:sz w:val="22"/>
          <w:szCs w:val="22"/>
        </w:rPr>
      </w:pPr>
      <w:r>
        <w:rPr>
          <w:rFonts w:hint="eastAsia" w:ascii="宋体" w:hAnsi="宋体" w:cs="宋体"/>
          <w:sz w:val="22"/>
          <w:szCs w:val="22"/>
        </w:rPr>
        <w:t>（5）经评审的投标供应商排序；</w:t>
      </w:r>
    </w:p>
    <w:p>
      <w:pPr>
        <w:spacing w:line="360" w:lineRule="auto"/>
        <w:ind w:firstLine="440" w:firstLineChars="200"/>
        <w:rPr>
          <w:rFonts w:ascii="宋体" w:hAnsi="宋体" w:cs="宋体"/>
          <w:sz w:val="22"/>
          <w:szCs w:val="22"/>
        </w:rPr>
      </w:pPr>
      <w:r>
        <w:rPr>
          <w:rFonts w:hint="eastAsia" w:ascii="宋体" w:hAnsi="宋体" w:cs="宋体"/>
          <w:sz w:val="22"/>
          <w:szCs w:val="22"/>
        </w:rPr>
        <w:t>（6）推荐的成交候选人名单与签订合同前要处理的事宜；</w:t>
      </w:r>
    </w:p>
    <w:p>
      <w:pPr>
        <w:spacing w:line="360" w:lineRule="auto"/>
        <w:ind w:firstLine="440" w:firstLineChars="200"/>
        <w:rPr>
          <w:rFonts w:ascii="宋体" w:hAnsi="宋体" w:cs="宋体"/>
          <w:sz w:val="22"/>
          <w:szCs w:val="22"/>
        </w:rPr>
      </w:pPr>
      <w:r>
        <w:rPr>
          <w:rFonts w:hint="eastAsia" w:ascii="宋体" w:hAnsi="宋体" w:cs="宋体"/>
          <w:sz w:val="22"/>
          <w:szCs w:val="22"/>
        </w:rPr>
        <w:t>（7）澄清、说明、补正事项纪要。</w:t>
      </w:r>
    </w:p>
    <w:p>
      <w:pPr>
        <w:spacing w:line="360" w:lineRule="auto"/>
        <w:ind w:firstLine="440" w:firstLineChars="200"/>
        <w:rPr>
          <w:rFonts w:ascii="宋体" w:hAnsi="宋体" w:cs="宋体"/>
          <w:sz w:val="22"/>
          <w:szCs w:val="22"/>
        </w:rPr>
      </w:pPr>
      <w:r>
        <w:rPr>
          <w:rFonts w:hint="eastAsia" w:ascii="宋体" w:hAnsi="宋体" w:cs="宋体"/>
          <w:sz w:val="22"/>
          <w:szCs w:val="22"/>
        </w:rPr>
        <w:t>评审报告应当由竞争性磋商小组全体人员签字认可。竞争性磋商小组成员对评审报告有异议的，竞争性磋商小组按照少数服从多数的原则推荐成交候选投标供应商，采购程序继续进行。对评审报告有异议的竞争性磋商小组成员，应当在报告上签署不同意见并说明理由，由竞争性磋商小组书面记录相关情况。竞争性磋商小组成员拒绝在报告上签字又不书面说明其不同意见和理由的，视为同意评审报告。</w:t>
      </w:r>
    </w:p>
    <w:p>
      <w:pPr>
        <w:tabs>
          <w:tab w:val="left" w:pos="720"/>
        </w:tabs>
        <w:spacing w:line="360" w:lineRule="auto"/>
        <w:rPr>
          <w:rFonts w:ascii="宋体" w:hAnsi="宋体" w:cs="宋体"/>
          <w:b/>
          <w:bCs/>
          <w:sz w:val="22"/>
          <w:szCs w:val="22"/>
        </w:rPr>
      </w:pPr>
      <w:bookmarkStart w:id="35" w:name="_Toc508636669"/>
      <w:bookmarkStart w:id="36" w:name="_Toc450311992"/>
      <w:r>
        <w:rPr>
          <w:rFonts w:hint="eastAsia" w:ascii="宋体" w:hAnsi="宋体" w:cs="宋体"/>
          <w:b/>
          <w:bCs/>
          <w:sz w:val="22"/>
          <w:szCs w:val="22"/>
        </w:rPr>
        <w:t>5、重新开展采购活动</w:t>
      </w:r>
      <w:bookmarkEnd w:id="35"/>
      <w:bookmarkEnd w:id="36"/>
    </w:p>
    <w:p>
      <w:pPr>
        <w:tabs>
          <w:tab w:val="left" w:pos="105"/>
          <w:tab w:val="left" w:pos="945"/>
          <w:tab w:val="left" w:pos="3360"/>
        </w:tabs>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5.1采购过程中，因情况变化，不再符合规定的竞争性磋商采购方式适用情形的，采购人或者采购代理机构应当终止竞争性磋商采购活动，发布项目终止公告并说明原因，重新开展采购活动。</w:t>
      </w:r>
    </w:p>
    <w:p>
      <w:pPr>
        <w:tabs>
          <w:tab w:val="left" w:pos="105"/>
          <w:tab w:val="left" w:pos="945"/>
          <w:tab w:val="left" w:pos="3360"/>
        </w:tabs>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5.2在评审过程中，经评审，竞争性磋商小组认为所有报价都不符合</w:t>
      </w:r>
      <w:r>
        <w:rPr>
          <w:rFonts w:hint="eastAsia" w:ascii="宋体" w:hAnsi="宋体" w:cs="宋体"/>
          <w:bCs/>
          <w:sz w:val="22"/>
          <w:szCs w:val="22"/>
        </w:rPr>
        <w:t>竞争性磋商文件</w:t>
      </w:r>
      <w:r>
        <w:rPr>
          <w:rFonts w:hint="eastAsia" w:ascii="宋体" w:hAnsi="宋体" w:cs="宋体"/>
          <w:sz w:val="22"/>
          <w:szCs w:val="22"/>
        </w:rPr>
        <w:t>要求的，可以否决所有报价；所有报价被否决后，采购人应当重新组织</w:t>
      </w:r>
      <w:r>
        <w:rPr>
          <w:rFonts w:hint="eastAsia" w:ascii="宋体" w:hAnsi="宋体" w:cs="宋体"/>
          <w:bCs/>
          <w:sz w:val="22"/>
          <w:szCs w:val="22"/>
        </w:rPr>
        <w:t>采购活动</w:t>
      </w:r>
      <w:r>
        <w:rPr>
          <w:rFonts w:hint="eastAsia" w:ascii="宋体" w:hAnsi="宋体" w:cs="宋体"/>
          <w:sz w:val="22"/>
          <w:szCs w:val="22"/>
        </w:rPr>
        <w:t>或报有关部门批准后采用其他采购方式组织采购。</w:t>
      </w:r>
    </w:p>
    <w:p>
      <w:pPr>
        <w:tabs>
          <w:tab w:val="left" w:pos="105"/>
          <w:tab w:val="left" w:pos="945"/>
          <w:tab w:val="left" w:pos="3360"/>
        </w:tabs>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5.3在采购过程中，出现影响采购公正的违法、违规行为时，应重新开展采购活动。</w:t>
      </w:r>
    </w:p>
    <w:p>
      <w:pPr>
        <w:pStyle w:val="11"/>
        <w:keepNext w:val="0"/>
        <w:keepLines w:val="0"/>
        <w:tabs>
          <w:tab w:val="left" w:pos="720"/>
        </w:tabs>
        <w:spacing w:before="0" w:line="360" w:lineRule="auto"/>
        <w:jc w:val="center"/>
        <w:outlineLvl w:val="9"/>
        <w:rPr>
          <w:rFonts w:ascii="宋体" w:hAnsi="宋体" w:eastAsia="宋体"/>
          <w:b/>
          <w:bCs/>
          <w:sz w:val="22"/>
          <w:szCs w:val="22"/>
        </w:rPr>
      </w:pPr>
      <w:r>
        <w:rPr>
          <w:rFonts w:hint="eastAsia" w:ascii="宋体" w:hAnsi="宋体" w:eastAsia="宋体"/>
          <w:b/>
          <w:bCs/>
          <w:sz w:val="22"/>
          <w:szCs w:val="22"/>
        </w:rPr>
        <w:br w:type="page"/>
      </w:r>
      <w:bookmarkStart w:id="37" w:name="_Toc17497"/>
      <w:bookmarkStart w:id="38" w:name="_Toc18151"/>
      <w:bookmarkStart w:id="39" w:name="_Toc508636670"/>
      <w:bookmarkStart w:id="40" w:name="_Toc17306"/>
      <w:bookmarkStart w:id="41" w:name="_Toc26552"/>
      <w:r>
        <w:rPr>
          <w:rFonts w:hint="eastAsia" w:ascii="宋体" w:hAnsi="宋体" w:eastAsia="宋体"/>
          <w:b/>
          <w:bCs/>
          <w:sz w:val="22"/>
          <w:szCs w:val="22"/>
        </w:rPr>
        <w:t>附件B：否决响应文件条款条件</w:t>
      </w:r>
      <w:bookmarkEnd w:id="37"/>
      <w:bookmarkEnd w:id="38"/>
      <w:bookmarkEnd w:id="39"/>
      <w:bookmarkEnd w:id="40"/>
      <w:bookmarkEnd w:id="41"/>
    </w:p>
    <w:p>
      <w:pPr>
        <w:adjustRightInd w:val="0"/>
        <w:snapToGrid w:val="0"/>
        <w:spacing w:line="360" w:lineRule="auto"/>
        <w:rPr>
          <w:rFonts w:ascii="宋体" w:hAnsi="宋体" w:cs="宋体"/>
          <w:sz w:val="22"/>
          <w:szCs w:val="22"/>
        </w:rPr>
      </w:pPr>
      <w:r>
        <w:rPr>
          <w:rFonts w:hint="eastAsia" w:ascii="宋体" w:hAnsi="宋体" w:cs="宋体"/>
          <w:sz w:val="22"/>
          <w:szCs w:val="22"/>
        </w:rPr>
        <w:t>B0.总  则</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本附件所集中列示的否决响应文件条款条件，是本章“评审办法”的组成部分，是对第二章“投标供应商须知前附表”和本章正文部分所规定的否决响应文件条款条件的总结和补充，其他地方的否决条款无效，竞争性磋商小组不得根据“否决响应文件条款条件”之外的条款否决投标。</w:t>
      </w:r>
    </w:p>
    <w:p>
      <w:pPr>
        <w:adjustRightInd w:val="0"/>
        <w:snapToGrid w:val="0"/>
        <w:spacing w:line="360" w:lineRule="auto"/>
        <w:rPr>
          <w:rFonts w:ascii="宋体" w:hAnsi="宋体" w:cs="宋体"/>
          <w:sz w:val="22"/>
          <w:szCs w:val="22"/>
        </w:rPr>
      </w:pPr>
      <w:r>
        <w:rPr>
          <w:rFonts w:hint="eastAsia" w:ascii="宋体" w:hAnsi="宋体" w:cs="宋体"/>
          <w:sz w:val="22"/>
          <w:szCs w:val="22"/>
        </w:rPr>
        <w:t>B1．否决响应文件条款条件</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投标供应商或其响应文件有下列情形之一的，其投标被否决：</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B1.1、响应文件逾期上传或响应文件未按要求加密的；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B1.2、未按竞争性磋商文件的要求提供完整的响应文件的；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B1.3、响应文件内容不全、书写潦草、字迹模糊不清难以辨认的；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B1.4、响应文件未按规定的格式、内容和要求填写的；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B1.5、响应文件未按竞争性磋商文件要求签字或盖公章的；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B1.6、不按竞争性磋商小组要求澄清、说明或补正的。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B1.7、没有投标报价的，或者投标供应商投报两个或多个标书、或者有两个或多个报价，又未书面声明其中哪一个有效的；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B1.10、投标报价低于成本或者高于竞争性磋商文件设定的最高投标限价的；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B1.11、未按竞争性磋商文件要求提交投标保证金</w:t>
      </w:r>
      <w:r>
        <w:rPr>
          <w:rFonts w:hint="eastAsia" w:ascii="宋体" w:hAnsi="宋体" w:cs="宋体"/>
          <w:sz w:val="22"/>
          <w:szCs w:val="22"/>
          <w:lang w:eastAsia="zh-CN"/>
        </w:rPr>
        <w:t>（</w:t>
      </w:r>
      <w:r>
        <w:rPr>
          <w:rFonts w:hint="eastAsia" w:ascii="宋体" w:hAnsi="宋体" w:cs="宋体"/>
          <w:sz w:val="22"/>
          <w:szCs w:val="22"/>
          <w:lang w:val="en-US" w:eastAsia="zh-CN"/>
        </w:rPr>
        <w:t>如有</w:t>
      </w:r>
      <w:r>
        <w:rPr>
          <w:rFonts w:hint="eastAsia" w:ascii="宋体" w:hAnsi="宋体" w:cs="宋体"/>
          <w:sz w:val="22"/>
          <w:szCs w:val="22"/>
          <w:lang w:eastAsia="zh-CN"/>
        </w:rPr>
        <w:t>）</w:t>
      </w:r>
      <w:r>
        <w:rPr>
          <w:rFonts w:hint="eastAsia" w:ascii="宋体" w:hAnsi="宋体" w:cs="宋体"/>
          <w:sz w:val="22"/>
          <w:szCs w:val="22"/>
        </w:rPr>
        <w:t>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B1.12、无服务承诺或服务承诺不满足竞争性磋商文件要求的</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B1.13、在资格审查、响应性评审中，竞争性磋商小组认定投标供应商不符合评审办法前附表中规定的任何一项评审标准的。</w:t>
      </w:r>
    </w:p>
    <w:p>
      <w:bookmarkStart w:id="42" w:name="_GoBack"/>
      <w:bookmarkEnd w:id="4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YTFlNzIwYTYyNzk4YWZmYmIxNGEyNmRlMmM1YTMifQ=="/>
  </w:docVars>
  <w:rsids>
    <w:rsidRoot w:val="07A8653D"/>
    <w:rsid w:val="07A8653D"/>
    <w:rsid w:val="374409CE"/>
    <w:rsid w:val="38992499"/>
    <w:rsid w:val="492B6DD6"/>
    <w:rsid w:val="4C1C2273"/>
    <w:rsid w:val="59F83C7D"/>
    <w:rsid w:val="70E63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b/>
      <w:bCs/>
    </w:rPr>
  </w:style>
  <w:style w:type="paragraph" w:styleId="3">
    <w:name w:val="Body Text Indent"/>
    <w:basedOn w:val="1"/>
    <w:qFormat/>
    <w:uiPriority w:val="99"/>
    <w:pPr>
      <w:ind w:left="420"/>
    </w:pPr>
    <w:rPr>
      <w:kern w:val="0"/>
      <w:sz w:val="20"/>
    </w:rPr>
  </w:style>
  <w:style w:type="paragraph" w:styleId="5">
    <w:name w:val="Normal Indent"/>
    <w:basedOn w:val="1"/>
    <w:next w:val="1"/>
    <w:qFormat/>
    <w:uiPriority w:val="0"/>
    <w:pPr>
      <w:widowControl/>
      <w:ind w:firstLine="440" w:firstLineChars="200"/>
      <w:jc w:val="left"/>
    </w:pPr>
    <w:rPr>
      <w:kern w:val="0"/>
      <w:sz w:val="22"/>
      <w:szCs w:val="22"/>
    </w:rPr>
  </w:style>
  <w:style w:type="paragraph" w:styleId="6">
    <w:name w:val="Body Text"/>
    <w:basedOn w:val="1"/>
    <w:next w:val="1"/>
    <w:qFormat/>
    <w:uiPriority w:val="0"/>
    <w:pPr>
      <w:spacing w:after="120"/>
    </w:pPr>
  </w:style>
  <w:style w:type="paragraph" w:styleId="7">
    <w:name w:val="Plain Text"/>
    <w:basedOn w:val="1"/>
    <w:next w:val="1"/>
    <w:qFormat/>
    <w:uiPriority w:val="0"/>
    <w:rPr>
      <w:rFonts w:ascii="宋体" w:hAnsi="Courier New"/>
    </w:rPr>
  </w:style>
  <w:style w:type="paragraph" w:customStyle="1" w:styleId="10">
    <w:name w:val="Normal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2024-05-14T01:49:00Z</dcterms:created>
  <dc:creator>The sun</dc:creator>
  <cp:lastModifiedBy>The sun</cp:lastModifiedBy>
  <dcterms:modified xsi:type="dcterms:W3CDTF">2024-05-14T01:49:57Z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A21106DD2AF440F99BF1A0ECF01D81A6_11</vt:lpwstr>
  </property>
</Properties>
</file>