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415" w:lineRule="auto"/>
        <w:jc w:val="center"/>
        <w:rPr>
          <w:rFonts w:ascii="宋体" w:hAnsi="宋体" w:eastAsia="宋体"/>
          <w:bCs w:val="0"/>
          <w:highlight w:val="none"/>
        </w:rPr>
      </w:pPr>
      <w:r>
        <w:rPr>
          <w:rFonts w:hint="eastAsia" w:ascii="宋体" w:hAnsi="宋体" w:eastAsia="宋体"/>
          <w:bCs w:val="0"/>
          <w:highlight w:val="none"/>
        </w:rPr>
        <w:t>评审办法</w:t>
      </w:r>
    </w:p>
    <w:p>
      <w:pPr>
        <w:adjustRightInd w:val="0"/>
        <w:snapToGrid w:val="0"/>
        <w:spacing w:line="360" w:lineRule="auto"/>
        <w:ind w:firstLine="480" w:firstLineChars="200"/>
        <w:jc w:val="left"/>
        <w:rPr>
          <w:rFonts w:ascii="宋体" w:hAnsi="宋体"/>
          <w:bCs/>
          <w:sz w:val="24"/>
          <w:szCs w:val="24"/>
          <w:highlight w:val="none"/>
        </w:rPr>
      </w:pPr>
      <w:r>
        <w:rPr>
          <w:rFonts w:hint="eastAsia" w:ascii="宋体" w:hAnsi="宋体"/>
          <w:bCs/>
          <w:sz w:val="24"/>
          <w:szCs w:val="24"/>
          <w:highlight w:val="none"/>
        </w:rPr>
        <w:t>1.评审方法</w:t>
      </w:r>
    </w:p>
    <w:p>
      <w:pPr>
        <w:pStyle w:val="8"/>
        <w:adjustRightInd w:val="0"/>
        <w:snapToGrid w:val="0"/>
        <w:spacing w:after="0" w:line="360" w:lineRule="auto"/>
        <w:ind w:left="0" w:leftChars="0" w:firstLine="480" w:firstLineChars="200"/>
        <w:jc w:val="left"/>
        <w:rPr>
          <w:rFonts w:ascii="宋体" w:hAnsi="宋体"/>
          <w:sz w:val="24"/>
          <w:szCs w:val="24"/>
          <w:highlight w:val="none"/>
        </w:rPr>
      </w:pPr>
      <w:r>
        <w:rPr>
          <w:rFonts w:hint="eastAsia" w:ascii="宋体" w:hAnsi="宋体"/>
          <w:bCs/>
          <w:sz w:val="24"/>
          <w:szCs w:val="24"/>
          <w:highlight w:val="none"/>
        </w:rPr>
        <w:t>本次评审采用综合评分法。询比小组将按综合评分表中规定的各项分值进行打分并计算出各供应商的综合得分，按得分由高到低推荐成交候选供应商排序的评审方法。</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2.评审标准</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sz w:val="24"/>
          <w:szCs w:val="24"/>
          <w:highlight w:val="none"/>
        </w:rPr>
        <w:t>2.1资格</w:t>
      </w:r>
      <w:r>
        <w:rPr>
          <w:rFonts w:hint="eastAsia" w:ascii="宋体" w:hAnsi="宋体"/>
          <w:bCs/>
          <w:sz w:val="24"/>
          <w:szCs w:val="24"/>
          <w:highlight w:val="none"/>
        </w:rPr>
        <w:t>评审标准：详见附件一《资格性评审表》；</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2.2有效性、完整性和响应程度审查标准 ：详见附件二《有效性、完整性和响应程度审查表》；</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2.2详细评审标准：详见附件三《综合评分表》。</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3.评审程序</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sz w:val="24"/>
          <w:szCs w:val="24"/>
          <w:highlight w:val="none"/>
        </w:rPr>
        <w:t>3.1</w:t>
      </w:r>
      <w:r>
        <w:rPr>
          <w:rFonts w:hint="eastAsia" w:ascii="宋体" w:hAnsi="宋体"/>
          <w:bCs/>
          <w:sz w:val="24"/>
          <w:szCs w:val="24"/>
          <w:highlight w:val="none"/>
        </w:rPr>
        <w:t>资格性评审</w:t>
      </w:r>
    </w:p>
    <w:p>
      <w:pPr>
        <w:adjustRightInd w:val="0"/>
        <w:snapToGrid w:val="0"/>
        <w:spacing w:line="360" w:lineRule="auto"/>
        <w:ind w:firstLine="480" w:firstLineChars="200"/>
        <w:rPr>
          <w:rFonts w:ascii="宋体" w:hAnsi="宋体"/>
          <w:sz w:val="24"/>
          <w:szCs w:val="24"/>
          <w:highlight w:val="none"/>
        </w:rPr>
      </w:pPr>
      <w:r>
        <w:rPr>
          <w:rFonts w:hint="eastAsia" w:ascii="宋体" w:hAnsi="宋体"/>
          <w:bCs/>
          <w:sz w:val="24"/>
          <w:szCs w:val="24"/>
          <w:highlight w:val="none"/>
        </w:rPr>
        <w:t>只有通过资格性评审，才能进入</w:t>
      </w:r>
      <w:r>
        <w:rPr>
          <w:rFonts w:hint="eastAsia" w:ascii="宋体" w:hAnsi="宋体"/>
          <w:sz w:val="24"/>
          <w:szCs w:val="24"/>
          <w:highlight w:val="none"/>
        </w:rPr>
        <w:t>下一步评审；</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3.2有效性、完整性和响应程度审查</w:t>
      </w:r>
    </w:p>
    <w:p>
      <w:pPr>
        <w:adjustRightInd w:val="0"/>
        <w:snapToGrid w:val="0"/>
        <w:spacing w:line="360" w:lineRule="auto"/>
        <w:ind w:firstLine="480" w:firstLineChars="200"/>
        <w:rPr>
          <w:rFonts w:ascii="宋体" w:hAnsi="宋体"/>
          <w:sz w:val="24"/>
          <w:szCs w:val="24"/>
          <w:highlight w:val="none"/>
        </w:rPr>
      </w:pPr>
      <w:r>
        <w:rPr>
          <w:rFonts w:hint="eastAsia" w:ascii="宋体" w:hAnsi="宋体"/>
          <w:bCs/>
          <w:sz w:val="24"/>
          <w:szCs w:val="24"/>
          <w:highlight w:val="none"/>
        </w:rPr>
        <w:t>只有通过</w:t>
      </w:r>
      <w:r>
        <w:rPr>
          <w:rFonts w:hint="eastAsia" w:ascii="宋体" w:hAnsi="宋体"/>
          <w:sz w:val="24"/>
          <w:szCs w:val="24"/>
          <w:highlight w:val="none"/>
        </w:rPr>
        <w:t>有效性、完整性和响应程度审查</w:t>
      </w:r>
      <w:r>
        <w:rPr>
          <w:rFonts w:hint="eastAsia" w:ascii="宋体" w:hAnsi="宋体"/>
          <w:bCs/>
          <w:sz w:val="24"/>
          <w:szCs w:val="24"/>
          <w:highlight w:val="none"/>
        </w:rPr>
        <w:t>，才能进入</w:t>
      </w:r>
      <w:r>
        <w:rPr>
          <w:rFonts w:hint="eastAsia" w:ascii="宋体" w:hAnsi="宋体"/>
          <w:sz w:val="24"/>
          <w:szCs w:val="24"/>
          <w:highlight w:val="none"/>
        </w:rPr>
        <w:t>下一步评审；</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3.3</w:t>
      </w:r>
      <w:r>
        <w:rPr>
          <w:rFonts w:hint="eastAsia" w:ascii="宋体" w:hAnsi="宋体"/>
          <w:sz w:val="24"/>
          <w:szCs w:val="24"/>
          <w:highlight w:val="none"/>
        </w:rPr>
        <w:t>详细评审</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3.3.1询比小组成员按附件三《综合评分表》规定的评分因素进行综合评分。</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3.3.3价格分评审办法</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满足询比文件要求且最后报价最低的供应商的价格为基准价。</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报价得分=（基准价/供应商报价）×价格权值×100 (扣减分值中间值用插入法, 小数点后保留两位)。</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3.4统分原则</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3.4.1询比小组应首先对各供应商响应文件进行评审，各分档评分中间采用插入法评分（小数点保留二位），由各小组成员自主评分并签字确认。</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3.4.2报价分值按公式计算，小数点后保留两位。</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3.4.3统计分数原则：所有询比小组成员打分的算术平均值为供应商的最后得分（保留小数点后两位）。</w:t>
      </w:r>
    </w:p>
    <w:p>
      <w:pPr>
        <w:pStyle w:val="7"/>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3.4.4将综合评分从高到低排序，得分相同的，按最后报价由低到高顺序排列。得分且询比报价相同的，按技术优劣顺序排列。</w:t>
      </w:r>
    </w:p>
    <w:p>
      <w:pPr>
        <w:pStyle w:val="8"/>
        <w:adjustRightInd w:val="0"/>
        <w:snapToGrid w:val="0"/>
        <w:spacing w:after="0" w:line="360" w:lineRule="auto"/>
        <w:ind w:left="0" w:leftChars="0" w:firstLine="480" w:firstLineChars="200"/>
        <w:jc w:val="left"/>
        <w:rPr>
          <w:rFonts w:ascii="宋体" w:hAnsi="宋体"/>
          <w:bCs/>
          <w:sz w:val="24"/>
          <w:szCs w:val="24"/>
          <w:highlight w:val="none"/>
        </w:rPr>
      </w:pPr>
      <w:r>
        <w:rPr>
          <w:rFonts w:hint="eastAsia" w:ascii="宋体" w:hAnsi="宋体"/>
          <w:bCs/>
          <w:sz w:val="24"/>
          <w:szCs w:val="24"/>
          <w:highlight w:val="none"/>
        </w:rPr>
        <w:t>附件一：资格性评审表</w:t>
      </w:r>
    </w:p>
    <w:tbl>
      <w:tblPr>
        <w:tblStyle w:val="9"/>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67"/>
        <w:gridCol w:w="560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adjustRightInd w:val="0"/>
              <w:snapToGrid w:val="0"/>
              <w:spacing w:line="400" w:lineRule="atLeast"/>
              <w:jc w:val="center"/>
              <w:rPr>
                <w:szCs w:val="21"/>
                <w:highlight w:val="none"/>
              </w:rPr>
            </w:pPr>
            <w:r>
              <w:rPr>
                <w:rFonts w:hint="eastAsia" w:ascii="宋体" w:hAnsi="宋体"/>
                <w:highlight w:val="none"/>
              </w:rPr>
              <w:t>评审</w:t>
            </w:r>
          </w:p>
          <w:p>
            <w:pPr>
              <w:autoSpaceDE w:val="0"/>
              <w:autoSpaceDN w:val="0"/>
              <w:adjustRightInd w:val="0"/>
              <w:snapToGrid w:val="0"/>
              <w:spacing w:line="400" w:lineRule="atLeast"/>
              <w:jc w:val="center"/>
              <w:rPr>
                <w:highlight w:val="none"/>
              </w:rPr>
            </w:pPr>
            <w:r>
              <w:rPr>
                <w:rFonts w:hint="eastAsia" w:ascii="宋体" w:hAnsi="宋体"/>
                <w:highlight w:val="none"/>
              </w:rPr>
              <w:t>内容</w:t>
            </w:r>
          </w:p>
        </w:tc>
        <w:tc>
          <w:tcPr>
            <w:tcW w:w="196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highlight w:val="none"/>
              </w:rPr>
            </w:pPr>
            <w:r>
              <w:rPr>
                <w:rFonts w:hint="eastAsia" w:ascii="宋体" w:hAnsi="宋体"/>
                <w:highlight w:val="none"/>
              </w:rPr>
              <w:t>评审项目</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highlight w:val="none"/>
              </w:rPr>
            </w:pPr>
            <w:r>
              <w:rPr>
                <w:rFonts w:hint="eastAsia" w:ascii="宋体" w:hAnsi="宋体"/>
                <w:highlight w:val="none"/>
              </w:rPr>
              <w:t>评审标准</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highlight w:val="none"/>
              </w:rPr>
            </w:pPr>
            <w:r>
              <w:rPr>
                <w:rFonts w:hint="eastAsia" w:ascii="宋体" w:hAnsi="宋体"/>
                <w:highlight w:val="none"/>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21" w:type="dxa"/>
            <w:vMerge w:val="restart"/>
            <w:tcBorders>
              <w:top w:val="nil"/>
              <w:left w:val="single" w:color="auto" w:sz="4" w:space="0"/>
              <w:right w:val="single" w:color="auto" w:sz="4" w:space="0"/>
            </w:tcBorders>
            <w:vAlign w:val="center"/>
          </w:tcPr>
          <w:p>
            <w:pPr>
              <w:widowControl/>
              <w:jc w:val="left"/>
              <w:rPr>
                <w:szCs w:val="21"/>
                <w:highlight w:val="none"/>
              </w:rPr>
            </w:pPr>
            <w:r>
              <w:rPr>
                <w:rFonts w:hint="eastAsia"/>
                <w:szCs w:val="21"/>
                <w:highlight w:val="none"/>
              </w:rPr>
              <w:t>资格性评审</w:t>
            </w: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kern w:val="0"/>
                <w:highlight w:val="none"/>
              </w:rPr>
            </w:pPr>
            <w:r>
              <w:rPr>
                <w:rFonts w:hint="eastAsia" w:ascii="宋体" w:hAnsi="宋体"/>
                <w:bCs/>
                <w:kern w:val="0"/>
                <w:highlight w:val="none"/>
              </w:rPr>
              <w:t>营业执照或其他证明材料</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kern w:val="0"/>
                <w:highlight w:val="none"/>
              </w:rPr>
            </w:pPr>
            <w:r>
              <w:rPr>
                <w:rFonts w:hint="eastAsia" w:ascii="宋体" w:hAnsi="宋体"/>
                <w:bCs/>
                <w:kern w:val="0"/>
                <w:highlight w:val="none"/>
              </w:rPr>
              <w:t>在中国境内注册，具有独立承担民事责任的能力，具备有效的营业执照或其他证明材料；</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highlight w:val="none"/>
              </w:rPr>
            </w:pPr>
            <w:r>
              <w:rPr>
                <w:rFonts w:hint="eastAsia" w:ascii="宋体" w:hAnsi="宋体"/>
                <w:bCs/>
                <w:highlight w:val="none"/>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21" w:type="dxa"/>
            <w:vMerge w:val="continue"/>
            <w:tcBorders>
              <w:left w:val="single" w:color="auto" w:sz="4" w:space="0"/>
              <w:right w:val="single" w:color="auto" w:sz="4" w:space="0"/>
            </w:tcBorders>
            <w:vAlign w:val="center"/>
          </w:tcPr>
          <w:p>
            <w:pPr>
              <w:widowControl/>
              <w:jc w:val="left"/>
              <w:rPr>
                <w:szCs w:val="21"/>
                <w:highlight w:val="none"/>
              </w:rPr>
            </w:pP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kern w:val="0"/>
                <w:highlight w:val="none"/>
              </w:rPr>
            </w:pPr>
            <w:r>
              <w:rPr>
                <w:rFonts w:hint="eastAsia" w:ascii="宋体" w:hAnsi="宋体"/>
                <w:bCs/>
                <w:kern w:val="0"/>
                <w:highlight w:val="none"/>
              </w:rPr>
              <w:t>承诺函</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kern w:val="0"/>
                <w:highlight w:val="none"/>
              </w:rPr>
            </w:pPr>
            <w:r>
              <w:rPr>
                <w:rFonts w:hint="eastAsia" w:ascii="宋体" w:hAnsi="宋体"/>
                <w:bCs/>
                <w:kern w:val="0"/>
                <w:highlight w:val="none"/>
              </w:rPr>
              <w:t>供应商自行承诺符合《中华人民共和国政府采购法》第二十二条规定及《中华人民共和国政府采购法实施条例》第十七条的相关要求；</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highlight w:val="none"/>
              </w:rPr>
            </w:pPr>
            <w:r>
              <w:rPr>
                <w:rFonts w:hint="eastAsia" w:ascii="宋体" w:hAnsi="宋体"/>
                <w:bCs/>
                <w:highlight w:val="none"/>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vMerge w:val="continue"/>
            <w:tcBorders>
              <w:left w:val="single" w:color="auto" w:sz="4" w:space="0"/>
              <w:right w:val="single" w:color="auto" w:sz="4" w:space="0"/>
            </w:tcBorders>
            <w:vAlign w:val="center"/>
          </w:tcPr>
          <w:p>
            <w:pPr>
              <w:widowControl/>
              <w:jc w:val="left"/>
              <w:rPr>
                <w:szCs w:val="21"/>
                <w:highlight w:val="none"/>
              </w:rPr>
            </w:pPr>
          </w:p>
        </w:tc>
        <w:tc>
          <w:tcPr>
            <w:tcW w:w="1967" w:type="dxa"/>
            <w:tcBorders>
              <w:left w:val="nil"/>
              <w:right w:val="single" w:color="auto" w:sz="4" w:space="0"/>
            </w:tcBorders>
            <w:vAlign w:val="center"/>
          </w:tcPr>
          <w:p>
            <w:pPr>
              <w:adjustRightInd w:val="0"/>
              <w:snapToGrid w:val="0"/>
              <w:spacing w:line="400" w:lineRule="atLeast"/>
              <w:jc w:val="center"/>
              <w:rPr>
                <w:rFonts w:ascii="宋体" w:hAnsi="宋体"/>
                <w:bCs/>
                <w:kern w:val="0"/>
                <w:highlight w:val="none"/>
              </w:rPr>
            </w:pPr>
            <w:r>
              <w:rPr>
                <w:rFonts w:hint="eastAsia" w:ascii="宋体" w:hAnsi="宋体"/>
                <w:bCs/>
                <w:kern w:val="0"/>
                <w:highlight w:val="none"/>
              </w:rPr>
              <w:t>声明</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ascii="宋体" w:hAnsi="宋体"/>
                <w:bCs/>
                <w:kern w:val="0"/>
                <w:highlight w:val="none"/>
              </w:rPr>
            </w:pPr>
            <w:r>
              <w:rPr>
                <w:rFonts w:hint="eastAsia" w:ascii="宋体" w:hAnsi="宋体"/>
                <w:bCs/>
                <w:kern w:val="0"/>
                <w:highlight w:val="none"/>
              </w:rPr>
              <w:t xml:space="preserve">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 </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bCs/>
                <w:highlight w:val="none"/>
              </w:rPr>
            </w:pPr>
            <w:r>
              <w:rPr>
                <w:rFonts w:hint="eastAsia" w:ascii="宋体" w:hAnsi="宋体"/>
                <w:bCs/>
                <w:highlight w:val="none"/>
              </w:rPr>
              <w:t>审核响应文件</w:t>
            </w:r>
          </w:p>
        </w:tc>
      </w:tr>
    </w:tbl>
    <w:p>
      <w:pPr>
        <w:adjustRightInd w:val="0"/>
        <w:snapToGrid w:val="0"/>
        <w:spacing w:line="360" w:lineRule="auto"/>
        <w:jc w:val="left"/>
        <w:rPr>
          <w:rFonts w:ascii="宋体" w:hAnsi="宋体"/>
          <w:bCs/>
          <w:sz w:val="24"/>
          <w:szCs w:val="24"/>
          <w:highlight w:val="none"/>
        </w:rPr>
      </w:pPr>
    </w:p>
    <w:p>
      <w:pPr>
        <w:adjustRightInd w:val="0"/>
        <w:snapToGrid w:val="0"/>
        <w:spacing w:line="360" w:lineRule="auto"/>
        <w:jc w:val="left"/>
        <w:rPr>
          <w:rFonts w:ascii="宋体" w:hAnsi="宋体"/>
          <w:bCs/>
          <w:sz w:val="24"/>
          <w:szCs w:val="24"/>
          <w:highlight w:val="none"/>
        </w:rPr>
      </w:pPr>
      <w:r>
        <w:rPr>
          <w:rFonts w:hint="eastAsia" w:ascii="宋体" w:hAnsi="宋体"/>
          <w:bCs/>
          <w:sz w:val="24"/>
          <w:szCs w:val="24"/>
          <w:highlight w:val="none"/>
        </w:rPr>
        <w:t>附件二：</w:t>
      </w:r>
      <w:r>
        <w:rPr>
          <w:rFonts w:hint="eastAsia" w:ascii="宋体" w:hAnsi="宋体"/>
          <w:sz w:val="24"/>
          <w:szCs w:val="24"/>
          <w:highlight w:val="none"/>
        </w:rPr>
        <w:t>有效性、完整性和响应程度</w:t>
      </w:r>
      <w:r>
        <w:rPr>
          <w:rFonts w:hint="eastAsia" w:ascii="宋体" w:hAnsi="宋体"/>
          <w:bCs/>
          <w:sz w:val="24"/>
          <w:szCs w:val="24"/>
          <w:highlight w:val="none"/>
        </w:rPr>
        <w:t>检查表</w:t>
      </w:r>
    </w:p>
    <w:p>
      <w:pPr>
        <w:adjustRightInd w:val="0"/>
        <w:snapToGrid w:val="0"/>
        <w:spacing w:line="240" w:lineRule="atLeast"/>
        <w:jc w:val="left"/>
        <w:rPr>
          <w:rFonts w:ascii="宋体" w:hAnsi="宋体"/>
          <w:bCs/>
          <w:sz w:val="24"/>
          <w:szCs w:val="24"/>
          <w:highlight w:val="none"/>
        </w:rPr>
      </w:pPr>
      <w:r>
        <w:rPr>
          <w:rFonts w:hint="eastAsia" w:ascii="宋体" w:hAnsi="宋体"/>
          <w:bCs/>
          <w:sz w:val="24"/>
          <w:szCs w:val="24"/>
          <w:highlight w:val="none"/>
        </w:rPr>
        <w:t>项目名称：</w:t>
      </w:r>
      <w:r>
        <w:rPr>
          <w:rFonts w:hint="eastAsia" w:ascii="宋体" w:hAnsi="宋体"/>
          <w:bCs/>
          <w:sz w:val="24"/>
          <w:szCs w:val="24"/>
          <w:highlight w:val="none"/>
          <w:u w:val="single"/>
        </w:rPr>
        <w:t xml:space="preserve">                        </w:t>
      </w:r>
    </w:p>
    <w:p>
      <w:pPr>
        <w:adjustRightInd w:val="0"/>
        <w:snapToGrid w:val="0"/>
        <w:spacing w:line="240" w:lineRule="atLeast"/>
        <w:jc w:val="left"/>
        <w:rPr>
          <w:rFonts w:ascii="宋体" w:hAnsi="宋体"/>
          <w:bCs/>
          <w:sz w:val="24"/>
          <w:szCs w:val="24"/>
          <w:highlight w:val="none"/>
          <w:u w:val="single"/>
        </w:rPr>
      </w:pPr>
      <w:r>
        <w:rPr>
          <w:rFonts w:hint="eastAsia" w:ascii="宋体" w:hAnsi="宋体"/>
          <w:bCs/>
          <w:sz w:val="24"/>
          <w:szCs w:val="24"/>
          <w:highlight w:val="none"/>
        </w:rPr>
        <w:t>评审地点：</w:t>
      </w:r>
      <w:r>
        <w:rPr>
          <w:rFonts w:hint="eastAsia" w:ascii="宋体" w:hAnsi="宋体"/>
          <w:bCs/>
          <w:sz w:val="24"/>
          <w:szCs w:val="24"/>
          <w:highlight w:val="none"/>
          <w:u w:val="single"/>
        </w:rPr>
        <w:t xml:space="preserve">                        </w:t>
      </w:r>
      <w:r>
        <w:rPr>
          <w:rFonts w:hint="eastAsia" w:ascii="宋体" w:hAnsi="宋体"/>
          <w:bCs/>
          <w:sz w:val="24"/>
          <w:szCs w:val="24"/>
          <w:highlight w:val="none"/>
        </w:rPr>
        <w:t xml:space="preserve">              日期：</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tbl>
      <w:tblPr>
        <w:tblStyle w:val="9"/>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66"/>
        <w:gridCol w:w="567"/>
        <w:gridCol w:w="709"/>
        <w:gridCol w:w="567"/>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629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highlight w:val="none"/>
              </w:rPr>
            </w:pPr>
            <w:r>
              <w:rPr>
                <w:rFonts w:hint="eastAsia" w:ascii="宋体" w:hAnsi="宋体"/>
                <w:bCs/>
                <w:sz w:val="24"/>
                <w:szCs w:val="24"/>
                <w:highlight w:val="none"/>
              </w:rPr>
              <w:t>审 查 内 容</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highlight w:val="none"/>
              </w:rPr>
            </w:pPr>
            <w:r>
              <w:rPr>
                <w:rFonts w:hint="eastAsia" w:ascii="宋体" w:hAnsi="宋体"/>
                <w:bCs/>
                <w:sz w:val="24"/>
                <w:szCs w:val="24"/>
                <w:highlight w:val="none"/>
              </w:rPr>
              <w:t>供应商</w:t>
            </w:r>
          </w:p>
        </w:tc>
        <w:tc>
          <w:tcPr>
            <w:tcW w:w="1615"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highlight w:val="none"/>
              </w:rPr>
            </w:pPr>
            <w:r>
              <w:rPr>
                <w:rFonts w:hint="eastAsia" w:ascii="宋体" w:hAnsi="宋体"/>
                <w:bCs/>
                <w:sz w:val="24"/>
                <w:szCs w:val="24"/>
                <w:highlight w:val="none"/>
              </w:rPr>
              <w:t>询比小组成员签字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2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567" w:type="dxa"/>
            <w:tcBorders>
              <w:top w:val="single" w:color="auto" w:sz="4" w:space="0"/>
              <w:left w:val="single" w:color="auto" w:sz="4" w:space="0"/>
              <w:bottom w:val="single" w:color="auto" w:sz="6" w:space="0"/>
              <w:right w:val="single" w:color="auto" w:sz="4" w:space="0"/>
            </w:tcBorders>
            <w:vAlign w:val="center"/>
          </w:tcPr>
          <w:p>
            <w:pPr>
              <w:spacing w:line="312" w:lineRule="auto"/>
              <w:jc w:val="left"/>
              <w:rPr>
                <w:rFonts w:ascii="宋体" w:hAnsi="宋体"/>
                <w:bCs/>
                <w:sz w:val="24"/>
                <w:szCs w:val="24"/>
                <w:highlight w:val="none"/>
              </w:rPr>
            </w:pPr>
          </w:p>
        </w:tc>
        <w:tc>
          <w:tcPr>
            <w:tcW w:w="1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r>
              <w:rPr>
                <w:rFonts w:hint="eastAsia" w:ascii="宋体" w:hAnsi="宋体"/>
                <w:bCs/>
                <w:sz w:val="24"/>
                <w:szCs w:val="24"/>
                <w:highlight w:val="none"/>
              </w:rPr>
              <w:t>有效性、完整性和响应程度检查表</w:t>
            </w: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bCs/>
                <w:sz w:val="24"/>
                <w:szCs w:val="24"/>
                <w:highlight w:val="none"/>
                <w:lang w:eastAsia="zh-CN"/>
              </w:rPr>
            </w:pPr>
            <w:r>
              <w:rPr>
                <w:rFonts w:hint="eastAsia" w:ascii="宋体" w:hAnsi="宋体" w:cs="宋体"/>
                <w:bCs/>
                <w:sz w:val="24"/>
                <w:szCs w:val="24"/>
                <w:highlight w:val="none"/>
                <w:lang w:val="en-US" w:eastAsia="zh-CN"/>
              </w:rPr>
              <w:t>询比</w:t>
            </w:r>
            <w:r>
              <w:rPr>
                <w:rFonts w:hint="eastAsia" w:ascii="宋体" w:hAnsi="宋体" w:cs="宋体"/>
                <w:bCs/>
                <w:sz w:val="24"/>
                <w:szCs w:val="24"/>
                <w:highlight w:val="none"/>
              </w:rPr>
              <w:t>报价超过采购预算的</w:t>
            </w:r>
            <w:r>
              <w:rPr>
                <w:rFonts w:hint="eastAsia" w:ascii="宋体" w:hAnsi="宋体" w:cs="宋体"/>
                <w:bCs/>
                <w:sz w:val="24"/>
                <w:szCs w:val="24"/>
                <w:highlight w:val="none"/>
                <w:lang w:eastAsia="zh-CN"/>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567" w:type="dxa"/>
            <w:tcBorders>
              <w:top w:val="single" w:color="auto" w:sz="6"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1615" w:type="dxa"/>
            <w:vMerge w:val="restart"/>
            <w:tcBorders>
              <w:top w:val="single" w:color="auto" w:sz="6" w:space="0"/>
              <w:left w:val="single" w:color="auto" w:sz="4" w:space="0"/>
              <w:bottom w:val="single" w:color="auto" w:sz="4" w:space="0"/>
              <w:right w:val="single" w:color="auto" w:sz="4" w:space="0"/>
            </w:tcBorders>
          </w:tcPr>
          <w:p>
            <w:pPr>
              <w:spacing w:line="312" w:lineRule="auto"/>
              <w:jc w:val="center"/>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9" w:type="dxa"/>
            <w:vMerge w:val="continue"/>
            <w:tcBorders>
              <w:left w:val="single" w:color="auto" w:sz="4" w:space="0"/>
              <w:right w:val="single" w:color="auto" w:sz="4" w:space="0"/>
            </w:tcBorders>
            <w:vAlign w:val="center"/>
          </w:tcPr>
          <w:p>
            <w:pPr>
              <w:spacing w:line="312" w:lineRule="auto"/>
              <w:jc w:val="left"/>
              <w:rPr>
                <w:rFonts w:hint="eastAsia" w:ascii="宋体" w:hAnsi="宋体"/>
                <w:bCs/>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bCs/>
                <w:sz w:val="24"/>
                <w:szCs w:val="24"/>
                <w:highlight w:val="none"/>
              </w:rPr>
            </w:pPr>
            <w:r>
              <w:rPr>
                <w:rFonts w:hint="eastAsia" w:ascii="宋体" w:hAnsi="宋体"/>
                <w:bCs/>
                <w:sz w:val="24"/>
                <w:szCs w:val="24"/>
                <w:highlight w:val="none"/>
              </w:rPr>
              <w:t>未按照询比文件规定要求签署、盖章的；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567" w:type="dxa"/>
            <w:tcBorders>
              <w:top w:val="single" w:color="auto" w:sz="6"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1615" w:type="dxa"/>
            <w:vMerge w:val="continue"/>
            <w:tcBorders>
              <w:left w:val="single" w:color="auto" w:sz="4" w:space="0"/>
              <w:right w:val="single" w:color="auto" w:sz="4" w:space="0"/>
            </w:tcBorders>
          </w:tcPr>
          <w:p>
            <w:pPr>
              <w:spacing w:line="312" w:lineRule="auto"/>
              <w:jc w:val="center"/>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r>
              <w:rPr>
                <w:rFonts w:hint="eastAsia" w:ascii="宋体" w:hAnsi="宋体"/>
                <w:bCs/>
                <w:sz w:val="24"/>
                <w:szCs w:val="24"/>
                <w:highlight w:val="none"/>
              </w:rPr>
              <w:t>合同履行期限不满足询比文件要求；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eastAsia="宋体"/>
                <w:bCs/>
                <w:sz w:val="24"/>
                <w:szCs w:val="24"/>
                <w:highlight w:val="none"/>
                <w:lang w:eastAsia="zh-CN"/>
              </w:rPr>
            </w:pPr>
            <w:r>
              <w:rPr>
                <w:rFonts w:hint="eastAsia" w:ascii="宋体" w:hAnsi="宋体"/>
                <w:bCs/>
                <w:sz w:val="24"/>
                <w:szCs w:val="24"/>
                <w:highlight w:val="none"/>
              </w:rPr>
              <w:t>响应文件附有采购人不能接受的附加条件</w:t>
            </w:r>
            <w:r>
              <w:rPr>
                <w:rFonts w:hint="eastAsia" w:ascii="宋体" w:hAnsi="宋体"/>
                <w:bCs/>
                <w:sz w:val="24"/>
                <w:szCs w:val="24"/>
                <w:highlight w:val="none"/>
                <w:lang w:eastAsia="zh-CN"/>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r>
              <w:rPr>
                <w:rFonts w:hint="eastAsia" w:ascii="宋体" w:hAnsi="宋体"/>
                <w:bCs/>
                <w:sz w:val="24"/>
                <w:szCs w:val="24"/>
                <w:highlight w:val="none"/>
              </w:rPr>
              <w:t>不符合法律、法规和询比文件中规定的其它实质性要求的；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567" w:type="dxa"/>
            <w:tcBorders>
              <w:top w:val="single" w:color="auto" w:sz="4" w:space="0"/>
              <w:left w:val="single" w:color="auto" w:sz="4" w:space="0"/>
              <w:bottom w:val="nil"/>
              <w:right w:val="single" w:color="auto" w:sz="4" w:space="0"/>
            </w:tcBorders>
            <w:vAlign w:val="center"/>
          </w:tcPr>
          <w:p>
            <w:pPr>
              <w:spacing w:line="312" w:lineRule="auto"/>
              <w:jc w:val="left"/>
              <w:rPr>
                <w:rFonts w:ascii="宋体" w:hAnsi="宋体"/>
                <w:bCs/>
                <w:sz w:val="24"/>
                <w:szCs w:val="24"/>
                <w:highlight w:val="none"/>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295"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highlight w:val="none"/>
              </w:rPr>
            </w:pPr>
            <w:r>
              <w:rPr>
                <w:rFonts w:hint="eastAsia" w:ascii="宋体" w:hAnsi="宋体"/>
                <w:bCs/>
                <w:sz w:val="24"/>
                <w:szCs w:val="24"/>
                <w:highlight w:val="none"/>
              </w:rPr>
              <w:t>评审结论</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highlight w:val="none"/>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r>
    </w:tbl>
    <w:p>
      <w:pPr>
        <w:spacing w:line="312" w:lineRule="auto"/>
        <w:jc w:val="left"/>
        <w:rPr>
          <w:rFonts w:ascii="宋体" w:hAnsi="宋体"/>
          <w:bCs/>
          <w:szCs w:val="21"/>
          <w:highlight w:val="none"/>
        </w:rPr>
      </w:pPr>
      <w:r>
        <w:rPr>
          <w:rFonts w:hint="eastAsia" w:ascii="宋体" w:hAnsi="宋体"/>
          <w:bCs/>
          <w:highlight w:val="none"/>
        </w:rPr>
        <w:t xml:space="preserve"> </w:t>
      </w:r>
    </w:p>
    <w:p>
      <w:pPr>
        <w:adjustRightInd w:val="0"/>
        <w:snapToGrid w:val="0"/>
        <w:spacing w:line="360" w:lineRule="auto"/>
        <w:jc w:val="left"/>
        <w:rPr>
          <w:rFonts w:ascii="宋体" w:hAnsi="宋体"/>
          <w:sz w:val="24"/>
          <w:szCs w:val="24"/>
          <w:highlight w:val="none"/>
        </w:rPr>
      </w:pPr>
      <w:r>
        <w:rPr>
          <w:rFonts w:hint="eastAsia" w:ascii="宋体" w:hAnsi="宋体"/>
          <w:bCs/>
          <w:sz w:val="24"/>
          <w:szCs w:val="24"/>
          <w:highlight w:val="none"/>
        </w:rPr>
        <w:t>注：上述评审内容对应填写“合格”或“不合格”，评审结论对应填写“不通过”或“通过”，响应文件属上述情况之一的，询比小组将在有效性、完整性和响应程度评审时作为无效标处理。</w:t>
      </w:r>
    </w:p>
    <w:p>
      <w:pPr>
        <w:bidi w:val="0"/>
        <w:rPr>
          <w:rFonts w:ascii="宋体" w:hAnsi="宋体"/>
          <w:sz w:val="24"/>
          <w:szCs w:val="24"/>
          <w:highlight w:val="none"/>
        </w:rPr>
      </w:pPr>
      <w:r>
        <w:rPr>
          <w:rFonts w:hint="eastAsia" w:ascii="宋体" w:hAnsi="宋体"/>
          <w:sz w:val="24"/>
          <w:szCs w:val="24"/>
          <w:highlight w:val="none"/>
        </w:rPr>
        <w:t>附件三</w:t>
      </w:r>
      <w:r>
        <w:rPr>
          <w:rFonts w:hint="eastAsia" w:cs="Calibri"/>
          <w:sz w:val="24"/>
          <w:szCs w:val="24"/>
          <w:highlight w:val="none"/>
        </w:rPr>
        <w:t>:</w:t>
      </w:r>
      <w:r>
        <w:rPr>
          <w:rFonts w:hint="eastAsia" w:ascii="宋体" w:hAnsi="宋体"/>
          <w:sz w:val="24"/>
          <w:szCs w:val="24"/>
          <w:highlight w:val="none"/>
        </w:rPr>
        <w:t>综合评分表</w:t>
      </w:r>
    </w:p>
    <w:tbl>
      <w:tblPr>
        <w:tblStyle w:val="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728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pStyle w:val="7"/>
              <w:snapToGrid w:val="0"/>
              <w:spacing w:line="400" w:lineRule="exact"/>
              <w:contextualSpacing/>
              <w:jc w:val="center"/>
              <w:rPr>
                <w:rFonts w:hAnsi="宋体" w:cs="宋体"/>
                <w:kern w:val="2"/>
                <w:sz w:val="21"/>
                <w:highlight w:val="none"/>
              </w:rPr>
            </w:pPr>
            <w:r>
              <w:rPr>
                <w:rFonts w:hint="eastAsia" w:hAnsi="宋体" w:cs="宋体"/>
                <w:kern w:val="2"/>
                <w:sz w:val="21"/>
                <w:highlight w:val="none"/>
              </w:rPr>
              <w:t>评分因素</w:t>
            </w:r>
          </w:p>
        </w:tc>
        <w:tc>
          <w:tcPr>
            <w:tcW w:w="710" w:type="dxa"/>
            <w:tcBorders>
              <w:top w:val="single" w:color="auto" w:sz="4" w:space="0"/>
              <w:left w:val="nil"/>
              <w:bottom w:val="single" w:color="auto" w:sz="4" w:space="0"/>
              <w:right w:val="single" w:color="auto" w:sz="4" w:space="0"/>
            </w:tcBorders>
            <w:vAlign w:val="center"/>
          </w:tcPr>
          <w:p>
            <w:pPr>
              <w:pStyle w:val="11"/>
              <w:snapToGrid w:val="0"/>
              <w:spacing w:before="0" w:beforeAutospacing="0" w:after="0" w:afterAutospacing="0" w:line="400" w:lineRule="exact"/>
              <w:contextualSpacing/>
              <w:jc w:val="center"/>
              <w:rPr>
                <w:sz w:val="21"/>
                <w:szCs w:val="21"/>
                <w:highlight w:val="none"/>
              </w:rPr>
            </w:pPr>
            <w:r>
              <w:rPr>
                <w:rFonts w:hint="eastAsia"/>
                <w:sz w:val="21"/>
                <w:szCs w:val="21"/>
                <w:highlight w:val="none"/>
              </w:rPr>
              <w:t>分数</w:t>
            </w:r>
          </w:p>
        </w:tc>
        <w:tc>
          <w:tcPr>
            <w:tcW w:w="7286" w:type="dxa"/>
            <w:tcBorders>
              <w:top w:val="single" w:color="auto" w:sz="4" w:space="0"/>
              <w:left w:val="nil"/>
              <w:bottom w:val="single" w:color="auto" w:sz="4" w:space="0"/>
              <w:right w:val="single" w:color="auto" w:sz="4" w:space="0"/>
            </w:tcBorders>
            <w:vAlign w:val="center"/>
          </w:tcPr>
          <w:p>
            <w:pPr>
              <w:pStyle w:val="11"/>
              <w:snapToGrid w:val="0"/>
              <w:spacing w:before="0" w:beforeAutospacing="0" w:after="0" w:afterAutospacing="0" w:line="400" w:lineRule="exact"/>
              <w:contextualSpacing/>
              <w:jc w:val="center"/>
              <w:rPr>
                <w:sz w:val="21"/>
                <w:szCs w:val="21"/>
                <w:highlight w:val="none"/>
              </w:rPr>
            </w:pPr>
            <w:r>
              <w:rPr>
                <w:rFonts w:hint="eastAsia"/>
                <w:sz w:val="21"/>
                <w:szCs w:val="21"/>
                <w:highlight w:val="none"/>
              </w:rPr>
              <w:t>评分规则及说明</w:t>
            </w:r>
          </w:p>
        </w:tc>
        <w:tc>
          <w:tcPr>
            <w:tcW w:w="664"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360" w:lineRule="auto"/>
              <w:contextualSpacing/>
              <w:rPr>
                <w:sz w:val="21"/>
                <w:szCs w:val="21"/>
                <w:highlight w:val="none"/>
              </w:rPr>
            </w:pPr>
            <w:r>
              <w:rPr>
                <w:rFonts w:hint="eastAsia"/>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pStyle w:val="7"/>
              <w:snapToGrid w:val="0"/>
              <w:spacing w:line="400" w:lineRule="exact"/>
              <w:contextualSpacing/>
              <w:jc w:val="center"/>
              <w:rPr>
                <w:rFonts w:hAnsi="宋体" w:cs="宋体"/>
                <w:kern w:val="2"/>
                <w:sz w:val="21"/>
                <w:highlight w:val="none"/>
              </w:rPr>
            </w:pPr>
            <w:r>
              <w:rPr>
                <w:rFonts w:hAnsi="宋体" w:cs="宋体"/>
                <w:kern w:val="2"/>
                <w:sz w:val="21"/>
                <w:highlight w:val="none"/>
              </w:rPr>
              <w:t>价格</w:t>
            </w:r>
          </w:p>
        </w:tc>
        <w:tc>
          <w:tcPr>
            <w:tcW w:w="710"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400" w:lineRule="exact"/>
              <w:contextualSpacing/>
              <w:jc w:val="center"/>
              <w:rPr>
                <w:rFonts w:hint="default" w:eastAsia="宋体"/>
                <w:kern w:val="2"/>
                <w:sz w:val="21"/>
                <w:szCs w:val="21"/>
                <w:highlight w:val="none"/>
                <w:lang w:val="en-US" w:eastAsia="zh-CN"/>
              </w:rPr>
            </w:pPr>
            <w:r>
              <w:rPr>
                <w:rFonts w:hint="eastAsia"/>
                <w:kern w:val="2"/>
                <w:sz w:val="21"/>
                <w:szCs w:val="21"/>
                <w:highlight w:val="none"/>
                <w:lang w:val="en-US" w:eastAsia="zh-CN"/>
              </w:rPr>
              <w:t>10</w:t>
            </w:r>
          </w:p>
        </w:tc>
        <w:tc>
          <w:tcPr>
            <w:tcW w:w="7286" w:type="dxa"/>
            <w:tcBorders>
              <w:top w:val="single" w:color="auto" w:sz="4" w:space="0"/>
              <w:left w:val="nil"/>
              <w:bottom w:val="single" w:color="auto" w:sz="4" w:space="0"/>
              <w:right w:val="single" w:color="auto" w:sz="4" w:space="0"/>
            </w:tcBorders>
            <w:vAlign w:val="center"/>
          </w:tcPr>
          <w:p>
            <w:pPr>
              <w:pStyle w:val="14"/>
              <w:snapToGrid w:val="0"/>
              <w:spacing w:before="0" w:beforeAutospacing="0" w:after="0" w:afterAutospacing="0" w:line="360" w:lineRule="auto"/>
              <w:contextualSpacing/>
              <w:rPr>
                <w:rFonts w:hint="eastAsia"/>
                <w:kern w:val="2"/>
                <w:sz w:val="21"/>
                <w:szCs w:val="21"/>
                <w:highlight w:val="none"/>
                <w:lang w:val="zh-CN"/>
              </w:rPr>
            </w:pPr>
            <w:r>
              <w:rPr>
                <w:rFonts w:hint="eastAsia"/>
                <w:kern w:val="2"/>
                <w:sz w:val="21"/>
                <w:szCs w:val="21"/>
                <w:highlight w:val="none"/>
                <w:lang w:val="zh-CN"/>
              </w:rPr>
              <w:t>经初步审查合格且投标报价价格最低的有效报价为评标基准价，其价格分为满分。其他供应商的价格分统一按照下列公式计算：</w:t>
            </w:r>
          </w:p>
          <w:p>
            <w:pPr>
              <w:pStyle w:val="14"/>
              <w:snapToGrid w:val="0"/>
              <w:spacing w:before="0" w:beforeAutospacing="0" w:after="0" w:afterAutospacing="0" w:line="360" w:lineRule="auto"/>
              <w:contextualSpacing/>
              <w:rPr>
                <w:kern w:val="2"/>
                <w:sz w:val="21"/>
                <w:szCs w:val="21"/>
                <w:highlight w:val="none"/>
                <w:lang w:val="zh-CN"/>
              </w:rPr>
            </w:pPr>
            <w:r>
              <w:rPr>
                <w:rFonts w:hint="eastAsia"/>
                <w:kern w:val="2"/>
                <w:sz w:val="21"/>
                <w:szCs w:val="21"/>
                <w:highlight w:val="none"/>
                <w:lang w:val="zh-CN"/>
              </w:rPr>
              <w:t>投标报价计算公式= 评标基准价/供应商有效投标报价×</w:t>
            </w:r>
            <w:r>
              <w:rPr>
                <w:rFonts w:hint="eastAsia"/>
                <w:kern w:val="2"/>
                <w:sz w:val="21"/>
                <w:szCs w:val="21"/>
                <w:highlight w:val="none"/>
                <w:lang w:val="en-US" w:eastAsia="zh-CN"/>
              </w:rPr>
              <w:t>10</w:t>
            </w:r>
            <w:r>
              <w:rPr>
                <w:rFonts w:hint="eastAsia"/>
                <w:kern w:val="2"/>
                <w:sz w:val="21"/>
                <w:szCs w:val="21"/>
                <w:highlight w:val="none"/>
                <w:lang w:val="zh-CN"/>
              </w:rPr>
              <w:t>。</w:t>
            </w:r>
          </w:p>
        </w:tc>
        <w:tc>
          <w:tcPr>
            <w:tcW w:w="664"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360" w:lineRule="auto"/>
              <w:contextualSpacing/>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contextualSpacing/>
              <w:jc w:val="center"/>
              <w:rPr>
                <w:rFonts w:hint="default" w:hAnsi="宋体" w:eastAsia="宋体" w:cs="宋体"/>
                <w:kern w:val="2"/>
                <w:sz w:val="21"/>
                <w:highlight w:val="none"/>
                <w:lang w:val="en-US" w:eastAsia="zh-CN"/>
              </w:rPr>
            </w:pPr>
            <w:bookmarkStart w:id="0" w:name="_Hlk151546181"/>
            <w:r>
              <w:rPr>
                <w:rFonts w:hint="eastAsia" w:ascii="宋体" w:hAnsi="宋体" w:cs="宋体"/>
                <w:szCs w:val="21"/>
                <w:highlight w:val="none"/>
              </w:rPr>
              <w:t>服务方案</w:t>
            </w:r>
          </w:p>
        </w:tc>
        <w:tc>
          <w:tcPr>
            <w:tcW w:w="710" w:type="dxa"/>
            <w:tcBorders>
              <w:top w:val="single" w:color="auto" w:sz="4" w:space="0"/>
              <w:left w:val="nil"/>
              <w:bottom w:val="single" w:color="auto" w:sz="4" w:space="0"/>
              <w:right w:val="single" w:color="auto" w:sz="4" w:space="0"/>
            </w:tcBorders>
            <w:vAlign w:val="center"/>
          </w:tcPr>
          <w:p>
            <w:pPr>
              <w:pStyle w:val="7"/>
              <w:snapToGrid w:val="0"/>
              <w:spacing w:line="400" w:lineRule="exact"/>
              <w:contextualSpacing/>
              <w:jc w:val="center"/>
              <w:rPr>
                <w:rFonts w:hint="default" w:hAnsi="宋体" w:eastAsia="宋体" w:cs="宋体"/>
                <w:kern w:val="2"/>
                <w:sz w:val="21"/>
                <w:highlight w:val="none"/>
                <w:lang w:val="en-US" w:eastAsia="zh-CN"/>
              </w:rPr>
            </w:pPr>
            <w:r>
              <w:rPr>
                <w:rFonts w:hint="eastAsia" w:hAnsi="宋体" w:cs="宋体"/>
                <w:kern w:val="2"/>
                <w:sz w:val="21"/>
                <w:highlight w:val="none"/>
                <w:lang w:val="en-US" w:eastAsia="zh-CN"/>
              </w:rPr>
              <w:t>30</w:t>
            </w:r>
          </w:p>
        </w:tc>
        <w:tc>
          <w:tcPr>
            <w:tcW w:w="7286" w:type="dxa"/>
            <w:tcBorders>
              <w:top w:val="single" w:color="auto" w:sz="4" w:space="0"/>
              <w:left w:val="nil"/>
              <w:bottom w:val="single" w:color="auto" w:sz="4" w:space="0"/>
              <w:right w:val="single" w:color="auto" w:sz="4" w:space="0"/>
            </w:tcBorders>
            <w:vAlign w:val="center"/>
          </w:tcPr>
          <w:p>
            <w:pPr>
              <w:numPr>
                <w:ilvl w:val="0"/>
                <w:numId w:val="0"/>
              </w:numPr>
              <w:snapToGrid w:val="0"/>
              <w:spacing w:line="440" w:lineRule="exact"/>
              <w:contextualSpacing/>
              <w:rPr>
                <w:rFonts w:hint="eastAsia" w:ascii="宋体" w:hAnsi="宋体" w:cs="宋体"/>
                <w:szCs w:val="21"/>
                <w:highlight w:val="none"/>
              </w:rPr>
            </w:pPr>
            <w:r>
              <w:rPr>
                <w:rFonts w:hint="eastAsia" w:ascii="宋体" w:hAnsi="宋体" w:cs="宋体"/>
                <w:kern w:val="2"/>
                <w:sz w:val="21"/>
                <w:szCs w:val="21"/>
                <w:highlight w:val="none"/>
                <w:lang w:val="en-US" w:eastAsia="zh-CN" w:bidi="ar-SA"/>
              </w:rPr>
              <w:t>（1）</w:t>
            </w:r>
            <w:r>
              <w:rPr>
                <w:rFonts w:hint="eastAsia" w:ascii="宋体" w:hAnsi="宋体" w:cs="宋体"/>
                <w:szCs w:val="21"/>
                <w:highlight w:val="none"/>
              </w:rPr>
              <w:t>对本项目的理解充分，方案合理、有针对性、内容完整、资料齐全且充分、工作计划安排严谨周密，对采购项目实施程序分析透彻，服务成果清单完备，对相关政策法规熟悉，对主要问题把握准确，能完全满足本项目需求，得</w:t>
            </w:r>
            <w:r>
              <w:rPr>
                <w:rFonts w:hint="eastAsia" w:ascii="宋体" w:hAnsi="宋体" w:cs="宋体"/>
                <w:szCs w:val="21"/>
                <w:highlight w:val="none"/>
                <w:lang w:val="en-US" w:eastAsia="zh-CN"/>
              </w:rPr>
              <w:t>30</w:t>
            </w:r>
            <w:r>
              <w:rPr>
                <w:rFonts w:hint="eastAsia" w:ascii="宋体" w:hAnsi="宋体" w:cs="宋体"/>
                <w:szCs w:val="21"/>
                <w:highlight w:val="none"/>
              </w:rPr>
              <w:t>分;</w:t>
            </w:r>
          </w:p>
          <w:p>
            <w:pPr>
              <w:numPr>
                <w:ilvl w:val="0"/>
                <w:numId w:val="0"/>
              </w:numPr>
              <w:snapToGrid w:val="0"/>
              <w:spacing w:line="440" w:lineRule="exact"/>
              <w:contextualSpacing/>
              <w:rPr>
                <w:rFonts w:hint="eastAsia" w:ascii="宋体" w:hAnsi="宋体" w:cs="宋体"/>
                <w:szCs w:val="21"/>
                <w:highlight w:val="none"/>
              </w:rPr>
            </w:pPr>
            <w:r>
              <w:rPr>
                <w:rFonts w:hint="eastAsia" w:ascii="宋体" w:hAnsi="宋体" w:cs="宋体"/>
                <w:kern w:val="2"/>
                <w:sz w:val="21"/>
                <w:szCs w:val="21"/>
                <w:highlight w:val="none"/>
                <w:lang w:val="en-US" w:eastAsia="zh-CN" w:bidi="ar-SA"/>
              </w:rPr>
              <w:t>（2）</w:t>
            </w:r>
            <w:r>
              <w:rPr>
                <w:rFonts w:hint="eastAsia" w:ascii="宋体" w:hAnsi="宋体" w:cs="宋体"/>
                <w:szCs w:val="21"/>
                <w:highlight w:val="none"/>
              </w:rPr>
              <w:t>对本项目的理解充分，方案合理、有针对性、资料齐全、工作计划安排严谨，对采购项目实施程序分析透彻，服务成果清单完备，对相关政策法规熟悉，对主要问题把握准确，能满足本项目需求，得</w:t>
            </w:r>
            <w:r>
              <w:rPr>
                <w:rFonts w:hint="eastAsia" w:ascii="宋体" w:hAnsi="宋体" w:cs="宋体"/>
                <w:szCs w:val="21"/>
                <w:highlight w:val="none"/>
                <w:lang w:val="en-US" w:eastAsia="zh-CN"/>
              </w:rPr>
              <w:t>25</w:t>
            </w:r>
            <w:r>
              <w:rPr>
                <w:rFonts w:hint="eastAsia" w:ascii="宋体" w:hAnsi="宋体" w:cs="宋体"/>
                <w:szCs w:val="21"/>
                <w:highlight w:val="none"/>
              </w:rPr>
              <w:t>分;</w:t>
            </w:r>
          </w:p>
          <w:p>
            <w:pPr>
              <w:numPr>
                <w:ilvl w:val="0"/>
                <w:numId w:val="0"/>
              </w:numPr>
              <w:snapToGrid w:val="0"/>
              <w:spacing w:line="440" w:lineRule="exact"/>
              <w:contextualSpacing/>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对本项目的理解</w:t>
            </w:r>
            <w:r>
              <w:rPr>
                <w:rFonts w:hint="eastAsia" w:ascii="宋体" w:hAnsi="宋体" w:cs="宋体"/>
                <w:szCs w:val="21"/>
                <w:highlight w:val="none"/>
                <w:lang w:val="en-US" w:eastAsia="zh-CN"/>
              </w:rPr>
              <w:t>基本</w:t>
            </w:r>
            <w:r>
              <w:rPr>
                <w:rFonts w:hint="eastAsia" w:ascii="宋体" w:hAnsi="宋体" w:cs="宋体"/>
                <w:szCs w:val="21"/>
                <w:highlight w:val="none"/>
              </w:rPr>
              <w:t>充分，方案合理、内容基本完整、资料基本齐全、工作计划安排恰当对采购项目实施程序基本熟悉，</w:t>
            </w:r>
            <w:r>
              <w:rPr>
                <w:rFonts w:hint="eastAsia" w:ascii="宋体" w:hAnsi="宋体" w:cs="宋体"/>
                <w:szCs w:val="21"/>
                <w:highlight w:val="none"/>
                <w:lang w:val="en-US" w:eastAsia="zh-CN"/>
              </w:rPr>
              <w:t>有</w:t>
            </w:r>
            <w:r>
              <w:rPr>
                <w:rFonts w:hint="eastAsia" w:ascii="宋体" w:hAnsi="宋体" w:cs="宋体"/>
                <w:szCs w:val="21"/>
                <w:highlight w:val="none"/>
              </w:rPr>
              <w:t>服务成果清单</w:t>
            </w:r>
            <w:r>
              <w:rPr>
                <w:rFonts w:hint="eastAsia" w:ascii="宋体" w:hAnsi="宋体" w:cs="宋体"/>
                <w:szCs w:val="21"/>
                <w:highlight w:val="none"/>
                <w:lang w:eastAsia="zh-CN"/>
              </w:rPr>
              <w:t>、</w:t>
            </w:r>
            <w:r>
              <w:rPr>
                <w:rFonts w:hint="eastAsia" w:ascii="宋体" w:hAnsi="宋体" w:cs="宋体"/>
                <w:szCs w:val="21"/>
                <w:highlight w:val="none"/>
              </w:rPr>
              <w:t>对相关政策法规了解，能</w:t>
            </w:r>
            <w:r>
              <w:rPr>
                <w:rFonts w:hint="eastAsia" w:ascii="宋体" w:hAnsi="宋体" w:cs="宋体"/>
                <w:szCs w:val="21"/>
                <w:highlight w:val="none"/>
                <w:lang w:val="en-US" w:eastAsia="zh-CN"/>
              </w:rPr>
              <w:t>基本</w:t>
            </w:r>
            <w:r>
              <w:rPr>
                <w:rFonts w:hint="eastAsia" w:ascii="宋体" w:hAnsi="宋体" w:cs="宋体"/>
                <w:szCs w:val="21"/>
                <w:highlight w:val="none"/>
              </w:rPr>
              <w:t>满足本项目需求的，得</w:t>
            </w:r>
            <w:r>
              <w:rPr>
                <w:rFonts w:hint="eastAsia" w:ascii="宋体" w:hAnsi="宋体" w:cs="宋体"/>
                <w:szCs w:val="21"/>
                <w:highlight w:val="none"/>
                <w:lang w:val="en-US" w:eastAsia="zh-CN"/>
              </w:rPr>
              <w:t>20</w:t>
            </w:r>
            <w:r>
              <w:rPr>
                <w:rFonts w:hint="eastAsia" w:ascii="宋体" w:hAnsi="宋体" w:cs="宋体"/>
                <w:szCs w:val="21"/>
                <w:highlight w:val="none"/>
              </w:rPr>
              <w:t>分;</w:t>
            </w:r>
          </w:p>
          <w:p>
            <w:pPr>
              <w:numPr>
                <w:ilvl w:val="0"/>
                <w:numId w:val="0"/>
              </w:numPr>
              <w:snapToGrid w:val="0"/>
              <w:spacing w:line="440" w:lineRule="exact"/>
              <w:contextualSpacing/>
              <w:rPr>
                <w:rFonts w:hint="eastAsia" w:ascii="宋体" w:hAnsi="宋体" w:cs="宋体"/>
                <w:szCs w:val="21"/>
                <w:highlight w:val="none"/>
              </w:rPr>
            </w:pPr>
            <w:r>
              <w:rPr>
                <w:rFonts w:hint="eastAsia" w:ascii="宋体" w:hAnsi="宋体" w:cs="宋体"/>
                <w:kern w:val="2"/>
                <w:sz w:val="21"/>
                <w:szCs w:val="21"/>
                <w:highlight w:val="none"/>
                <w:lang w:val="en-US" w:eastAsia="zh-CN" w:bidi="ar-SA"/>
              </w:rPr>
              <w:t>（4）</w:t>
            </w:r>
            <w:r>
              <w:rPr>
                <w:rFonts w:hint="eastAsia" w:ascii="宋体" w:hAnsi="宋体" w:cs="宋体"/>
                <w:szCs w:val="21"/>
                <w:highlight w:val="none"/>
              </w:rPr>
              <w:t>服务方案内容不完整、资料有欠缺的，工作计划安排不够合理，对采购项目实施程序基本了解，对相关政策法规基本了解，对主要问题把握不准确，不能完全满足本项目需求的，得</w:t>
            </w:r>
            <w:r>
              <w:rPr>
                <w:rFonts w:hint="eastAsia" w:ascii="宋体" w:hAnsi="宋体" w:cs="宋体"/>
                <w:szCs w:val="21"/>
                <w:highlight w:val="none"/>
                <w:lang w:val="en-US" w:eastAsia="zh-CN"/>
              </w:rPr>
              <w:t>15</w:t>
            </w:r>
            <w:r>
              <w:rPr>
                <w:rFonts w:hint="eastAsia" w:ascii="宋体" w:hAnsi="宋体" w:cs="宋体"/>
                <w:szCs w:val="21"/>
                <w:highlight w:val="none"/>
              </w:rPr>
              <w:t>分;</w:t>
            </w:r>
          </w:p>
          <w:p>
            <w:pPr>
              <w:numPr>
                <w:ilvl w:val="0"/>
                <w:numId w:val="0"/>
              </w:numPr>
              <w:snapToGrid w:val="0"/>
              <w:spacing w:line="440" w:lineRule="exact"/>
              <w:contextualSpacing/>
              <w:rPr>
                <w:rFonts w:hint="eastAsia" w:ascii="宋体" w:hAnsi="宋体" w:cs="宋体"/>
                <w:szCs w:val="21"/>
                <w:highlight w:val="none"/>
              </w:rPr>
            </w:pPr>
            <w:r>
              <w:rPr>
                <w:rFonts w:hint="eastAsia" w:ascii="宋体" w:hAnsi="宋体" w:cs="宋体"/>
                <w:kern w:val="2"/>
                <w:sz w:val="21"/>
                <w:szCs w:val="21"/>
                <w:highlight w:val="none"/>
                <w:lang w:val="en-US" w:eastAsia="zh-CN" w:bidi="ar-SA"/>
              </w:rPr>
              <w:t>（5）</w:t>
            </w:r>
            <w:r>
              <w:rPr>
                <w:rFonts w:hint="eastAsia" w:ascii="宋体" w:hAnsi="宋体" w:cs="宋体"/>
                <w:szCs w:val="21"/>
                <w:highlight w:val="none"/>
              </w:rPr>
              <w:t>服务方案差、资料有欠缺，工作计划安排不合理，对采购项目实施程序不了解，对相关政策法规不了解，对主要问题把握不准确，不能满足本项目要求的，得</w:t>
            </w:r>
            <w:r>
              <w:rPr>
                <w:rFonts w:hint="eastAsia" w:ascii="宋体" w:hAnsi="宋体" w:cs="宋体"/>
                <w:szCs w:val="21"/>
                <w:highlight w:val="none"/>
                <w:lang w:val="en-US" w:eastAsia="zh-CN"/>
              </w:rPr>
              <w:t>10</w:t>
            </w:r>
            <w:r>
              <w:rPr>
                <w:rFonts w:hint="eastAsia" w:ascii="宋体" w:hAnsi="宋体" w:cs="宋体"/>
                <w:szCs w:val="21"/>
                <w:highlight w:val="none"/>
              </w:rPr>
              <w:t>分；</w:t>
            </w:r>
          </w:p>
          <w:p>
            <w:pPr>
              <w:pStyle w:val="7"/>
              <w:numPr>
                <w:ilvl w:val="0"/>
                <w:numId w:val="0"/>
              </w:numPr>
              <w:snapToGrid w:val="0"/>
              <w:spacing w:line="400" w:lineRule="exact"/>
              <w:contextualSpacing/>
              <w:jc w:val="left"/>
              <w:rPr>
                <w:rFonts w:hint="default" w:hAnsi="宋体" w:cs="宋体"/>
                <w:kern w:val="2"/>
                <w:sz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）未提供咨询服务方案不得分。</w:t>
            </w:r>
          </w:p>
        </w:tc>
        <w:tc>
          <w:tcPr>
            <w:tcW w:w="664"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360" w:lineRule="auto"/>
              <w:contextualSpacing/>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bidi w:val="0"/>
              <w:rPr>
                <w:highlight w:val="none"/>
              </w:rPr>
            </w:pPr>
            <w:r>
              <w:rPr>
                <w:rFonts w:hint="eastAsia" w:ascii="宋体" w:hAnsi="宋体" w:cs="宋体"/>
                <w:highlight w:val="none"/>
              </w:rPr>
              <w:t>重点和难点理解及分析</w:t>
            </w:r>
          </w:p>
        </w:tc>
        <w:tc>
          <w:tcPr>
            <w:tcW w:w="710" w:type="dxa"/>
            <w:tcBorders>
              <w:top w:val="single" w:color="auto" w:sz="4" w:space="0"/>
              <w:left w:val="nil"/>
              <w:bottom w:val="single" w:color="auto" w:sz="4" w:space="0"/>
              <w:right w:val="single" w:color="auto" w:sz="4" w:space="0"/>
            </w:tcBorders>
            <w:vAlign w:val="center"/>
          </w:tcPr>
          <w:p>
            <w:pPr>
              <w:pStyle w:val="7"/>
              <w:snapToGrid w:val="0"/>
              <w:spacing w:line="400" w:lineRule="exact"/>
              <w:ind w:firstLine="210" w:firstLineChars="100"/>
              <w:contextualSpacing/>
              <w:jc w:val="left"/>
              <w:rPr>
                <w:rFonts w:hint="eastAsia" w:hAnsi="宋体" w:eastAsia="宋体" w:cs="宋体"/>
                <w:kern w:val="2"/>
                <w:sz w:val="21"/>
                <w:highlight w:val="none"/>
                <w:lang w:val="en-US" w:eastAsia="zh-CN"/>
              </w:rPr>
            </w:pPr>
            <w:r>
              <w:rPr>
                <w:rFonts w:hAnsi="宋体" w:cs="宋体"/>
                <w:kern w:val="2"/>
                <w:sz w:val="21"/>
                <w:highlight w:val="none"/>
              </w:rPr>
              <w:t>1</w:t>
            </w:r>
            <w:r>
              <w:rPr>
                <w:rFonts w:hint="eastAsia" w:hAnsi="宋体" w:cs="宋体"/>
                <w:kern w:val="2"/>
                <w:sz w:val="21"/>
                <w:highlight w:val="none"/>
                <w:lang w:val="en-US" w:eastAsia="zh-CN"/>
              </w:rPr>
              <w:t>5</w:t>
            </w:r>
          </w:p>
        </w:tc>
        <w:tc>
          <w:tcPr>
            <w:tcW w:w="7286" w:type="dxa"/>
            <w:tcBorders>
              <w:top w:val="single" w:color="auto" w:sz="4" w:space="0"/>
              <w:left w:val="nil"/>
              <w:bottom w:val="single" w:color="auto" w:sz="4" w:space="0"/>
              <w:right w:val="single" w:color="auto" w:sz="4" w:space="0"/>
            </w:tcBorders>
            <w:vAlign w:val="center"/>
          </w:tcPr>
          <w:p>
            <w:pPr>
              <w:numPr>
                <w:ilvl w:val="0"/>
                <w:numId w:val="1"/>
              </w:numPr>
              <w:snapToGrid w:val="0"/>
              <w:spacing w:line="440" w:lineRule="exact"/>
              <w:contextualSpacing/>
              <w:rPr>
                <w:rFonts w:hint="eastAsia" w:ascii="宋体" w:hAnsi="宋体" w:cs="宋体"/>
                <w:highlight w:val="none"/>
              </w:rPr>
            </w:pPr>
            <w:r>
              <w:rPr>
                <w:rFonts w:hint="eastAsia" w:ascii="宋体" w:hAnsi="宋体" w:cs="宋体"/>
                <w:highlight w:val="none"/>
              </w:rPr>
              <w:t>对开展本项目工作的重点和难点理解及分析，完整、详实且针对性强的，得15分;</w:t>
            </w:r>
          </w:p>
          <w:p>
            <w:pPr>
              <w:numPr>
                <w:ilvl w:val="0"/>
                <w:numId w:val="1"/>
              </w:numPr>
              <w:snapToGrid w:val="0"/>
              <w:spacing w:line="440" w:lineRule="exact"/>
              <w:contextualSpacing/>
              <w:rPr>
                <w:rFonts w:hint="eastAsia" w:ascii="宋体" w:hAnsi="宋体" w:cs="宋体"/>
                <w:szCs w:val="21"/>
                <w:highlight w:val="none"/>
              </w:rPr>
            </w:pPr>
            <w:r>
              <w:rPr>
                <w:rFonts w:hint="eastAsia" w:ascii="宋体" w:hAnsi="宋体" w:cs="宋体"/>
                <w:highlight w:val="none"/>
              </w:rPr>
              <w:t>对开展本项目工作的重点和难点理解及分析，基本完整、详实有一定针对性的，得12分;</w:t>
            </w:r>
          </w:p>
          <w:p>
            <w:pPr>
              <w:numPr>
                <w:ilvl w:val="0"/>
                <w:numId w:val="1"/>
              </w:numPr>
              <w:snapToGrid w:val="0"/>
              <w:spacing w:line="440" w:lineRule="exact"/>
              <w:contextualSpacing/>
              <w:rPr>
                <w:rFonts w:hint="eastAsia" w:ascii="宋体" w:hAnsi="宋体" w:cs="宋体"/>
                <w:highlight w:val="none"/>
              </w:rPr>
            </w:pPr>
            <w:r>
              <w:rPr>
                <w:rFonts w:hint="eastAsia" w:ascii="宋体" w:hAnsi="宋体" w:cs="宋体"/>
                <w:highlight w:val="none"/>
              </w:rPr>
              <w:t>对开展本项目工作的重点和难点理解及分析，相对完整、详实针对性一般的，得</w:t>
            </w:r>
            <w:r>
              <w:rPr>
                <w:rFonts w:hint="eastAsia" w:ascii="宋体" w:hAnsi="宋体" w:cs="宋体"/>
                <w:highlight w:val="none"/>
                <w:lang w:val="en-US" w:eastAsia="zh-CN"/>
              </w:rPr>
              <w:t>9</w:t>
            </w:r>
            <w:r>
              <w:rPr>
                <w:rFonts w:hint="eastAsia" w:ascii="宋体" w:hAnsi="宋体" w:cs="宋体"/>
                <w:highlight w:val="none"/>
              </w:rPr>
              <w:t>分;</w:t>
            </w:r>
          </w:p>
          <w:p>
            <w:pPr>
              <w:numPr>
                <w:ilvl w:val="0"/>
                <w:numId w:val="1"/>
              </w:numPr>
              <w:snapToGrid w:val="0"/>
              <w:spacing w:line="440" w:lineRule="exact"/>
              <w:contextualSpacing/>
              <w:rPr>
                <w:rFonts w:hint="eastAsia" w:ascii="宋体" w:hAnsi="宋体" w:eastAsia="宋体" w:cs="宋体"/>
                <w:highlight w:val="none"/>
              </w:rPr>
            </w:pPr>
            <w:r>
              <w:rPr>
                <w:rFonts w:hint="eastAsia" w:ascii="宋体" w:hAnsi="宋体" w:eastAsia="宋体" w:cs="宋体"/>
                <w:highlight w:val="none"/>
              </w:rPr>
              <w:t>对开展本项目工作的重点和难点理解及分析，有缺漏或不具针对性的得</w:t>
            </w:r>
            <w:r>
              <w:rPr>
                <w:rFonts w:hint="eastAsia" w:ascii="宋体" w:hAnsi="宋体" w:eastAsia="宋体" w:cs="宋体"/>
                <w:highlight w:val="none"/>
                <w:lang w:val="en-US" w:eastAsia="zh-CN"/>
              </w:rPr>
              <w:t>5</w:t>
            </w:r>
            <w:r>
              <w:rPr>
                <w:rFonts w:hint="eastAsia" w:ascii="宋体" w:hAnsi="宋体" w:eastAsia="宋体" w:cs="宋体"/>
                <w:highlight w:val="none"/>
              </w:rPr>
              <w:t>分。</w:t>
            </w:r>
          </w:p>
          <w:p>
            <w:pPr>
              <w:pStyle w:val="7"/>
              <w:snapToGrid w:val="0"/>
              <w:spacing w:line="400" w:lineRule="exact"/>
              <w:contextualSpacing/>
              <w:jc w:val="left"/>
              <w:rPr>
                <w:rFonts w:hAnsi="宋体" w:cs="宋体"/>
                <w:kern w:val="2"/>
                <w:sz w:val="21"/>
                <w:highlight w:val="none"/>
              </w:rPr>
            </w:pPr>
            <w:r>
              <w:rPr>
                <w:rFonts w:hint="eastAsia" w:ascii="宋体" w:hAnsi="宋体" w:cs="宋体"/>
                <w:highlight w:val="none"/>
              </w:rPr>
              <w:t>（5）未提供重点和难点理解及分析的不得分。</w:t>
            </w:r>
          </w:p>
        </w:tc>
        <w:tc>
          <w:tcPr>
            <w:tcW w:w="664"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360" w:lineRule="auto"/>
              <w:contextualSpacing/>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服务质量保证措施及违约责</w:t>
            </w:r>
          </w:p>
          <w:p>
            <w:pPr>
              <w:snapToGrid w:val="0"/>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任承诺</w:t>
            </w:r>
          </w:p>
          <w:p>
            <w:pPr>
              <w:pStyle w:val="7"/>
              <w:snapToGrid w:val="0"/>
              <w:spacing w:line="400" w:lineRule="exact"/>
              <w:contextualSpacing/>
              <w:jc w:val="center"/>
              <w:rPr>
                <w:rFonts w:hAnsi="宋体" w:cs="宋体"/>
                <w:kern w:val="2"/>
                <w:sz w:val="21"/>
                <w:highlight w:val="none"/>
              </w:rPr>
            </w:pPr>
          </w:p>
        </w:tc>
        <w:tc>
          <w:tcPr>
            <w:tcW w:w="710" w:type="dxa"/>
            <w:tcBorders>
              <w:top w:val="single" w:color="auto" w:sz="4" w:space="0"/>
              <w:left w:val="nil"/>
              <w:bottom w:val="single" w:color="auto" w:sz="4" w:space="0"/>
              <w:right w:val="single" w:color="auto" w:sz="4" w:space="0"/>
            </w:tcBorders>
            <w:vAlign w:val="center"/>
          </w:tcPr>
          <w:p>
            <w:pPr>
              <w:pStyle w:val="7"/>
              <w:snapToGrid w:val="0"/>
              <w:spacing w:line="400" w:lineRule="exact"/>
              <w:contextualSpacing/>
              <w:jc w:val="center"/>
              <w:rPr>
                <w:rFonts w:hint="default" w:hAnsi="宋体" w:eastAsia="宋体" w:cs="宋体"/>
                <w:kern w:val="2"/>
                <w:sz w:val="21"/>
                <w:highlight w:val="none"/>
                <w:lang w:val="en-US" w:eastAsia="zh-CN"/>
              </w:rPr>
            </w:pPr>
            <w:r>
              <w:rPr>
                <w:rFonts w:hint="eastAsia" w:hAnsi="宋体" w:cs="宋体"/>
                <w:kern w:val="2"/>
                <w:sz w:val="21"/>
                <w:highlight w:val="none"/>
                <w:lang w:val="en-US" w:eastAsia="zh-CN"/>
              </w:rPr>
              <w:t>24</w:t>
            </w:r>
          </w:p>
        </w:tc>
        <w:tc>
          <w:tcPr>
            <w:tcW w:w="7286" w:type="dxa"/>
            <w:tcBorders>
              <w:top w:val="single" w:color="auto" w:sz="4" w:space="0"/>
              <w:left w:val="nil"/>
              <w:bottom w:val="single" w:color="auto" w:sz="4" w:space="0"/>
              <w:right w:val="single" w:color="auto" w:sz="4" w:space="0"/>
            </w:tcBorders>
            <w:vAlign w:val="center"/>
          </w:tcPr>
          <w:p>
            <w:pPr>
              <w:pStyle w:val="7"/>
              <w:snapToGrid w:val="0"/>
              <w:spacing w:line="360" w:lineRule="auto"/>
              <w:contextualSpacing/>
              <w:jc w:val="left"/>
              <w:rPr>
                <w:rFonts w:hint="eastAsia" w:hAnsi="宋体" w:cs="宋体"/>
                <w:kern w:val="2"/>
                <w:sz w:val="21"/>
                <w:highlight w:val="none"/>
              </w:rPr>
            </w:pPr>
            <w:r>
              <w:rPr>
                <w:rFonts w:hint="eastAsia" w:hAnsi="宋体" w:cs="宋体"/>
                <w:kern w:val="2"/>
                <w:sz w:val="21"/>
                <w:highlight w:val="none"/>
              </w:rPr>
              <w:t>（1)服务承诺、质量承诺及保证措施满足采购文件要求且有具体的违约责任承诺，对保证措施有阐述，针对性较强且具体可行的，得</w:t>
            </w:r>
            <w:r>
              <w:rPr>
                <w:rFonts w:hint="eastAsia" w:hAnsi="宋体" w:cs="宋体"/>
                <w:kern w:val="2"/>
                <w:sz w:val="21"/>
                <w:highlight w:val="none"/>
                <w:lang w:val="en-US" w:eastAsia="zh-CN"/>
              </w:rPr>
              <w:t>24</w:t>
            </w:r>
            <w:r>
              <w:rPr>
                <w:rFonts w:hint="eastAsia" w:hAnsi="宋体" w:cs="宋体"/>
                <w:kern w:val="2"/>
                <w:sz w:val="21"/>
                <w:highlight w:val="none"/>
              </w:rPr>
              <w:t>分；</w:t>
            </w:r>
          </w:p>
          <w:p>
            <w:pPr>
              <w:pStyle w:val="7"/>
              <w:snapToGrid w:val="0"/>
              <w:spacing w:line="360" w:lineRule="auto"/>
              <w:contextualSpacing/>
              <w:jc w:val="left"/>
              <w:rPr>
                <w:rFonts w:hint="eastAsia" w:hAnsi="宋体" w:cs="宋体"/>
                <w:kern w:val="2"/>
                <w:sz w:val="21"/>
                <w:highlight w:val="none"/>
              </w:rPr>
            </w:pPr>
            <w:r>
              <w:rPr>
                <w:rFonts w:hint="eastAsia" w:hAnsi="宋体" w:cs="宋体"/>
                <w:kern w:val="2"/>
                <w:sz w:val="21"/>
                <w:highlight w:val="none"/>
              </w:rPr>
              <w:t>(2)服务承诺、质量承诺及保证措施满足采购文件要求且有违约责任承诺，保证措施基本达到要求，针对性强且具体可行的，得</w:t>
            </w:r>
            <w:r>
              <w:rPr>
                <w:rFonts w:hint="eastAsia" w:hAnsi="宋体" w:cs="宋体"/>
                <w:kern w:val="2"/>
                <w:sz w:val="21"/>
                <w:highlight w:val="none"/>
                <w:lang w:val="en-US" w:eastAsia="zh-CN"/>
              </w:rPr>
              <w:t>18</w:t>
            </w:r>
            <w:r>
              <w:rPr>
                <w:rFonts w:hint="eastAsia" w:hAnsi="宋体" w:cs="宋体"/>
                <w:kern w:val="2"/>
                <w:sz w:val="21"/>
                <w:highlight w:val="none"/>
              </w:rPr>
              <w:t>分；</w:t>
            </w:r>
          </w:p>
          <w:p>
            <w:pPr>
              <w:pStyle w:val="7"/>
              <w:snapToGrid w:val="0"/>
              <w:spacing w:line="360" w:lineRule="auto"/>
              <w:contextualSpacing/>
              <w:jc w:val="left"/>
              <w:rPr>
                <w:rFonts w:hint="eastAsia" w:hAnsi="宋体" w:cs="宋体"/>
                <w:kern w:val="2"/>
                <w:sz w:val="21"/>
                <w:highlight w:val="none"/>
              </w:rPr>
            </w:pPr>
            <w:r>
              <w:rPr>
                <w:rFonts w:hint="eastAsia" w:hAnsi="宋体" w:cs="宋体"/>
                <w:kern w:val="2"/>
                <w:sz w:val="21"/>
                <w:highlight w:val="none"/>
              </w:rPr>
              <w:t>(3)服务承诺、质量承诺及保证措施基本满足采购文件要求且有具体的违约责任承诺，但保证措施简单的;针对性一般的，得</w:t>
            </w:r>
            <w:r>
              <w:rPr>
                <w:rFonts w:hint="eastAsia" w:hAnsi="宋体" w:cs="宋体"/>
                <w:kern w:val="2"/>
                <w:sz w:val="21"/>
                <w:highlight w:val="none"/>
                <w:lang w:val="en-US" w:eastAsia="zh-CN"/>
              </w:rPr>
              <w:t>12</w:t>
            </w:r>
            <w:r>
              <w:rPr>
                <w:rFonts w:hint="eastAsia" w:hAnsi="宋体" w:cs="宋体"/>
                <w:kern w:val="2"/>
                <w:sz w:val="21"/>
                <w:highlight w:val="none"/>
              </w:rPr>
              <w:t>分；</w:t>
            </w:r>
          </w:p>
          <w:p>
            <w:pPr>
              <w:pStyle w:val="7"/>
              <w:snapToGrid w:val="0"/>
              <w:spacing w:line="360" w:lineRule="auto"/>
              <w:contextualSpacing/>
              <w:jc w:val="left"/>
              <w:rPr>
                <w:rFonts w:hint="eastAsia" w:hAnsi="宋体" w:eastAsia="宋体" w:cs="宋体"/>
                <w:kern w:val="2"/>
                <w:sz w:val="21"/>
                <w:highlight w:val="none"/>
                <w:lang w:eastAsia="zh-CN"/>
              </w:rPr>
            </w:pPr>
            <w:r>
              <w:rPr>
                <w:rFonts w:hint="eastAsia" w:hAnsi="宋体" w:cs="宋体"/>
                <w:kern w:val="2"/>
                <w:sz w:val="21"/>
                <w:highlight w:val="none"/>
              </w:rPr>
              <w:t>(4)服务承诺、质量承诺及保证措施不能够满足采购文件要求、违约责任承诺不具体或未提供违约责任承诺的，无针对性的，得</w:t>
            </w:r>
            <w:r>
              <w:rPr>
                <w:rFonts w:hint="eastAsia" w:hAnsi="宋体" w:cs="宋体"/>
                <w:kern w:val="2"/>
                <w:sz w:val="21"/>
                <w:highlight w:val="none"/>
                <w:lang w:val="en-US" w:eastAsia="zh-CN"/>
              </w:rPr>
              <w:t>6</w:t>
            </w:r>
            <w:r>
              <w:rPr>
                <w:rFonts w:hint="eastAsia" w:hAnsi="宋体" w:cs="宋体"/>
                <w:kern w:val="2"/>
                <w:sz w:val="21"/>
                <w:highlight w:val="none"/>
              </w:rPr>
              <w:t>分</w:t>
            </w:r>
            <w:r>
              <w:rPr>
                <w:rFonts w:hint="eastAsia" w:hAnsi="宋体" w:cs="宋体"/>
                <w:kern w:val="2"/>
                <w:sz w:val="21"/>
                <w:highlight w:val="none"/>
                <w:lang w:eastAsia="zh-CN"/>
              </w:rPr>
              <w:t>；</w:t>
            </w:r>
          </w:p>
          <w:p>
            <w:pPr>
              <w:pStyle w:val="7"/>
              <w:snapToGrid w:val="0"/>
              <w:spacing w:line="360" w:lineRule="auto"/>
              <w:contextualSpacing/>
              <w:jc w:val="left"/>
              <w:rPr>
                <w:rFonts w:hAnsi="宋体" w:cs="宋体"/>
                <w:kern w:val="2"/>
                <w:sz w:val="21"/>
                <w:highlight w:val="none"/>
              </w:rPr>
            </w:pPr>
            <w:r>
              <w:rPr>
                <w:rFonts w:hint="eastAsia" w:hAnsi="宋体" w:cs="宋体"/>
                <w:kern w:val="2"/>
                <w:sz w:val="21"/>
                <w:highlight w:val="none"/>
              </w:rPr>
              <w:t>（5）未提服务质量保证措施及违约责任承诺不得分。</w:t>
            </w:r>
          </w:p>
        </w:tc>
        <w:tc>
          <w:tcPr>
            <w:tcW w:w="664"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360" w:lineRule="auto"/>
              <w:contextualSpacing/>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szCs w:val="21"/>
                <w:highlight w:val="none"/>
                <w:lang w:val="zh-CN"/>
              </w:rPr>
            </w:pPr>
            <w:r>
              <w:rPr>
                <w:rFonts w:hint="eastAsia" w:ascii="宋体" w:hAnsi="宋体" w:cs="宋体"/>
                <w:szCs w:val="21"/>
                <w:highlight w:val="none"/>
              </w:rPr>
              <w:t>服务团队人员配备</w:t>
            </w:r>
          </w:p>
        </w:tc>
        <w:tc>
          <w:tcPr>
            <w:tcW w:w="710" w:type="dxa"/>
            <w:tcBorders>
              <w:top w:val="single" w:color="auto" w:sz="4" w:space="0"/>
              <w:left w:val="nil"/>
              <w:bottom w:val="single" w:color="auto" w:sz="4" w:space="0"/>
              <w:right w:val="single" w:color="auto" w:sz="4" w:space="0"/>
            </w:tcBorders>
            <w:vAlign w:val="center"/>
          </w:tcPr>
          <w:p>
            <w:pPr>
              <w:snapToGrid w:val="0"/>
              <w:spacing w:line="360" w:lineRule="auto"/>
              <w:contextualSpacing/>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7286" w:type="dxa"/>
            <w:tcBorders>
              <w:top w:val="single" w:color="auto" w:sz="4" w:space="0"/>
              <w:left w:val="nil"/>
              <w:bottom w:val="single" w:color="auto" w:sz="4" w:space="0"/>
              <w:right w:val="single" w:color="auto" w:sz="4" w:space="0"/>
            </w:tcBorders>
            <w:vAlign w:val="center"/>
          </w:tcPr>
          <w:p>
            <w:pPr>
              <w:snapToGrid w:val="0"/>
              <w:spacing w:line="360" w:lineRule="auto"/>
              <w:contextualSpacing/>
              <w:jc w:val="left"/>
              <w:rPr>
                <w:rFonts w:hint="eastAsia" w:ascii="宋体" w:hAnsi="宋体" w:cs="宋体"/>
                <w:szCs w:val="21"/>
                <w:highlight w:val="none"/>
                <w:lang w:val="zh-CN"/>
              </w:rPr>
            </w:pPr>
            <w:r>
              <w:rPr>
                <w:rFonts w:hint="eastAsia" w:ascii="宋体" w:hAnsi="宋体" w:cs="宋体"/>
                <w:szCs w:val="21"/>
                <w:highlight w:val="none"/>
                <w:lang w:val="zh-CN"/>
              </w:rPr>
              <w:t>（1）人员配置完整可靠且比较合理，与</w:t>
            </w:r>
            <w:r>
              <w:rPr>
                <w:rFonts w:hint="eastAsia" w:ascii="宋体" w:hAnsi="宋体" w:cs="宋体"/>
                <w:szCs w:val="21"/>
                <w:highlight w:val="none"/>
                <w:lang w:val="en-US" w:eastAsia="zh-CN"/>
              </w:rPr>
              <w:t>本项目</w:t>
            </w:r>
            <w:r>
              <w:rPr>
                <w:rFonts w:hint="eastAsia" w:ascii="宋体" w:hAnsi="宋体" w:cs="宋体"/>
                <w:szCs w:val="21"/>
                <w:highlight w:val="none"/>
                <w:lang w:val="zh-CN"/>
              </w:rPr>
              <w:t>服务相关内容对应较强的，得1</w:t>
            </w:r>
            <w:r>
              <w:rPr>
                <w:rFonts w:hint="eastAsia" w:ascii="宋体" w:hAnsi="宋体" w:cs="宋体"/>
                <w:szCs w:val="21"/>
                <w:highlight w:val="none"/>
                <w:lang w:val="en-US" w:eastAsia="zh-CN"/>
              </w:rPr>
              <w:t>5</w:t>
            </w:r>
            <w:r>
              <w:rPr>
                <w:rFonts w:hint="eastAsia" w:ascii="宋体" w:hAnsi="宋体" w:cs="宋体"/>
                <w:szCs w:val="21"/>
                <w:highlight w:val="none"/>
                <w:lang w:val="zh-CN"/>
              </w:rPr>
              <w:t>分；</w:t>
            </w:r>
          </w:p>
          <w:p>
            <w:pPr>
              <w:snapToGrid w:val="0"/>
              <w:spacing w:line="360" w:lineRule="auto"/>
              <w:contextualSpacing/>
              <w:jc w:val="left"/>
              <w:rPr>
                <w:rFonts w:hint="eastAsia" w:ascii="宋体" w:hAnsi="宋体" w:cs="宋体"/>
                <w:szCs w:val="21"/>
                <w:highlight w:val="none"/>
                <w:lang w:val="zh-CN"/>
              </w:rPr>
            </w:pPr>
            <w:r>
              <w:rPr>
                <w:rFonts w:hint="eastAsia" w:ascii="宋体" w:hAnsi="宋体" w:cs="宋体"/>
                <w:szCs w:val="21"/>
                <w:highlight w:val="none"/>
                <w:lang w:val="zh-CN"/>
              </w:rPr>
              <w:t>（2）人员配置完整、合理，与</w:t>
            </w:r>
            <w:r>
              <w:rPr>
                <w:rFonts w:hint="eastAsia" w:ascii="宋体" w:hAnsi="宋体" w:cs="宋体"/>
                <w:szCs w:val="21"/>
                <w:highlight w:val="none"/>
                <w:lang w:val="en-US" w:eastAsia="zh-CN"/>
              </w:rPr>
              <w:t>本项目</w:t>
            </w:r>
            <w:r>
              <w:rPr>
                <w:rFonts w:hint="eastAsia" w:ascii="宋体" w:hAnsi="宋体" w:cs="宋体"/>
                <w:szCs w:val="21"/>
                <w:highlight w:val="none"/>
                <w:lang w:val="zh-CN"/>
              </w:rPr>
              <w:t>服务相关内容对应</w:t>
            </w:r>
            <w:r>
              <w:rPr>
                <w:rFonts w:hint="eastAsia" w:ascii="宋体" w:hAnsi="宋体" w:cs="宋体"/>
                <w:szCs w:val="21"/>
                <w:highlight w:val="none"/>
                <w:lang w:val="en-US" w:eastAsia="zh-CN"/>
              </w:rPr>
              <w:t>一般</w:t>
            </w:r>
            <w:r>
              <w:rPr>
                <w:rFonts w:hint="eastAsia" w:ascii="宋体" w:hAnsi="宋体" w:cs="宋体"/>
                <w:szCs w:val="21"/>
                <w:highlight w:val="none"/>
                <w:lang w:val="zh-CN"/>
              </w:rPr>
              <w:t>的，得</w:t>
            </w:r>
            <w:r>
              <w:rPr>
                <w:rFonts w:hint="eastAsia" w:ascii="宋体" w:hAnsi="宋体" w:cs="宋体"/>
                <w:szCs w:val="21"/>
                <w:highlight w:val="none"/>
                <w:lang w:val="en-US" w:eastAsia="zh-CN"/>
              </w:rPr>
              <w:t>12</w:t>
            </w:r>
            <w:r>
              <w:rPr>
                <w:rFonts w:hint="eastAsia" w:ascii="宋体" w:hAnsi="宋体" w:cs="宋体"/>
                <w:szCs w:val="21"/>
                <w:highlight w:val="none"/>
                <w:lang w:val="zh-CN"/>
              </w:rPr>
              <w:t>分；</w:t>
            </w:r>
          </w:p>
          <w:p>
            <w:pPr>
              <w:snapToGrid w:val="0"/>
              <w:spacing w:line="360" w:lineRule="auto"/>
              <w:contextualSpacing/>
              <w:jc w:val="left"/>
              <w:rPr>
                <w:rFonts w:hint="eastAsia" w:ascii="宋体" w:hAnsi="宋体" w:cs="宋体"/>
                <w:szCs w:val="21"/>
                <w:highlight w:val="none"/>
                <w:lang w:val="zh-CN"/>
              </w:rPr>
            </w:pPr>
            <w:r>
              <w:rPr>
                <w:rFonts w:hint="eastAsia" w:ascii="宋体" w:hAnsi="宋体" w:cs="宋体"/>
                <w:szCs w:val="21"/>
                <w:highlight w:val="none"/>
                <w:lang w:val="zh-CN"/>
              </w:rPr>
              <w:t>（3）人员配置基本完整，与</w:t>
            </w:r>
            <w:r>
              <w:rPr>
                <w:rFonts w:hint="eastAsia" w:ascii="宋体" w:hAnsi="宋体" w:cs="宋体"/>
                <w:szCs w:val="21"/>
                <w:highlight w:val="none"/>
                <w:lang w:val="en-US" w:eastAsia="zh-CN"/>
              </w:rPr>
              <w:t>本项目</w:t>
            </w:r>
            <w:r>
              <w:rPr>
                <w:rFonts w:hint="eastAsia" w:ascii="宋体" w:hAnsi="宋体" w:cs="宋体"/>
                <w:szCs w:val="21"/>
                <w:highlight w:val="none"/>
                <w:lang w:val="zh-CN"/>
              </w:rPr>
              <w:t>服务相关内容对应</w:t>
            </w:r>
            <w:r>
              <w:rPr>
                <w:rFonts w:hint="eastAsia" w:ascii="宋体" w:hAnsi="宋体" w:cs="宋体"/>
                <w:szCs w:val="21"/>
                <w:highlight w:val="none"/>
                <w:lang w:val="en-US" w:eastAsia="zh-CN"/>
              </w:rPr>
              <w:t>较弱</w:t>
            </w:r>
            <w:r>
              <w:rPr>
                <w:rFonts w:hint="eastAsia" w:ascii="宋体" w:hAnsi="宋体" w:cs="宋体"/>
                <w:szCs w:val="21"/>
                <w:highlight w:val="none"/>
                <w:lang w:val="zh-CN"/>
              </w:rPr>
              <w:t>的，得</w:t>
            </w:r>
            <w:r>
              <w:rPr>
                <w:rFonts w:hint="eastAsia" w:ascii="宋体" w:hAnsi="宋体" w:cs="宋体"/>
                <w:szCs w:val="21"/>
                <w:highlight w:val="none"/>
                <w:lang w:val="en-US" w:eastAsia="zh-CN"/>
              </w:rPr>
              <w:t>6</w:t>
            </w:r>
            <w:r>
              <w:rPr>
                <w:rFonts w:hint="eastAsia" w:ascii="宋体" w:hAnsi="宋体" w:cs="宋体"/>
                <w:szCs w:val="21"/>
                <w:highlight w:val="none"/>
                <w:lang w:val="zh-CN"/>
              </w:rPr>
              <w:t>分；</w:t>
            </w:r>
          </w:p>
          <w:p>
            <w:pPr>
              <w:snapToGrid w:val="0"/>
              <w:spacing w:line="360" w:lineRule="auto"/>
              <w:contextualSpacing/>
              <w:jc w:val="left"/>
              <w:rPr>
                <w:rFonts w:ascii="宋体" w:hAnsi="宋体" w:cs="宋体"/>
                <w:szCs w:val="21"/>
                <w:highlight w:val="none"/>
                <w:lang w:val="zh-CN"/>
              </w:rPr>
            </w:pPr>
            <w:r>
              <w:rPr>
                <w:rFonts w:hint="eastAsia" w:ascii="宋体" w:hAnsi="宋体" w:cs="宋体"/>
                <w:szCs w:val="21"/>
                <w:highlight w:val="none"/>
                <w:lang w:val="zh-CN"/>
              </w:rPr>
              <w:t>（4）未对人员配备做任何说明的不得分。</w:t>
            </w:r>
          </w:p>
        </w:tc>
        <w:tc>
          <w:tcPr>
            <w:tcW w:w="664"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360" w:lineRule="auto"/>
              <w:contextualSpacing/>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szCs w:val="21"/>
                <w:highlight w:val="none"/>
                <w:lang w:val="zh-CN"/>
              </w:rPr>
            </w:pPr>
            <w:r>
              <w:rPr>
                <w:rFonts w:ascii="宋体" w:hAnsi="宋体" w:cs="宋体"/>
                <w:szCs w:val="21"/>
                <w:highlight w:val="none"/>
                <w:lang w:val="zh-CN"/>
              </w:rPr>
              <w:t>业绩</w:t>
            </w:r>
          </w:p>
        </w:tc>
        <w:tc>
          <w:tcPr>
            <w:tcW w:w="710" w:type="dxa"/>
            <w:tcBorders>
              <w:top w:val="single" w:color="auto" w:sz="4" w:space="0"/>
              <w:left w:val="nil"/>
              <w:bottom w:val="single" w:color="auto" w:sz="4" w:space="0"/>
              <w:right w:val="single" w:color="auto" w:sz="4" w:space="0"/>
            </w:tcBorders>
            <w:vAlign w:val="center"/>
          </w:tcPr>
          <w:p>
            <w:pPr>
              <w:snapToGrid w:val="0"/>
              <w:spacing w:line="360" w:lineRule="auto"/>
              <w:contextualSpacing/>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7286" w:type="dxa"/>
            <w:tcBorders>
              <w:top w:val="single" w:color="auto" w:sz="4" w:space="0"/>
              <w:left w:val="nil"/>
              <w:bottom w:val="single" w:color="auto" w:sz="4" w:space="0"/>
              <w:right w:val="single" w:color="auto" w:sz="4" w:space="0"/>
            </w:tcBorders>
            <w:vAlign w:val="center"/>
          </w:tcPr>
          <w:p>
            <w:pPr>
              <w:snapToGrid w:val="0"/>
              <w:spacing w:line="360" w:lineRule="auto"/>
              <w:contextualSpacing/>
              <w:jc w:val="left"/>
              <w:rPr>
                <w:rFonts w:hint="eastAsia" w:ascii="宋体" w:hAnsi="宋体" w:cs="宋体"/>
                <w:szCs w:val="21"/>
                <w:highlight w:val="none"/>
                <w:lang w:val="zh-CN"/>
              </w:rPr>
            </w:pPr>
            <w:r>
              <w:rPr>
                <w:rFonts w:hint="eastAsia" w:ascii="宋体" w:hAnsi="宋体" w:cs="宋体"/>
                <w:szCs w:val="21"/>
                <w:highlight w:val="none"/>
                <w:lang w:val="zh-CN"/>
              </w:rPr>
              <w:t>提供类似项目业绩，每提供一份业绩的得2分，满分</w:t>
            </w:r>
            <w:r>
              <w:rPr>
                <w:rFonts w:hint="eastAsia" w:ascii="宋体" w:hAnsi="宋体" w:cs="宋体"/>
                <w:szCs w:val="21"/>
                <w:highlight w:val="none"/>
                <w:lang w:val="en-US" w:eastAsia="zh-CN"/>
              </w:rPr>
              <w:t>6</w:t>
            </w:r>
            <w:r>
              <w:rPr>
                <w:rFonts w:hint="eastAsia" w:ascii="宋体" w:hAnsi="宋体" w:cs="宋体"/>
                <w:szCs w:val="21"/>
                <w:highlight w:val="none"/>
                <w:lang w:val="zh-CN"/>
              </w:rPr>
              <w:t>分。</w:t>
            </w:r>
          </w:p>
          <w:p>
            <w:pPr>
              <w:snapToGrid w:val="0"/>
              <w:spacing w:line="360" w:lineRule="auto"/>
              <w:contextualSpacing/>
              <w:jc w:val="left"/>
              <w:rPr>
                <w:rFonts w:ascii="宋体" w:hAnsi="宋体" w:cs="宋体"/>
                <w:szCs w:val="21"/>
                <w:highlight w:val="none"/>
                <w:lang w:val="zh-CN"/>
              </w:rPr>
            </w:pPr>
            <w:r>
              <w:rPr>
                <w:rFonts w:hint="eastAsia" w:ascii="宋体" w:hAnsi="宋体" w:cs="宋体"/>
                <w:szCs w:val="21"/>
                <w:highlight w:val="none"/>
                <w:lang w:val="zh-CN"/>
              </w:rPr>
              <w:t>注：响应文件中附中标通知书或合同或业主证明等证明材料，复印件加盖单位公章，否则不得分。</w:t>
            </w:r>
          </w:p>
        </w:tc>
        <w:tc>
          <w:tcPr>
            <w:tcW w:w="664" w:type="dxa"/>
            <w:tcBorders>
              <w:top w:val="single" w:color="auto" w:sz="4" w:space="0"/>
              <w:left w:val="nil"/>
              <w:bottom w:val="single" w:color="auto" w:sz="4" w:space="0"/>
              <w:right w:val="single" w:color="auto" w:sz="4" w:space="0"/>
            </w:tcBorders>
            <w:vAlign w:val="center"/>
          </w:tcPr>
          <w:p>
            <w:pPr>
              <w:pStyle w:val="12"/>
              <w:snapToGrid w:val="0"/>
              <w:spacing w:before="0" w:beforeAutospacing="0" w:after="0" w:afterAutospacing="0" w:line="360" w:lineRule="auto"/>
              <w:contextualSpacing/>
              <w:rPr>
                <w:sz w:val="21"/>
                <w:szCs w:val="21"/>
                <w:highlight w:val="none"/>
              </w:rPr>
            </w:pPr>
          </w:p>
        </w:tc>
      </w:tr>
      <w:bookmarkEnd w:id="0"/>
    </w:tbl>
    <w:p>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28860"/>
    <w:multiLevelType w:val="singleLevel"/>
    <w:tmpl w:val="2FA288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1D3847F5"/>
    <w:rsid w:val="04C40999"/>
    <w:rsid w:val="08C03E77"/>
    <w:rsid w:val="0D2B3C27"/>
    <w:rsid w:val="19872612"/>
    <w:rsid w:val="1C9B09DD"/>
    <w:rsid w:val="1D3847F5"/>
    <w:rsid w:val="1D4D3F65"/>
    <w:rsid w:val="25333452"/>
    <w:rsid w:val="26B23FB1"/>
    <w:rsid w:val="2A10423A"/>
    <w:rsid w:val="32904ED3"/>
    <w:rsid w:val="3C1D16ED"/>
    <w:rsid w:val="403E2013"/>
    <w:rsid w:val="47235C4E"/>
    <w:rsid w:val="4AF555F3"/>
    <w:rsid w:val="53640FD4"/>
    <w:rsid w:val="54825CC6"/>
    <w:rsid w:val="6320151A"/>
    <w:rsid w:val="777F6E90"/>
    <w:rsid w:val="794E3D48"/>
    <w:rsid w:val="7DDC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next w:val="5"/>
    <w:qFormat/>
    <w:uiPriority w:val="0"/>
    <w:pPr>
      <w:spacing w:after="120"/>
    </w:pPr>
    <w:rPr>
      <w:rFonts w:ascii="Times New Roman" w:hAnsi="Times New Roman"/>
      <w:lang w:val="zh-CN"/>
    </w:rPr>
  </w:style>
  <w:style w:type="paragraph" w:styleId="5">
    <w:name w:val="Subtitle"/>
    <w:basedOn w:val="1"/>
    <w:next w:val="1"/>
    <w:qFormat/>
    <w:uiPriority w:val="0"/>
    <w:pPr>
      <w:adjustRightInd w:val="0"/>
      <w:spacing w:after="60" w:afterLines="0" w:line="360" w:lineRule="atLeast"/>
      <w:jc w:val="center"/>
      <w:textAlignment w:val="baseline"/>
    </w:pPr>
    <w:rPr>
      <w:rFonts w:ascii="Arial" w:hAnsi="Arial" w:eastAsia="黑体"/>
      <w:i/>
      <w:kern w:val="0"/>
      <w:sz w:val="24"/>
      <w:szCs w:val="20"/>
    </w:rPr>
  </w:style>
  <w:style w:type="paragraph" w:styleId="6">
    <w:name w:val="Normal Indent"/>
    <w:basedOn w:val="1"/>
    <w:next w:val="1"/>
    <w:unhideWhenUsed/>
    <w:qFormat/>
    <w:uiPriority w:val="99"/>
    <w:pPr>
      <w:ind w:firstLine="420" w:firstLineChars="200"/>
    </w:pPr>
    <w:rPr>
      <w:rFonts w:cs="宋体"/>
      <w:szCs w:val="21"/>
    </w:rPr>
  </w:style>
  <w:style w:type="paragraph" w:styleId="7">
    <w:name w:val="Plain Text"/>
    <w:basedOn w:val="1"/>
    <w:qFormat/>
    <w:uiPriority w:val="99"/>
    <w:rPr>
      <w:rFonts w:ascii="宋体" w:hAnsi="Courier New"/>
      <w:kern w:val="0"/>
      <w:sz w:val="20"/>
      <w:szCs w:val="21"/>
      <w:lang w:val="zh-CN"/>
    </w:rPr>
  </w:style>
  <w:style w:type="paragraph" w:styleId="8">
    <w:name w:val="Body Text Indent 2"/>
    <w:basedOn w:val="1"/>
    <w:autoRedefine/>
    <w:qFormat/>
    <w:uiPriority w:val="0"/>
    <w:pPr>
      <w:spacing w:after="120" w:line="480" w:lineRule="auto"/>
      <w:ind w:left="420" w:leftChars="200"/>
    </w:pPr>
    <w:rPr>
      <w:rFonts w:ascii="Times New Roman" w:hAnsi="Times New Roman"/>
      <w:lang w:val="zh-CN"/>
    </w:rPr>
  </w:style>
  <w:style w:type="paragraph" w:customStyle="1" w:styleId="11">
    <w:name w:val="msoplaintext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msoplaintextcxspla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msonormal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msonormalcxsplast"/>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2024-05-13T06:49:00Z</dcterms:created>
  <dc:creator>WPS_1529111518</dc:creator>
  <cp:lastModifiedBy>WPS_1529111518</cp:lastModifiedBy>
  <dcterms:modified xsi:type="dcterms:W3CDTF">2024-05-13T07:31:28Z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53DBB94AD3D040C38B545F60C155DD95_11</vt:lpwstr>
  </property>
</Properties>
</file>