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eastAsia="黑体"/>
          <w:b/>
          <w:bCs/>
          <w:color w:val="auto"/>
          <w:sz w:val="84"/>
          <w:highlight w:val="none"/>
        </w:rPr>
      </w:pPr>
    </w:p>
    <w:p>
      <w:pPr>
        <w:shd w:val="clear"/>
        <w:jc w:val="center"/>
        <w:rPr>
          <w:rFonts w:ascii="Times New Roman" w:hAnsi="Times New Roman" w:eastAsia="黑体" w:cs="Times New Roman"/>
          <w:b/>
          <w:bCs/>
          <w:color w:val="auto"/>
          <w:sz w:val="84"/>
          <w:szCs w:val="84"/>
          <w:highlight w:val="none"/>
        </w:rPr>
      </w:pPr>
    </w:p>
    <w:p>
      <w:pPr>
        <w:shd w:val="clear"/>
        <w:jc w:val="center"/>
        <w:rPr>
          <w:rFonts w:ascii="Times New Roman" w:hAnsi="Times New Roman" w:eastAsia="黑体" w:cs="Times New Roman"/>
          <w:b/>
          <w:bCs/>
          <w:color w:val="auto"/>
          <w:sz w:val="84"/>
          <w:szCs w:val="84"/>
          <w:highlight w:val="none"/>
        </w:rPr>
      </w:pPr>
      <w:r>
        <w:rPr>
          <w:rFonts w:hint="eastAsia" w:eastAsia="黑体" w:cs="Times New Roman"/>
          <w:b/>
          <w:bCs/>
          <w:color w:val="auto"/>
          <w:sz w:val="84"/>
          <w:szCs w:val="84"/>
          <w:highlight w:val="none"/>
        </w:rPr>
        <w:t>询比</w:t>
      </w:r>
      <w:r>
        <w:rPr>
          <w:rFonts w:hint="eastAsia" w:ascii="Times New Roman" w:hAnsi="Times New Roman" w:eastAsia="黑体" w:cs="Times New Roman"/>
          <w:b/>
          <w:bCs/>
          <w:color w:val="auto"/>
          <w:sz w:val="84"/>
          <w:szCs w:val="84"/>
          <w:highlight w:val="none"/>
        </w:rPr>
        <w:t>文件</w:t>
      </w:r>
    </w:p>
    <w:p>
      <w:pPr>
        <w:shd w:val="clear"/>
        <w:adjustRightInd w:val="0"/>
        <w:jc w:val="center"/>
        <w:textAlignment w:val="baseline"/>
        <w:rPr>
          <w:b/>
          <w:bCs/>
          <w:color w:val="auto"/>
          <w:sz w:val="36"/>
          <w:highlight w:val="none"/>
        </w:rPr>
      </w:pPr>
    </w:p>
    <w:p>
      <w:pPr>
        <w:shd w:val="clear"/>
        <w:adjustRightInd w:val="0"/>
        <w:jc w:val="center"/>
        <w:textAlignment w:val="baseline"/>
        <w:rPr>
          <w:rFonts w:eastAsia="宋体"/>
          <w:b/>
          <w:bCs/>
          <w:color w:val="auto"/>
          <w:sz w:val="36"/>
          <w:highlight w:val="none"/>
        </w:rPr>
      </w:pPr>
    </w:p>
    <w:p>
      <w:pPr>
        <w:shd w:val="clear"/>
        <w:adjustRightInd w:val="0"/>
        <w:jc w:val="left"/>
        <w:textAlignment w:val="baseline"/>
        <w:rPr>
          <w:b/>
          <w:bCs/>
          <w:color w:val="auto"/>
          <w:sz w:val="32"/>
          <w:szCs w:val="32"/>
          <w:highlight w:val="none"/>
        </w:rPr>
      </w:pPr>
    </w:p>
    <w:p>
      <w:pPr>
        <w:shd w:val="clear"/>
        <w:adjustRightInd w:val="0"/>
        <w:jc w:val="left"/>
        <w:textAlignment w:val="baseline"/>
        <w:rPr>
          <w:rFonts w:hint="eastAsia" w:eastAsiaTheme="minorEastAsia"/>
          <w:b/>
          <w:bCs/>
          <w:color w:val="auto"/>
          <w:sz w:val="28"/>
          <w:szCs w:val="28"/>
          <w:highlight w:val="none"/>
          <w:lang w:eastAsia="zh-CN"/>
        </w:rPr>
      </w:pPr>
      <w:r>
        <w:rPr>
          <w:rFonts w:hint="eastAsia"/>
          <w:b/>
          <w:bCs/>
          <w:color w:val="auto"/>
          <w:sz w:val="28"/>
          <w:szCs w:val="28"/>
          <w:highlight w:val="none"/>
        </w:rPr>
        <w:t>项目编号：</w:t>
      </w:r>
      <w:r>
        <w:rPr>
          <w:rFonts w:hint="eastAsia"/>
          <w:b/>
          <w:bCs/>
          <w:color w:val="auto"/>
          <w:sz w:val="28"/>
          <w:szCs w:val="28"/>
          <w:highlight w:val="none"/>
          <w:lang w:val="en-US" w:eastAsia="zh-CN"/>
        </w:rPr>
        <w:t xml:space="preserve"> GXCZ-C-24290179</w:t>
      </w:r>
      <w:r>
        <w:rPr>
          <w:rFonts w:hint="eastAsia"/>
          <w:b/>
          <w:bCs/>
          <w:color w:val="auto"/>
          <w:sz w:val="28"/>
          <w:szCs w:val="28"/>
          <w:highlight w:val="none"/>
          <w:lang w:val="en-US" w:eastAsia="zh-CN"/>
        </w:rPr>
        <w:tab/>
      </w:r>
    </w:p>
    <w:p>
      <w:pPr>
        <w:shd w:val="clear"/>
        <w:adjustRightInd w:val="0"/>
        <w:ind w:left="1405" w:hanging="1405" w:hangingChars="500"/>
        <w:jc w:val="left"/>
        <w:textAlignment w:val="baseline"/>
        <w:rPr>
          <w:rFonts w:hint="eastAsia" w:ascii="宋体" w:hAnsi="宋体" w:cs="黑体" w:eastAsiaTheme="minorEastAsia"/>
          <w:color w:val="auto"/>
          <w:kern w:val="0"/>
          <w:sz w:val="32"/>
          <w:szCs w:val="32"/>
          <w:highlight w:val="none"/>
          <w:lang w:eastAsia="zh-CN"/>
        </w:rPr>
      </w:pPr>
      <w:r>
        <w:rPr>
          <w:rFonts w:hint="eastAsia"/>
          <w:b/>
          <w:bCs/>
          <w:color w:val="auto"/>
          <w:sz w:val="28"/>
          <w:szCs w:val="28"/>
          <w:highlight w:val="none"/>
        </w:rPr>
        <w:t>项目名称：</w:t>
      </w:r>
      <w:r>
        <w:rPr>
          <w:rFonts w:hint="eastAsia"/>
          <w:b/>
          <w:bCs/>
          <w:color w:val="auto"/>
          <w:sz w:val="28"/>
          <w:szCs w:val="28"/>
          <w:highlight w:val="none"/>
          <w:lang w:eastAsia="zh-CN"/>
        </w:rPr>
        <w:t>易门县六街中心卫生院医疗设备采购</w:t>
      </w:r>
    </w:p>
    <w:p>
      <w:pPr>
        <w:shd w:val="clear"/>
        <w:autoSpaceDE w:val="0"/>
        <w:autoSpaceDN w:val="0"/>
        <w:adjustRightInd w:val="0"/>
        <w:snapToGrid w:val="0"/>
        <w:spacing w:after="156" w:afterLines="50"/>
        <w:jc w:val="center"/>
        <w:rPr>
          <w:rFonts w:ascii="宋体" w:hAnsi="宋体" w:cs="黑体"/>
          <w:color w:val="auto"/>
          <w:kern w:val="0"/>
          <w:sz w:val="32"/>
          <w:szCs w:val="32"/>
          <w:highlight w:val="none"/>
        </w:rPr>
      </w:pPr>
    </w:p>
    <w:p>
      <w:pPr>
        <w:shd w:val="clear"/>
        <w:autoSpaceDE w:val="0"/>
        <w:autoSpaceDN w:val="0"/>
        <w:adjustRightInd w:val="0"/>
        <w:snapToGrid w:val="0"/>
        <w:spacing w:after="156" w:afterLines="50"/>
        <w:jc w:val="center"/>
        <w:rPr>
          <w:rFonts w:ascii="宋体" w:hAnsi="宋体" w:cs="黑体"/>
          <w:color w:val="auto"/>
          <w:kern w:val="0"/>
          <w:sz w:val="32"/>
          <w:szCs w:val="32"/>
          <w:highlight w:val="none"/>
        </w:rPr>
      </w:pPr>
    </w:p>
    <w:p>
      <w:pPr>
        <w:shd w:val="clear"/>
        <w:autoSpaceDE w:val="0"/>
        <w:autoSpaceDN w:val="0"/>
        <w:adjustRightInd w:val="0"/>
        <w:snapToGrid w:val="0"/>
        <w:spacing w:after="156" w:afterLines="50"/>
        <w:jc w:val="center"/>
        <w:rPr>
          <w:rFonts w:ascii="宋体" w:hAnsi="宋体" w:cs="黑体"/>
          <w:color w:val="auto"/>
          <w:kern w:val="0"/>
          <w:sz w:val="32"/>
          <w:szCs w:val="32"/>
          <w:highlight w:val="none"/>
        </w:rPr>
      </w:pPr>
    </w:p>
    <w:tbl>
      <w:tblPr>
        <w:tblStyle w:val="30"/>
        <w:tblW w:w="93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7"/>
        <w:gridCol w:w="6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3167" w:type="dxa"/>
          </w:tcPr>
          <w:p>
            <w:pPr>
              <w:shd w:val="clear"/>
              <w:autoSpaceDE w:val="0"/>
              <w:autoSpaceDN w:val="0"/>
              <w:adjustRightInd w:val="0"/>
              <w:snapToGrid w:val="0"/>
              <w:spacing w:after="156" w:afterLines="50"/>
              <w:jc w:val="center"/>
              <w:rPr>
                <w:rFonts w:ascii="宋体" w:hAnsi="宋体" w:cs="黑体"/>
                <w:color w:val="auto"/>
                <w:kern w:val="0"/>
                <w:sz w:val="24"/>
                <w:szCs w:val="24"/>
                <w:highlight w:val="none"/>
              </w:rPr>
            </w:pPr>
            <w:r>
              <w:rPr>
                <w:rFonts w:hint="eastAsia" w:ascii="宋体" w:hAnsi="宋体" w:cs="黑体"/>
                <w:color w:val="auto"/>
                <w:kern w:val="0"/>
                <w:sz w:val="24"/>
                <w:szCs w:val="24"/>
                <w:highlight w:val="none"/>
              </w:rPr>
              <w:t>采   购   人：</w:t>
            </w:r>
          </w:p>
        </w:tc>
        <w:tc>
          <w:tcPr>
            <w:tcW w:w="6215" w:type="dxa"/>
          </w:tcPr>
          <w:p>
            <w:pPr>
              <w:shd w:val="clear"/>
              <w:autoSpaceDE w:val="0"/>
              <w:autoSpaceDN w:val="0"/>
              <w:adjustRightInd w:val="0"/>
              <w:snapToGrid w:val="0"/>
              <w:spacing w:after="156" w:afterLines="50"/>
              <w:jc w:val="left"/>
              <w:rPr>
                <w:rFonts w:ascii="宋体" w:hAnsi="宋体" w:eastAsia="宋体" w:cs="黑体"/>
                <w:color w:val="auto"/>
                <w:kern w:val="0"/>
                <w:sz w:val="24"/>
                <w:szCs w:val="24"/>
                <w:highlight w:val="none"/>
              </w:rPr>
            </w:pPr>
            <w:r>
              <w:rPr>
                <w:rFonts w:hint="eastAsia" w:ascii="宋体" w:hAnsi="宋体" w:eastAsia="宋体" w:cs="黑体"/>
                <w:color w:val="auto"/>
                <w:kern w:val="0"/>
                <w:sz w:val="24"/>
                <w:szCs w:val="24"/>
                <w:highlight w:val="none"/>
              </w:rPr>
              <w:t>易门县六街中心卫生院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167" w:type="dxa"/>
          </w:tcPr>
          <w:p>
            <w:pPr>
              <w:shd w:val="clear"/>
              <w:autoSpaceDE w:val="0"/>
              <w:autoSpaceDN w:val="0"/>
              <w:adjustRightInd w:val="0"/>
              <w:snapToGrid w:val="0"/>
              <w:spacing w:after="156" w:afterLines="50"/>
              <w:jc w:val="center"/>
              <w:rPr>
                <w:rFonts w:ascii="宋体" w:hAnsi="宋体" w:cs="黑体"/>
                <w:color w:val="auto"/>
                <w:kern w:val="0"/>
                <w:sz w:val="24"/>
                <w:szCs w:val="24"/>
                <w:highlight w:val="none"/>
              </w:rPr>
            </w:pPr>
            <w:r>
              <w:rPr>
                <w:rFonts w:hint="eastAsia" w:ascii="宋体" w:hAnsi="宋体" w:cs="黑体"/>
                <w:color w:val="auto"/>
                <w:kern w:val="0"/>
                <w:sz w:val="24"/>
                <w:szCs w:val="24"/>
                <w:highlight w:val="none"/>
              </w:rPr>
              <w:t>采购代理机构：</w:t>
            </w:r>
          </w:p>
        </w:tc>
        <w:tc>
          <w:tcPr>
            <w:tcW w:w="6215" w:type="dxa"/>
          </w:tcPr>
          <w:p>
            <w:pPr>
              <w:shd w:val="clear"/>
              <w:autoSpaceDE w:val="0"/>
              <w:autoSpaceDN w:val="0"/>
              <w:adjustRightInd w:val="0"/>
              <w:snapToGrid w:val="0"/>
              <w:spacing w:after="156" w:afterLines="5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国信招标集团股份有限公司</w:t>
            </w:r>
          </w:p>
        </w:tc>
      </w:tr>
    </w:tbl>
    <w:p>
      <w:pPr>
        <w:shd w:val="clear"/>
        <w:autoSpaceDE w:val="0"/>
        <w:autoSpaceDN w:val="0"/>
        <w:adjustRightInd w:val="0"/>
        <w:snapToGrid w:val="0"/>
        <w:spacing w:after="156" w:afterLines="50"/>
        <w:jc w:val="center"/>
        <w:rPr>
          <w:rFonts w:ascii="宋体" w:hAnsi="宋体" w:cs="黑体"/>
          <w:color w:val="auto"/>
          <w:kern w:val="0"/>
          <w:sz w:val="32"/>
          <w:szCs w:val="32"/>
          <w:highlight w:val="none"/>
        </w:rPr>
      </w:pPr>
    </w:p>
    <w:p>
      <w:pPr>
        <w:shd w:val="clear"/>
        <w:autoSpaceDE w:val="0"/>
        <w:autoSpaceDN w:val="0"/>
        <w:adjustRightInd w:val="0"/>
        <w:snapToGrid w:val="0"/>
        <w:spacing w:after="156" w:afterLines="50"/>
        <w:jc w:val="center"/>
        <w:rPr>
          <w:rFonts w:ascii="宋体" w:hAnsi="宋体" w:cs="黑体"/>
          <w:color w:val="auto"/>
          <w:kern w:val="0"/>
          <w:sz w:val="32"/>
          <w:szCs w:val="32"/>
          <w:highlight w:val="none"/>
        </w:rPr>
      </w:pPr>
      <w:r>
        <w:rPr>
          <w:rFonts w:hint="eastAsia" w:ascii="宋体" w:hAnsi="宋体" w:cs="黑体"/>
          <w:color w:val="auto"/>
          <w:kern w:val="0"/>
          <w:sz w:val="32"/>
          <w:szCs w:val="32"/>
          <w:highlight w:val="none"/>
        </w:rPr>
        <w:t>202</w:t>
      </w:r>
      <w:r>
        <w:rPr>
          <w:rFonts w:hint="eastAsia" w:ascii="宋体" w:hAnsi="宋体" w:cs="黑体"/>
          <w:color w:val="auto"/>
          <w:kern w:val="0"/>
          <w:sz w:val="32"/>
          <w:szCs w:val="32"/>
          <w:highlight w:val="none"/>
          <w:lang w:val="en-US" w:eastAsia="zh-CN"/>
        </w:rPr>
        <w:t>4</w:t>
      </w:r>
      <w:r>
        <w:rPr>
          <w:rFonts w:hint="eastAsia" w:ascii="宋体" w:hAnsi="宋体" w:cs="黑体"/>
          <w:color w:val="auto"/>
          <w:kern w:val="0"/>
          <w:sz w:val="32"/>
          <w:szCs w:val="32"/>
          <w:highlight w:val="none"/>
        </w:rPr>
        <w:t>年</w:t>
      </w:r>
      <w:r>
        <w:rPr>
          <w:rFonts w:hint="eastAsia" w:ascii="宋体" w:hAnsi="宋体" w:cs="黑体"/>
          <w:color w:val="auto"/>
          <w:kern w:val="0"/>
          <w:sz w:val="32"/>
          <w:szCs w:val="32"/>
          <w:highlight w:val="none"/>
          <w:lang w:val="en-US" w:eastAsia="zh-CN"/>
        </w:rPr>
        <w:t>4</w:t>
      </w:r>
      <w:r>
        <w:rPr>
          <w:rFonts w:hint="eastAsia" w:ascii="宋体" w:hAnsi="宋体" w:cs="黑体"/>
          <w:color w:val="auto"/>
          <w:kern w:val="0"/>
          <w:sz w:val="32"/>
          <w:szCs w:val="32"/>
          <w:highlight w:val="none"/>
        </w:rPr>
        <w:t>月</w:t>
      </w:r>
    </w:p>
    <w:p>
      <w:pPr>
        <w:shd w:val="clear"/>
        <w:spacing w:line="360" w:lineRule="auto"/>
        <w:ind w:firstLine="560" w:firstLineChars="200"/>
        <w:jc w:val="center"/>
        <w:rPr>
          <w:rFonts w:ascii="Times New Roman" w:hAnsi="Times New Roman" w:eastAsia="宋体"/>
          <w:color w:val="auto"/>
          <w:sz w:val="28"/>
          <w:szCs w:val="28"/>
          <w:highlight w:val="none"/>
        </w:rPr>
      </w:pPr>
    </w:p>
    <w:p>
      <w:pPr>
        <w:shd w:val="clear"/>
        <w:spacing w:line="360" w:lineRule="auto"/>
        <w:ind w:firstLine="480" w:firstLineChars="200"/>
        <w:rPr>
          <w:rFonts w:hint="eastAsia" w:ascii="Times New Roman" w:hAnsi="Times New Roman" w:eastAsia="宋体"/>
          <w:color w:val="auto"/>
          <w:sz w:val="24"/>
          <w:highlight w:val="none"/>
          <w:lang w:eastAsia="zh-CN"/>
        </w:rPr>
      </w:pPr>
    </w:p>
    <w:p>
      <w:pPr>
        <w:shd w:val="clear"/>
        <w:spacing w:line="360" w:lineRule="auto"/>
        <w:ind w:firstLine="480" w:firstLineChars="200"/>
        <w:rPr>
          <w:rFonts w:hint="eastAsia" w:ascii="Times New Roman" w:hAnsi="Times New Roman" w:eastAsia="宋体"/>
          <w:color w:val="auto"/>
          <w:sz w:val="24"/>
          <w:highlight w:val="none"/>
          <w:lang w:eastAsia="zh-CN"/>
        </w:rPr>
      </w:pPr>
    </w:p>
    <w:p>
      <w:pPr>
        <w:shd w:val="clear"/>
        <w:spacing w:line="360" w:lineRule="auto"/>
        <w:ind w:firstLine="480" w:firstLineChars="200"/>
        <w:rPr>
          <w:rFonts w:hint="eastAsia" w:ascii="Times New Roman" w:hAnsi="Times New Roman" w:eastAsia="宋体"/>
          <w:color w:val="auto"/>
          <w:sz w:val="24"/>
          <w:highlight w:val="none"/>
          <w:lang w:eastAsia="zh-CN"/>
        </w:rPr>
      </w:pPr>
    </w:p>
    <w:p>
      <w:pPr>
        <w:shd w:val="clear"/>
        <w:spacing w:line="360" w:lineRule="auto"/>
        <w:ind w:firstLine="480" w:firstLineChars="200"/>
        <w:rPr>
          <w:rFonts w:hint="eastAsia" w:ascii="Times New Roman" w:hAnsi="Times New Roman" w:eastAsia="宋体"/>
          <w:color w:val="auto"/>
          <w:sz w:val="24"/>
          <w:highlight w:val="none"/>
          <w:lang w:eastAsia="zh-CN"/>
        </w:rPr>
      </w:pPr>
    </w:p>
    <w:p>
      <w:pPr>
        <w:shd w:val="clear"/>
        <w:spacing w:line="360" w:lineRule="auto"/>
        <w:ind w:firstLine="480" w:firstLineChars="200"/>
        <w:rPr>
          <w:rFonts w:hint="eastAsia" w:ascii="Times New Roman" w:hAnsi="Times New Roman" w:eastAsia="宋体"/>
          <w:color w:val="auto"/>
          <w:sz w:val="24"/>
          <w:highlight w:val="none"/>
          <w:lang w:eastAsia="zh-CN"/>
        </w:rPr>
      </w:pPr>
    </w:p>
    <w:sdt>
      <w:sdtPr>
        <w:rPr>
          <w:rFonts w:asciiTheme="minorHAnsi" w:hAnsiTheme="minorHAnsi" w:eastAsiaTheme="minorEastAsia" w:cstheme="minorBidi"/>
          <w:b w:val="0"/>
          <w:bCs w:val="0"/>
          <w:color w:val="auto"/>
          <w:kern w:val="2"/>
          <w:sz w:val="21"/>
          <w:szCs w:val="22"/>
          <w:highlight w:val="none"/>
          <w:lang w:val="zh-CN"/>
        </w:rPr>
        <w:id w:val="26920557"/>
        <w:docPartObj>
          <w:docPartGallery w:val="Table of Contents"/>
          <w:docPartUnique/>
        </w:docPartObj>
      </w:sdtPr>
      <w:sdtEndPr>
        <w:rPr>
          <w:rFonts w:asciiTheme="minorHAnsi" w:hAnsiTheme="minorHAnsi" w:eastAsiaTheme="minorEastAsia" w:cstheme="minorBidi"/>
          <w:b w:val="0"/>
          <w:bCs w:val="0"/>
          <w:color w:val="auto"/>
          <w:kern w:val="2"/>
          <w:sz w:val="21"/>
          <w:szCs w:val="22"/>
          <w:highlight w:val="none"/>
          <w:lang w:val="zh-CN"/>
        </w:rPr>
      </w:sdtEndPr>
      <w:sdtContent>
        <w:p>
          <w:pPr>
            <w:pStyle w:val="41"/>
            <w:shd w:val="clear"/>
            <w:jc w:val="center"/>
            <w:rPr>
              <w:color w:val="auto"/>
              <w:sz w:val="44"/>
              <w:szCs w:val="44"/>
              <w:highlight w:val="none"/>
            </w:rPr>
          </w:pPr>
          <w:r>
            <w:rPr>
              <w:color w:val="auto"/>
              <w:sz w:val="44"/>
              <w:szCs w:val="44"/>
              <w:highlight w:val="none"/>
              <w:lang w:val="zh-CN"/>
            </w:rPr>
            <w:t>目录</w:t>
          </w:r>
        </w:p>
        <w:p>
          <w:pPr>
            <w:pStyle w:val="2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sz w:val="24"/>
              <w:szCs w:val="24"/>
              <w:highlight w:val="none"/>
            </w:rPr>
            <w:fldChar w:fldCharType="begin"/>
          </w:r>
          <w:r>
            <w:rPr>
              <w:color w:val="auto"/>
              <w:sz w:val="24"/>
              <w:szCs w:val="24"/>
              <w:highlight w:val="none"/>
            </w:rPr>
            <w:instrText xml:space="preserve"> TOC \o "1-3" \h \z \u </w:instrText>
          </w:r>
          <w:r>
            <w:rPr>
              <w:color w:val="auto"/>
              <w:sz w:val="24"/>
              <w:szCs w:val="24"/>
              <w:highlight w:val="none"/>
            </w:rPr>
            <w:fldChar w:fldCharType="separate"/>
          </w:r>
          <w:r>
            <w:rPr>
              <w:color w:val="auto"/>
              <w:highlight w:val="none"/>
            </w:rPr>
            <w:fldChar w:fldCharType="begin"/>
          </w:r>
          <w:r>
            <w:rPr>
              <w:color w:val="auto"/>
              <w:highlight w:val="none"/>
            </w:rPr>
            <w:instrText xml:space="preserve"> HYPERLINK \l "_Toc20817" </w:instrText>
          </w:r>
          <w:r>
            <w:rPr>
              <w:color w:val="auto"/>
              <w:highlight w:val="none"/>
            </w:rPr>
            <w:fldChar w:fldCharType="separate"/>
          </w:r>
          <w:r>
            <w:rPr>
              <w:rFonts w:hint="eastAsia"/>
              <w:color w:val="auto"/>
              <w:highlight w:val="none"/>
            </w:rPr>
            <w:t>第一章  询比采购公告</w:t>
          </w:r>
          <w:r>
            <w:rPr>
              <w:color w:val="auto"/>
              <w:highlight w:val="none"/>
            </w:rPr>
            <w:tab/>
          </w:r>
          <w:r>
            <w:rPr>
              <w:color w:val="auto"/>
              <w:highlight w:val="none"/>
            </w:rPr>
            <w:fldChar w:fldCharType="begin"/>
          </w:r>
          <w:r>
            <w:rPr>
              <w:color w:val="auto"/>
              <w:highlight w:val="none"/>
            </w:rPr>
            <w:instrText xml:space="preserve"> PAGEREF _Toc20817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"_Toc16788" </w:instrText>
          </w:r>
          <w:r>
            <w:rPr>
              <w:color w:val="auto"/>
              <w:highlight w:val="none"/>
            </w:rPr>
            <w:fldChar w:fldCharType="separate"/>
          </w:r>
          <w:r>
            <w:rPr>
              <w:rFonts w:hint="eastAsia"/>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_Toc16788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"_Toc27118" </w:instrText>
          </w:r>
          <w:r>
            <w:rPr>
              <w:color w:val="auto"/>
              <w:highlight w:val="none"/>
            </w:rPr>
            <w:fldChar w:fldCharType="separate"/>
          </w:r>
          <w:r>
            <w:rPr>
              <w:rFonts w:hint="eastAsia"/>
              <w:color w:val="auto"/>
              <w:highlight w:val="none"/>
            </w:rPr>
            <w:t>第三章  评审办法</w:t>
          </w:r>
          <w:r>
            <w:rPr>
              <w:color w:val="auto"/>
              <w:highlight w:val="none"/>
            </w:rPr>
            <w:tab/>
          </w:r>
          <w:r>
            <w:rPr>
              <w:color w:val="auto"/>
              <w:highlight w:val="none"/>
            </w:rPr>
            <w:fldChar w:fldCharType="begin"/>
          </w:r>
          <w:r>
            <w:rPr>
              <w:color w:val="auto"/>
              <w:highlight w:val="none"/>
            </w:rPr>
            <w:instrText xml:space="preserve"> PAGEREF _Toc27118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"_Toc24641" </w:instrText>
          </w:r>
          <w:r>
            <w:rPr>
              <w:color w:val="auto"/>
              <w:highlight w:val="none"/>
            </w:rPr>
            <w:fldChar w:fldCharType="separate"/>
          </w:r>
          <w:r>
            <w:rPr>
              <w:rFonts w:hint="eastAsia"/>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_Toc24641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"_Toc4966" </w:instrText>
          </w:r>
          <w:r>
            <w:rPr>
              <w:color w:val="auto"/>
              <w:highlight w:val="none"/>
            </w:rPr>
            <w:fldChar w:fldCharType="separate"/>
          </w:r>
          <w:r>
            <w:rPr>
              <w:rFonts w:hint="eastAsia"/>
              <w:color w:val="auto"/>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_Toc4966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"_Toc1071" </w:instrText>
          </w:r>
          <w:r>
            <w:rPr>
              <w:color w:val="auto"/>
              <w:highlight w:val="none"/>
            </w:rPr>
            <w:fldChar w:fldCharType="separate"/>
          </w:r>
          <w:r>
            <w:rPr>
              <w:rFonts w:hint="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_Toc1071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shd w:val="clear"/>
            <w:spacing w:line="360" w:lineRule="auto"/>
            <w:rPr>
              <w:color w:val="auto"/>
              <w:highlight w:val="none"/>
            </w:rPr>
          </w:pPr>
          <w:r>
            <w:rPr>
              <w:bCs/>
              <w:color w:val="auto"/>
              <w:szCs w:val="24"/>
              <w:highlight w:val="none"/>
              <w:lang w:val="zh-CN"/>
            </w:rPr>
            <w:fldChar w:fldCharType="end"/>
          </w:r>
        </w:p>
      </w:sdtContent>
    </w:sdt>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2"/>
        <w:shd w:val="clear"/>
        <w:spacing w:before="312" w:after="312"/>
        <w:rPr>
          <w:color w:val="auto"/>
          <w:highlight w:val="none"/>
        </w:rPr>
      </w:pPr>
      <w:bookmarkStart w:id="0" w:name="_Toc20817"/>
      <w:r>
        <w:rPr>
          <w:rFonts w:hint="eastAsia"/>
          <w:color w:val="auto"/>
          <w:highlight w:val="none"/>
        </w:rPr>
        <w:t>第一章  询比采购公告</w:t>
      </w:r>
      <w:bookmarkEnd w:id="0"/>
    </w:p>
    <w:p>
      <w:pPr>
        <w:pStyle w:val="28"/>
        <w:shd w:val="clear"/>
        <w:spacing w:before="0" w:beforeAutospacing="0" w:after="0" w:afterAutospacing="0" w:line="440" w:lineRule="exact"/>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受易门县六街中心卫生院委托，国信招标集团股份有限公司对</w:t>
      </w:r>
      <w:r>
        <w:rPr>
          <w:rFonts w:hint="eastAsia" w:ascii="宋体" w:hAnsi="宋体" w:eastAsia="宋体" w:cs="宋体"/>
          <w:color w:val="auto"/>
          <w:sz w:val="21"/>
          <w:szCs w:val="21"/>
          <w:highlight w:val="none"/>
          <w:shd w:val="clear" w:color="auto" w:fill="FFFFFF"/>
          <w:lang w:eastAsia="zh-CN"/>
        </w:rPr>
        <w:t>易门县六街中心卫生院医疗设备采购</w:t>
      </w:r>
      <w:r>
        <w:rPr>
          <w:rFonts w:hint="eastAsia" w:ascii="宋体" w:hAnsi="宋体" w:eastAsia="宋体" w:cs="宋体"/>
          <w:color w:val="auto"/>
          <w:sz w:val="21"/>
          <w:szCs w:val="21"/>
          <w:highlight w:val="none"/>
          <w:shd w:val="clear" w:color="auto" w:fill="FFFFFF"/>
        </w:rPr>
        <w:t>（项目编号</w:t>
      </w:r>
      <w:r>
        <w:rPr>
          <w:rFonts w:hint="eastAsia"/>
          <w:color w:val="auto"/>
          <w:sz w:val="21"/>
          <w:szCs w:val="21"/>
          <w:highlight w:val="none"/>
        </w:rPr>
        <w:t>：GXCZ-C-24290179</w:t>
      </w:r>
      <w:r>
        <w:rPr>
          <w:rFonts w:hint="eastAsia"/>
          <w:color w:val="auto"/>
          <w:sz w:val="21"/>
          <w:szCs w:val="21"/>
          <w:highlight w:val="none"/>
          <w:lang w:val="en-US" w:eastAsia="zh-CN"/>
        </w:rPr>
        <w:t xml:space="preserve"> </w:t>
      </w:r>
      <w:r>
        <w:rPr>
          <w:rFonts w:hint="eastAsia" w:ascii="宋体" w:hAnsi="宋体" w:eastAsia="宋体" w:cs="宋体"/>
          <w:color w:val="auto"/>
          <w:sz w:val="21"/>
          <w:szCs w:val="21"/>
          <w:highlight w:val="none"/>
          <w:shd w:val="clear" w:color="auto" w:fill="FFFFFF"/>
        </w:rPr>
        <w:t>）以询比方式组织采购，欢迎符合条件的供应商参加询比。</w:t>
      </w:r>
    </w:p>
    <w:p>
      <w:pPr>
        <w:pStyle w:val="5"/>
        <w:keepNext w:val="0"/>
        <w:keepLines w:val="0"/>
        <w:widowControl/>
        <w:shd w:val="clear"/>
        <w:spacing w:before="0" w:after="0" w:line="440" w:lineRule="exact"/>
        <w:ind w:left="36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一、项目基本情况</w:t>
      </w:r>
    </w:p>
    <w:p>
      <w:pPr>
        <w:pStyle w:val="28"/>
        <w:shd w:val="clear"/>
        <w:spacing w:before="0" w:beforeAutospacing="0" w:after="0" w:afterAutospacing="0" w:line="440" w:lineRule="exact"/>
        <w:ind w:left="72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1.项目编号：</w:t>
      </w:r>
      <w:r>
        <w:rPr>
          <w:rFonts w:hint="eastAsia" w:ascii="宋体" w:hAnsi="宋体" w:eastAsia="宋体" w:cs="宋体"/>
          <w:color w:val="auto"/>
          <w:sz w:val="21"/>
          <w:szCs w:val="21"/>
          <w:highlight w:val="none"/>
          <w:shd w:val="clear" w:color="auto" w:fill="FFFFFF"/>
          <w:lang w:val="en-US" w:eastAsia="zh-CN"/>
        </w:rPr>
        <w:t xml:space="preserve"> GXCZ-C-24290179</w:t>
      </w:r>
    </w:p>
    <w:p>
      <w:pPr>
        <w:pStyle w:val="28"/>
        <w:shd w:val="clear"/>
        <w:spacing w:before="0" w:beforeAutospacing="0" w:after="0" w:afterAutospacing="0" w:line="440" w:lineRule="exact"/>
        <w:ind w:left="72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2.项目名称：</w:t>
      </w:r>
      <w:r>
        <w:rPr>
          <w:rFonts w:hint="eastAsia" w:ascii="宋体" w:hAnsi="宋体" w:eastAsia="宋体" w:cs="宋体"/>
          <w:color w:val="auto"/>
          <w:sz w:val="21"/>
          <w:szCs w:val="21"/>
          <w:highlight w:val="none"/>
          <w:shd w:val="clear" w:color="auto" w:fill="FFFFFF"/>
          <w:lang w:eastAsia="zh-CN"/>
        </w:rPr>
        <w:t>易门县六街中心卫生院医疗设备采购</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3.采购方式：询比采购</w:t>
      </w:r>
    </w:p>
    <w:p>
      <w:pPr>
        <w:pStyle w:val="28"/>
        <w:shd w:val="clear"/>
        <w:spacing w:before="0" w:beforeAutospacing="0" w:after="0" w:afterAutospacing="0" w:line="440" w:lineRule="exact"/>
        <w:ind w:left="720"/>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4.预算金额及最高限价（万元）：</w:t>
      </w:r>
      <w:r>
        <w:rPr>
          <w:rFonts w:hint="eastAsia" w:ascii="宋体" w:hAnsi="宋体" w:eastAsia="宋体" w:cs="宋体"/>
          <w:color w:val="auto"/>
          <w:sz w:val="21"/>
          <w:szCs w:val="21"/>
          <w:highlight w:val="none"/>
          <w:shd w:val="clear" w:color="auto" w:fill="FFFFFF"/>
          <w:lang w:val="en-US" w:eastAsia="zh-CN"/>
        </w:rPr>
        <w:t>22.08</w:t>
      </w:r>
    </w:p>
    <w:p>
      <w:pPr>
        <w:pStyle w:val="28"/>
        <w:shd w:val="clear"/>
        <w:spacing w:before="0" w:beforeAutospacing="0" w:after="0" w:afterAutospacing="0" w:line="440" w:lineRule="exact"/>
        <w:ind w:left="720"/>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5.采购范围：采购</w:t>
      </w:r>
      <w:r>
        <w:rPr>
          <w:rFonts w:hint="eastAsia" w:ascii="宋体" w:hAnsi="宋体" w:eastAsia="宋体" w:cs="宋体"/>
          <w:color w:val="auto"/>
          <w:sz w:val="21"/>
          <w:szCs w:val="21"/>
          <w:highlight w:val="none"/>
          <w:shd w:val="clear" w:color="auto" w:fill="FFFFFF"/>
          <w:lang w:val="en-US" w:eastAsia="zh-CN"/>
        </w:rPr>
        <w:t>医疗设备</w:t>
      </w:r>
      <w:r>
        <w:rPr>
          <w:rFonts w:hint="eastAsia" w:ascii="宋体" w:hAnsi="宋体" w:eastAsia="宋体" w:cs="宋体"/>
          <w:color w:val="auto"/>
          <w:sz w:val="21"/>
          <w:szCs w:val="21"/>
          <w:highlight w:val="none"/>
          <w:shd w:val="clear" w:color="auto" w:fill="FFFFFF"/>
        </w:rPr>
        <w:t>一批</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供应商应对下表中所有设备进行报价，不得只参与其中一部分：</w:t>
      </w:r>
    </w:p>
    <w:tbl>
      <w:tblPr>
        <w:tblStyle w:val="30"/>
        <w:tblW w:w="9158"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28"/>
        <w:gridCol w:w="794"/>
        <w:gridCol w:w="1148"/>
        <w:gridCol w:w="213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设备名称</w:t>
            </w:r>
          </w:p>
        </w:tc>
        <w:tc>
          <w:tcPr>
            <w:tcW w:w="794"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数量</w:t>
            </w:r>
          </w:p>
        </w:tc>
        <w:tc>
          <w:tcPr>
            <w:tcW w:w="114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计量单位</w:t>
            </w:r>
          </w:p>
        </w:tc>
        <w:tc>
          <w:tcPr>
            <w:tcW w:w="2139"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是否允许进口产品参与投标</w:t>
            </w:r>
          </w:p>
        </w:tc>
        <w:tc>
          <w:tcPr>
            <w:tcW w:w="2049"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自动煎药机</w:t>
            </w:r>
          </w:p>
        </w:tc>
        <w:tc>
          <w:tcPr>
            <w:tcW w:w="794"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restart"/>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22.08万元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中医定向透药治疗仪</w:t>
            </w:r>
          </w:p>
        </w:tc>
        <w:tc>
          <w:tcPr>
            <w:tcW w:w="794"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cs="宋体"/>
                <w:color w:val="auto"/>
                <w:kern w:val="0"/>
                <w:sz w:val="24"/>
                <w:highlight w:val="none"/>
                <w:lang w:val="en-US" w:eastAsia="zh-CN"/>
              </w:rPr>
              <w:t>ABS单摇病床</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脚踏凳</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2</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器械车</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台式蒸汽灭菌器</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制氧机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2</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诊断床</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等离子体空气消毒器</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无创呼吸机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手术无影灯</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手术辅助照明灯</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2</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电动吸引器</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除颤监护仪</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裂隙灯显微镜</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光子热疗仪</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牙科治疗机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牙科光固化机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牙科影像板扫描仪</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牙科电动无油空压机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便携式牙科X射线机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牙科蒸馏水机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049" w:type="dxa"/>
            <w:vMerge w:val="continue"/>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bl>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6.交货地点：</w:t>
      </w:r>
      <w:r>
        <w:rPr>
          <w:rFonts w:hint="eastAsia" w:ascii="宋体" w:hAnsi="宋体" w:eastAsia="宋体" w:cs="宋体"/>
          <w:color w:val="auto"/>
          <w:sz w:val="21"/>
          <w:szCs w:val="21"/>
          <w:highlight w:val="none"/>
          <w:shd w:val="clear" w:color="auto" w:fill="FFFFFF"/>
          <w:lang w:eastAsia="zh-CN"/>
        </w:rPr>
        <w:t>易门县六街中心卫生院</w:t>
      </w:r>
      <w:r>
        <w:rPr>
          <w:rFonts w:hint="eastAsia" w:ascii="宋体" w:hAnsi="宋体" w:eastAsia="宋体" w:cs="宋体"/>
          <w:color w:val="auto"/>
          <w:sz w:val="21"/>
          <w:szCs w:val="21"/>
          <w:highlight w:val="none"/>
          <w:shd w:val="clear" w:color="auto" w:fill="FFFFFF"/>
        </w:rPr>
        <w:t>。</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7.是否</w:t>
      </w:r>
      <w:r>
        <w:rPr>
          <w:rFonts w:hint="eastAsia" w:ascii="宋体" w:hAnsi="宋体" w:eastAsia="宋体" w:cs="宋体"/>
          <w:color w:val="auto"/>
          <w:sz w:val="21"/>
          <w:szCs w:val="21"/>
          <w:highlight w:val="none"/>
          <w:shd w:val="clear" w:color="auto" w:fill="FFFFFF"/>
          <w:lang w:val="en-US" w:eastAsia="zh-CN"/>
        </w:rPr>
        <w:t>允许</w:t>
      </w:r>
      <w:r>
        <w:rPr>
          <w:rFonts w:hint="eastAsia" w:ascii="宋体" w:hAnsi="宋体" w:eastAsia="宋体" w:cs="宋体"/>
          <w:color w:val="auto"/>
          <w:sz w:val="21"/>
          <w:szCs w:val="21"/>
          <w:highlight w:val="none"/>
          <w:shd w:val="clear" w:color="auto" w:fill="FFFFFF"/>
        </w:rPr>
        <w:t>进口产品</w:t>
      </w:r>
      <w:r>
        <w:rPr>
          <w:rFonts w:hint="eastAsia" w:ascii="宋体" w:hAnsi="宋体" w:eastAsia="宋体" w:cs="宋体"/>
          <w:color w:val="auto"/>
          <w:sz w:val="21"/>
          <w:szCs w:val="21"/>
          <w:highlight w:val="none"/>
          <w:shd w:val="clear" w:color="auto" w:fill="FFFFFF"/>
          <w:lang w:val="en-US" w:eastAsia="zh-CN"/>
        </w:rPr>
        <w:t>参加</w:t>
      </w:r>
      <w:r>
        <w:rPr>
          <w:rFonts w:hint="eastAsia" w:ascii="宋体" w:hAnsi="宋体" w:eastAsia="宋体" w:cs="宋体"/>
          <w:color w:val="auto"/>
          <w:sz w:val="21"/>
          <w:szCs w:val="21"/>
          <w:highlight w:val="none"/>
          <w:shd w:val="clear" w:color="auto" w:fill="FFFFFF"/>
        </w:rPr>
        <w:t>投标：</w:t>
      </w:r>
      <w:r>
        <w:rPr>
          <w:rFonts w:hint="eastAsia" w:ascii="宋体" w:hAnsi="宋体" w:eastAsia="宋体" w:cs="宋体"/>
          <w:color w:val="auto"/>
          <w:sz w:val="21"/>
          <w:szCs w:val="21"/>
          <w:highlight w:val="none"/>
          <w:shd w:val="clear" w:color="auto" w:fill="FFFFFF"/>
          <w:lang w:val="en-US" w:eastAsia="zh-CN"/>
        </w:rPr>
        <w:t>否</w:t>
      </w:r>
      <w:r>
        <w:rPr>
          <w:rFonts w:hint="eastAsia" w:ascii="宋体" w:hAnsi="宋体" w:eastAsia="宋体" w:cs="宋体"/>
          <w:color w:val="auto"/>
          <w:sz w:val="21"/>
          <w:szCs w:val="21"/>
          <w:highlight w:val="none"/>
          <w:shd w:val="clear" w:color="auto" w:fill="FFFFFF"/>
        </w:rPr>
        <w:t>。进口产品是指通过中国海关报关验放进入中国境内且产自关境外的产品。</w:t>
      </w:r>
    </w:p>
    <w:p>
      <w:pPr>
        <w:pStyle w:val="28"/>
        <w:shd w:val="clear"/>
        <w:spacing w:before="0" w:beforeAutospacing="0" w:after="0" w:afterAutospacing="0" w:line="440" w:lineRule="exact"/>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8.交货期要求：</w:t>
      </w: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可以自行确定最短交货时间，但不得晚于合同签订后10日历日</w:t>
      </w:r>
    </w:p>
    <w:p>
      <w:pPr>
        <w:pStyle w:val="28"/>
        <w:shd w:val="clear"/>
        <w:spacing w:before="0" w:beforeAutospacing="0" w:after="0" w:afterAutospacing="0" w:line="440" w:lineRule="exact"/>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9.质量要求：质保期不低于一年，质保期内免费保修。</w:t>
      </w:r>
    </w:p>
    <w:p>
      <w:pPr>
        <w:pStyle w:val="5"/>
        <w:keepNext w:val="0"/>
        <w:keepLines w:val="0"/>
        <w:widowControl/>
        <w:shd w:val="clear"/>
        <w:spacing w:before="0" w:after="0" w:line="440" w:lineRule="exact"/>
        <w:ind w:left="360"/>
        <w:jc w:val="left"/>
        <w:rPr>
          <w:rFonts w:ascii="宋体" w:hAnsi="宋体" w:eastAsia="宋体" w:cs="宋体"/>
          <w:color w:val="auto"/>
          <w:sz w:val="21"/>
          <w:szCs w:val="21"/>
          <w:highlight w:val="none"/>
        </w:rPr>
      </w:pPr>
      <w:r>
        <w:rPr>
          <w:rFonts w:hint="eastAsia" w:cs="宋体"/>
          <w:color w:val="auto"/>
          <w:sz w:val="21"/>
          <w:szCs w:val="21"/>
          <w:highlight w:val="none"/>
          <w:shd w:val="clear" w:color="auto" w:fill="FFFFFF"/>
        </w:rPr>
        <w:t>二</w:t>
      </w:r>
      <w:r>
        <w:rPr>
          <w:rFonts w:hint="eastAsia" w:ascii="宋体" w:hAnsi="宋体" w:eastAsia="宋体" w:cs="宋体"/>
          <w:color w:val="auto"/>
          <w:sz w:val="21"/>
          <w:szCs w:val="21"/>
          <w:highlight w:val="none"/>
          <w:shd w:val="clear" w:color="auto" w:fill="FFFFFF"/>
        </w:rPr>
        <w:t>、申请人的资格要求：</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1.满足《中华人民共和国政府采购法》第二十二条规定；</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2.本项目的特定资格要求：</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如果是代理商或经销商，须提供医疗器械经营许可证/备案，所投产品制造商医疗器械生产许可证（制造商工商注册地在中华人民共和国境外的，不做此要求）、所投产品的医疗器械注册证及附件；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果是制造商，须提供医疗器械生产许可证（制造商工商注册地在中华人民共和国境外的，不做此要求）、所投产品的医疗器械注册证及附件。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p>
    <w:p>
      <w:pPr>
        <w:pStyle w:val="28"/>
        <w:shd w:val="clear"/>
        <w:spacing w:before="0" w:beforeAutospacing="0" w:after="0" w:afterAutospacing="0" w:line="440" w:lineRule="exact"/>
        <w:ind w:left="720"/>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pacing w:val="8"/>
          <w:sz w:val="21"/>
          <w:szCs w:val="21"/>
          <w:highlight w:val="none"/>
          <w:shd w:val="clear" w:color="auto" w:fill="FFFFFF"/>
        </w:rPr>
        <w:t>投标产品若是</w:t>
      </w:r>
      <w:r>
        <w:rPr>
          <w:rFonts w:hint="eastAsia" w:ascii="宋体" w:hAnsi="宋体" w:cs="宋体"/>
          <w:color w:val="auto"/>
          <w:spacing w:val="8"/>
          <w:sz w:val="21"/>
          <w:szCs w:val="21"/>
          <w:highlight w:val="none"/>
          <w:shd w:val="clear" w:color="auto" w:fill="FFFFFF"/>
          <w:lang w:val="en-US" w:eastAsia="zh-CN"/>
        </w:rPr>
        <w:t>原装</w:t>
      </w:r>
      <w:r>
        <w:rPr>
          <w:rFonts w:hint="eastAsia" w:ascii="宋体" w:hAnsi="宋体" w:eastAsia="宋体" w:cs="宋体"/>
          <w:color w:val="auto"/>
          <w:spacing w:val="8"/>
          <w:sz w:val="21"/>
          <w:szCs w:val="21"/>
          <w:highlight w:val="none"/>
          <w:shd w:val="clear" w:color="auto" w:fill="FFFFFF"/>
        </w:rPr>
        <w:t>进口产品，</w:t>
      </w:r>
      <w:r>
        <w:rPr>
          <w:rFonts w:hint="eastAsia" w:ascii="宋体" w:hAnsi="宋体" w:eastAsia="宋体" w:cs="宋体"/>
          <w:color w:val="auto"/>
          <w:spacing w:val="8"/>
          <w:sz w:val="21"/>
          <w:szCs w:val="21"/>
          <w:highlight w:val="none"/>
          <w:shd w:val="clear" w:color="auto" w:fill="FFFFFF"/>
          <w:lang w:eastAsia="zh-CN"/>
        </w:rPr>
        <w:t>供应商</w:t>
      </w:r>
      <w:r>
        <w:rPr>
          <w:rFonts w:hint="eastAsia" w:ascii="宋体" w:hAnsi="宋体" w:eastAsia="宋体" w:cs="宋体"/>
          <w:color w:val="auto"/>
          <w:spacing w:val="8"/>
          <w:sz w:val="21"/>
          <w:szCs w:val="21"/>
          <w:highlight w:val="none"/>
          <w:shd w:val="clear" w:color="auto" w:fill="FFFFFF"/>
        </w:rPr>
        <w:t>非投标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shd w:val="clear" w:color="auto" w:fill="FFFFFF"/>
          <w:lang w:val="en-US" w:eastAsia="zh-CN"/>
        </w:rPr>
        <w:t>3</w:t>
      </w:r>
      <w:r>
        <w:rPr>
          <w:rFonts w:hint="eastAsia" w:ascii="宋体" w:hAnsi="宋体" w:eastAsia="宋体" w:cs="宋体"/>
          <w:color w:val="auto"/>
          <w:spacing w:val="8"/>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2020年1月1日至今，供应商没有处于被责令停业，投标资格被暂停或取消，财产被接管、冻结、破产等状态，无国家禁止市场准入等情形，未出现重大安全事故等情形，供应商信誉良好，无不良行为记录；</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）供应商未被列入“信用中国”网（www.creditchina.gov.cn）“失信被执行人”、“</w:t>
      </w:r>
      <w:r>
        <w:rPr>
          <w:rFonts w:hint="eastAsia" w:ascii="宋体" w:hAnsi="宋体" w:eastAsia="宋体" w:cs="宋体"/>
          <w:color w:val="auto"/>
          <w:sz w:val="21"/>
          <w:szCs w:val="21"/>
          <w:highlight w:val="none"/>
          <w:shd w:val="clear" w:color="auto" w:fill="FFFFFF"/>
          <w:lang w:eastAsia="zh-CN"/>
        </w:rPr>
        <w:t>重大税收违法失信主体</w:t>
      </w:r>
      <w:r>
        <w:rPr>
          <w:rFonts w:hint="eastAsia" w:ascii="宋体" w:hAnsi="宋体" w:eastAsia="宋体" w:cs="宋体"/>
          <w:color w:val="auto"/>
          <w:sz w:val="21"/>
          <w:szCs w:val="21"/>
          <w:highlight w:val="none"/>
          <w:shd w:val="clear" w:color="auto" w:fill="FFFFFF"/>
        </w:rPr>
        <w:t>”名单；且未被中国政府采购网（www.ccgp.gov.cn）列入“政府采购严重违法失信行为记录名单”。（注：投标截止当天由招标代理查询后提交结果给询比小组）</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与采购人存在利害关系可能影响招标公正性的法人、其他组织或者个人，不得参加询比；单位负责人为同一人或者存在控股、管理关系的不同单位，不得同时参加本项目的询比；为本项目提供整体设计、规范编制或者项目管理、监理、检测等服务的供应商，不得再参加本项目询比。</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）本项目不接受联合体。</w:t>
      </w:r>
    </w:p>
    <w:p>
      <w:pPr>
        <w:pStyle w:val="5"/>
        <w:keepNext w:val="0"/>
        <w:keepLines w:val="0"/>
        <w:widowControl/>
        <w:shd w:val="clear"/>
        <w:spacing w:before="0" w:after="0" w:line="440" w:lineRule="exact"/>
        <w:ind w:left="36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三、获取采购文件</w:t>
      </w:r>
    </w:p>
    <w:p>
      <w:pPr>
        <w:pStyle w:val="28"/>
        <w:shd w:val="clear"/>
        <w:spacing w:before="0" w:beforeAutospacing="0" w:after="0" w:afterAutospacing="0" w:line="360" w:lineRule="auto"/>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1.凡有意参加询比者，请于20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日至20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17：00</w:t>
      </w:r>
      <w:r>
        <w:rPr>
          <w:rFonts w:hint="eastAsia" w:ascii="宋体" w:hAnsi="宋体" w:eastAsia="宋体" w:cs="宋体"/>
          <w:color w:val="auto"/>
          <w:sz w:val="21"/>
          <w:szCs w:val="21"/>
          <w:highlight w:val="none"/>
        </w:rPr>
        <w:t>（北京时间），在八戒公采网（https://cg.zbj.com/）-玉溪市限额标准服务市场网站下载查看本项目需求文件以及变更公告等公布的所有项目资料，无论供应商下载查看与否，均视为已知晓所有询比实质性要求内容。</w:t>
      </w:r>
    </w:p>
    <w:p>
      <w:pPr>
        <w:pStyle w:val="28"/>
        <w:shd w:val="clear"/>
        <w:spacing w:before="0" w:beforeAutospacing="0" w:after="0" w:afterAutospacing="0" w:line="360" w:lineRule="auto"/>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2.供应商须同时满足以下三种要件，其响应文件才被接受：</w:t>
      </w:r>
    </w:p>
    <w:p>
      <w:pPr>
        <w:pStyle w:val="28"/>
        <w:shd w:val="clear"/>
        <w:spacing w:before="0" w:beforeAutospacing="0" w:after="0" w:afterAutospacing="0" w:line="360" w:lineRule="auto"/>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（1）供应商登录八戒公采（https://cg.zbj.com/)，在报名截止时间前上传电子响应文件。上传的电子响应文件为供应商按照本询比文件编制的响应文件，并非报名资料；</w:t>
      </w:r>
    </w:p>
    <w:p>
      <w:pPr>
        <w:pStyle w:val="28"/>
        <w:shd w:val="clear"/>
        <w:spacing w:before="0" w:beforeAutospacing="0" w:after="0" w:afterAutospacing="0" w:line="360" w:lineRule="auto"/>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（2）线下按时递交了纸质响应文件（正本壹份）；</w:t>
      </w:r>
    </w:p>
    <w:p>
      <w:pPr>
        <w:pStyle w:val="28"/>
        <w:shd w:val="clear"/>
        <w:spacing w:before="0" w:beforeAutospacing="0" w:after="0" w:afterAutospacing="0" w:line="360" w:lineRule="auto"/>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（3）响应文件截止时间前按时在八戒公采（https://cg.zbj.com/)上传电子</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，并在响应文件截止时间前线下递交纸质响应文件。</w:t>
      </w:r>
    </w:p>
    <w:p>
      <w:pPr>
        <w:pStyle w:val="28"/>
        <w:shd w:val="clear"/>
        <w:spacing w:before="0" w:beforeAutospacing="0" w:after="0" w:afterAutospacing="0" w:line="360" w:lineRule="auto"/>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（4）请注意：在八戒网上填报的价格即为供应商的成交价格，请填写供应商自己的报价而不是预算金额或最高限价。同时请注意填报的截止时间。</w:t>
      </w:r>
    </w:p>
    <w:p>
      <w:pPr>
        <w:pStyle w:val="5"/>
        <w:keepNext w:val="0"/>
        <w:keepLines w:val="0"/>
        <w:widowControl/>
        <w:shd w:val="clear"/>
        <w:spacing w:before="0" w:after="0" w:line="440" w:lineRule="exact"/>
        <w:ind w:left="36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四、响应文件提交</w:t>
      </w:r>
    </w:p>
    <w:p>
      <w:pPr>
        <w:pStyle w:val="28"/>
        <w:shd w:val="clear"/>
        <w:spacing w:before="0" w:beforeAutospacing="0" w:after="0" w:afterAutospacing="0" w:line="360" w:lineRule="auto"/>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响应文件（纸质）首次递交截止时间：</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29</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0分</w:t>
      </w:r>
    </w:p>
    <w:p>
      <w:pPr>
        <w:pStyle w:val="28"/>
        <w:shd w:val="clear"/>
        <w:spacing w:before="0" w:beforeAutospacing="0" w:after="0" w:afterAutospacing="0" w:line="360" w:lineRule="auto"/>
        <w:ind w:left="7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响应文件递交和询比地点：易门县紧密型医共体总医院北院区（县人民医院）门诊</w:t>
      </w:r>
      <w:r>
        <w:rPr>
          <w:rFonts w:hint="eastAsia" w:ascii="宋体" w:hAnsi="宋体" w:eastAsia="宋体" w:cs="宋体"/>
          <w:color w:val="auto"/>
          <w:sz w:val="21"/>
          <w:szCs w:val="21"/>
          <w:highlight w:val="none"/>
          <w:lang w:val="en-US" w:eastAsia="zh-CN"/>
        </w:rPr>
        <w:t>楼</w:t>
      </w:r>
      <w:r>
        <w:rPr>
          <w:rFonts w:hint="eastAsia" w:ascii="宋体" w:hAnsi="宋体" w:eastAsia="宋体" w:cs="宋体"/>
          <w:color w:val="auto"/>
          <w:sz w:val="21"/>
          <w:szCs w:val="21"/>
          <w:highlight w:val="none"/>
        </w:rPr>
        <w:t>四楼会议室</w:t>
      </w:r>
      <w:r>
        <w:rPr>
          <w:rFonts w:hint="eastAsia" w:ascii="宋体" w:hAnsi="宋体" w:eastAsia="宋体" w:cs="宋体"/>
          <w:color w:val="auto"/>
          <w:sz w:val="21"/>
          <w:szCs w:val="21"/>
          <w:highlight w:val="none"/>
          <w:shd w:val="clear" w:color="auto" w:fill="FFFFFF"/>
        </w:rPr>
        <w:t xml:space="preserve">     </w:t>
      </w:r>
    </w:p>
    <w:p>
      <w:pPr>
        <w:pStyle w:val="5"/>
        <w:keepNext w:val="0"/>
        <w:keepLines w:val="0"/>
        <w:widowControl/>
        <w:shd w:val="clear"/>
        <w:spacing w:before="0" w:after="0" w:line="440" w:lineRule="exact"/>
        <w:ind w:left="360"/>
        <w:jc w:val="left"/>
        <w:rPr>
          <w:rFonts w:ascii="宋体" w:hAnsi="宋体" w:eastAsia="宋体" w:cs="宋体"/>
          <w:color w:val="auto"/>
          <w:sz w:val="21"/>
          <w:szCs w:val="21"/>
          <w:highlight w:val="none"/>
        </w:rPr>
      </w:pPr>
      <w:r>
        <w:rPr>
          <w:rFonts w:hint="eastAsia" w:ascii="宋体" w:hAnsi="宋体" w:cs="宋体"/>
          <w:color w:val="auto"/>
          <w:sz w:val="21"/>
          <w:szCs w:val="21"/>
          <w:highlight w:val="none"/>
          <w:shd w:val="clear" w:color="auto" w:fill="FFFFFF"/>
        </w:rPr>
        <w:t>五</w:t>
      </w:r>
      <w:r>
        <w:rPr>
          <w:rFonts w:hint="eastAsia" w:ascii="宋体" w:hAnsi="宋体" w:eastAsia="宋体" w:cs="宋体"/>
          <w:color w:val="auto"/>
          <w:sz w:val="21"/>
          <w:szCs w:val="21"/>
          <w:highlight w:val="none"/>
          <w:shd w:val="clear" w:color="auto" w:fill="FFFFFF"/>
        </w:rPr>
        <w:t>、公告期限</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本询比公告在八戒公采（https://cg.zbj.com/)、中国招标投标公共服务平台、中国采购与招标网上发布。</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公告期限：自本公告发布之日起3个工作日。</w:t>
      </w:r>
    </w:p>
    <w:p>
      <w:pPr>
        <w:pStyle w:val="5"/>
        <w:keepNext w:val="0"/>
        <w:keepLines w:val="0"/>
        <w:widowControl/>
        <w:shd w:val="clear"/>
        <w:spacing w:before="0" w:after="0" w:line="440" w:lineRule="exact"/>
        <w:ind w:left="360"/>
        <w:jc w:val="left"/>
        <w:rPr>
          <w:rFonts w:ascii="宋体" w:hAnsi="宋体" w:eastAsia="宋体" w:cs="宋体"/>
          <w:color w:val="auto"/>
          <w:sz w:val="21"/>
          <w:szCs w:val="21"/>
          <w:highlight w:val="none"/>
        </w:rPr>
      </w:pPr>
      <w:r>
        <w:rPr>
          <w:rFonts w:hint="eastAsia" w:ascii="宋体" w:hAnsi="宋体" w:cs="宋体"/>
          <w:color w:val="auto"/>
          <w:sz w:val="21"/>
          <w:szCs w:val="21"/>
          <w:highlight w:val="none"/>
          <w:shd w:val="clear" w:color="auto" w:fill="FFFFFF"/>
        </w:rPr>
        <w:t>六</w:t>
      </w:r>
      <w:r>
        <w:rPr>
          <w:rFonts w:hint="eastAsia" w:ascii="宋体" w:hAnsi="宋体" w:eastAsia="宋体" w:cs="宋体"/>
          <w:color w:val="auto"/>
          <w:sz w:val="21"/>
          <w:szCs w:val="21"/>
          <w:highlight w:val="none"/>
          <w:shd w:val="clear" w:color="auto" w:fill="FFFFFF"/>
        </w:rPr>
        <w:t>、其他补充事宜</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开标方式：现场开标</w:t>
      </w:r>
    </w:p>
    <w:p>
      <w:pPr>
        <w:pStyle w:val="28"/>
        <w:shd w:val="clear"/>
        <w:spacing w:before="0" w:beforeAutospacing="0" w:after="0" w:afterAutospacing="0" w:line="440" w:lineRule="exact"/>
        <w:ind w:left="72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是否需要缴纳投标保证金：否</w:t>
      </w:r>
    </w:p>
    <w:p>
      <w:pPr>
        <w:pStyle w:val="5"/>
        <w:keepNext w:val="0"/>
        <w:keepLines w:val="0"/>
        <w:widowControl/>
        <w:shd w:val="clear"/>
        <w:spacing w:before="0" w:after="0" w:line="440" w:lineRule="exact"/>
        <w:ind w:left="360"/>
        <w:jc w:val="left"/>
        <w:rPr>
          <w:rFonts w:ascii="宋体" w:hAnsi="宋体" w:eastAsia="宋体" w:cs="宋体"/>
          <w:color w:val="auto"/>
          <w:sz w:val="21"/>
          <w:szCs w:val="21"/>
          <w:highlight w:val="none"/>
        </w:rPr>
      </w:pPr>
      <w:r>
        <w:rPr>
          <w:rFonts w:hint="eastAsia" w:ascii="宋体" w:hAnsi="宋体" w:cs="宋体"/>
          <w:color w:val="auto"/>
          <w:sz w:val="21"/>
          <w:szCs w:val="21"/>
          <w:highlight w:val="none"/>
        </w:rPr>
        <w:t>七</w:t>
      </w:r>
      <w:r>
        <w:rPr>
          <w:rFonts w:hint="eastAsia" w:ascii="宋体" w:hAnsi="宋体" w:eastAsia="宋体" w:cs="宋体"/>
          <w:color w:val="auto"/>
          <w:sz w:val="21"/>
          <w:szCs w:val="21"/>
          <w:highlight w:val="none"/>
        </w:rPr>
        <w:t>、凡对本次采购提出询问，请按以下方式联系。</w:t>
      </w:r>
    </w:p>
    <w:p>
      <w:pPr>
        <w:shd w:val="clear"/>
        <w:spacing w:line="360" w:lineRule="auto"/>
        <w:ind w:left="708" w:leftChars="337"/>
        <w:rPr>
          <w:rFonts w:hint="eastAsia" w:ascii="宋体" w:hAnsi="宋体" w:cs="宋体" w:eastAsiaTheme="minorEastAsia"/>
          <w:color w:val="auto"/>
          <w:szCs w:val="21"/>
          <w:highlight w:val="none"/>
          <w:lang w:val="en-US" w:eastAsia="zh-CN"/>
        </w:rPr>
      </w:pPr>
      <w:r>
        <w:rPr>
          <w:rFonts w:hint="eastAsia" w:ascii="宋体" w:hAnsi="宋体" w:eastAsia="宋体" w:cs="宋体"/>
          <w:color w:val="auto"/>
          <w:szCs w:val="21"/>
          <w:highlight w:val="none"/>
        </w:rPr>
        <w:t>采购人：</w:t>
      </w:r>
      <w:r>
        <w:rPr>
          <w:rFonts w:hint="eastAsia" w:ascii="宋体" w:hAnsi="宋体" w:cs="宋体"/>
          <w:color w:val="auto"/>
          <w:szCs w:val="21"/>
          <w:highlight w:val="none"/>
          <w:lang w:val="en-US" w:eastAsia="zh-CN"/>
        </w:rPr>
        <w:t>易门县六街中心卫生院</w:t>
      </w:r>
    </w:p>
    <w:p>
      <w:pPr>
        <w:shd w:val="clear"/>
        <w:spacing w:line="360" w:lineRule="auto"/>
        <w:ind w:left="708" w:leftChars="33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易门县六街街道东风街60号</w:t>
      </w:r>
    </w:p>
    <w:p>
      <w:pPr>
        <w:shd w:val="clear"/>
        <w:spacing w:line="360" w:lineRule="auto"/>
        <w:ind w:left="708" w:leftChars="337"/>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张</w:t>
      </w:r>
      <w:r>
        <w:rPr>
          <w:rFonts w:hint="eastAsia" w:ascii="宋体" w:hAnsi="宋体" w:eastAsia="宋体" w:cs="宋体"/>
          <w:color w:val="auto"/>
          <w:szCs w:val="21"/>
          <w:highlight w:val="none"/>
        </w:rPr>
        <w:t>老师</w:t>
      </w:r>
    </w:p>
    <w:p>
      <w:pPr>
        <w:shd w:val="clear"/>
        <w:spacing w:line="360" w:lineRule="auto"/>
        <w:ind w:left="708" w:leftChars="33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联系电话：0877-</w:t>
      </w:r>
      <w:r>
        <w:rPr>
          <w:rFonts w:hint="eastAsia" w:ascii="宋体" w:hAnsi="宋体" w:eastAsia="宋体" w:cs="宋体"/>
          <w:color w:val="auto"/>
          <w:szCs w:val="21"/>
          <w:highlight w:val="none"/>
          <w:lang w:val="en-US" w:eastAsia="zh-CN"/>
        </w:rPr>
        <w:t>4951271   18787701934</w:t>
      </w:r>
    </w:p>
    <w:p>
      <w:pPr>
        <w:shd w:val="clear"/>
        <w:spacing w:line="360" w:lineRule="auto"/>
        <w:ind w:left="708" w:leftChars="337"/>
        <w:rPr>
          <w:rFonts w:ascii="宋体" w:hAnsi="宋体" w:eastAsia="宋体" w:cs="宋体"/>
          <w:color w:val="auto"/>
          <w:szCs w:val="21"/>
          <w:highlight w:val="none"/>
        </w:rPr>
      </w:pPr>
      <w:r>
        <w:rPr>
          <w:rFonts w:hint="eastAsia" w:ascii="宋体" w:hAnsi="宋体" w:eastAsia="宋体" w:cs="宋体"/>
          <w:color w:val="auto"/>
          <w:szCs w:val="21"/>
          <w:highlight w:val="none"/>
        </w:rPr>
        <w:t>采购代理机构：国信招标集团股份有限公司</w:t>
      </w:r>
    </w:p>
    <w:p>
      <w:pPr>
        <w:shd w:val="clear"/>
        <w:spacing w:line="360" w:lineRule="auto"/>
        <w:ind w:left="708" w:leftChars="337"/>
        <w:rPr>
          <w:rFonts w:ascii="宋体" w:hAnsi="宋体" w:eastAsia="宋体" w:cs="宋体"/>
          <w:color w:val="auto"/>
          <w:szCs w:val="21"/>
          <w:highlight w:val="none"/>
        </w:rPr>
      </w:pPr>
      <w:r>
        <w:rPr>
          <w:rFonts w:hint="eastAsia" w:ascii="宋体" w:hAnsi="宋体" w:eastAsia="宋体" w:cs="宋体"/>
          <w:color w:val="auto"/>
          <w:szCs w:val="21"/>
          <w:highlight w:val="none"/>
        </w:rPr>
        <w:t>项目执行机构：国信招标集团股份有限公司云南分公司</w:t>
      </w:r>
    </w:p>
    <w:p>
      <w:pPr>
        <w:shd w:val="clear"/>
        <w:spacing w:line="360" w:lineRule="auto"/>
        <w:ind w:left="708" w:leftChars="337"/>
        <w:rPr>
          <w:rFonts w:ascii="宋体" w:hAnsi="宋体" w:eastAsia="宋体" w:cs="宋体"/>
          <w:color w:val="auto"/>
          <w:szCs w:val="21"/>
          <w:highlight w:val="none"/>
        </w:rPr>
      </w:pPr>
      <w:r>
        <w:rPr>
          <w:rFonts w:hint="eastAsia" w:ascii="宋体" w:hAnsi="宋体" w:eastAsia="宋体" w:cs="宋体"/>
          <w:color w:val="auto"/>
          <w:szCs w:val="21"/>
          <w:highlight w:val="none"/>
        </w:rPr>
        <w:t>地    址：昆明市五华区滇缅大道西城时代A5地块B座2808</w:t>
      </w:r>
    </w:p>
    <w:p>
      <w:pPr>
        <w:shd w:val="clear"/>
        <w:spacing w:line="360" w:lineRule="auto"/>
        <w:ind w:left="708" w:leftChars="337"/>
        <w:rPr>
          <w:rFonts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val="en-US" w:eastAsia="zh-CN"/>
        </w:rPr>
        <w:t xml:space="preserve">丁文丽 </w:t>
      </w:r>
      <w:r>
        <w:rPr>
          <w:rFonts w:hint="eastAsia" w:ascii="宋体" w:hAnsi="宋体" w:eastAsia="宋体" w:cs="宋体"/>
          <w:color w:val="auto"/>
          <w:szCs w:val="21"/>
          <w:highlight w:val="none"/>
        </w:rPr>
        <w:t xml:space="preserve"> 李珊珊</w:t>
      </w:r>
    </w:p>
    <w:p>
      <w:pPr>
        <w:shd w:val="clear"/>
        <w:spacing w:line="360" w:lineRule="auto"/>
        <w:ind w:left="708" w:leftChars="337"/>
        <w:rPr>
          <w:color w:val="auto"/>
          <w:szCs w:val="21"/>
          <w:highlight w:val="none"/>
        </w:rPr>
      </w:pPr>
      <w:r>
        <w:rPr>
          <w:rFonts w:hint="eastAsia" w:ascii="宋体" w:hAnsi="宋体" w:eastAsia="宋体" w:cs="宋体"/>
          <w:color w:val="auto"/>
          <w:szCs w:val="21"/>
          <w:highlight w:val="none"/>
        </w:rPr>
        <w:t>联系电话：010-88654433  0871-68311712</w:t>
      </w:r>
    </w:p>
    <w:p>
      <w:pPr>
        <w:shd w:val="clear"/>
        <w:spacing w:line="360" w:lineRule="auto"/>
        <w:ind w:firstLine="480" w:firstLineChars="200"/>
        <w:rPr>
          <w:rFonts w:ascii="Times New Roman" w:hAnsi="Times New Roman" w:eastAsia="宋体"/>
          <w:color w:val="auto"/>
          <w:sz w:val="24"/>
          <w:highlight w:val="none"/>
        </w:rPr>
        <w:sectPr>
          <w:footerReference r:id="rId4" w:type="default"/>
          <w:pgSz w:w="11906" w:h="16838"/>
          <w:pgMar w:top="1440" w:right="1080" w:bottom="1440" w:left="1080" w:header="851" w:footer="992" w:gutter="0"/>
          <w:pgNumType w:start="1"/>
          <w:cols w:space="425" w:num="1"/>
          <w:docGrid w:type="lines" w:linePitch="312" w:charSpace="0"/>
        </w:sectPr>
      </w:pPr>
    </w:p>
    <w:p>
      <w:pPr>
        <w:pStyle w:val="2"/>
        <w:shd w:val="clear"/>
        <w:spacing w:before="312" w:after="312"/>
        <w:rPr>
          <w:color w:val="auto"/>
          <w:highlight w:val="none"/>
        </w:rPr>
      </w:pPr>
      <w:bookmarkStart w:id="1" w:name="_Toc16788"/>
      <w:r>
        <w:rPr>
          <w:rFonts w:hint="eastAsia"/>
          <w:color w:val="auto"/>
          <w:highlight w:val="none"/>
        </w:rPr>
        <w:t>第二章  供应商须知</w:t>
      </w:r>
      <w:bookmarkEnd w:id="1"/>
    </w:p>
    <w:p>
      <w:pPr>
        <w:pStyle w:val="3"/>
        <w:shd w:val="clear"/>
        <w:spacing w:before="156" w:after="156"/>
        <w:jc w:val="center"/>
        <w:rPr>
          <w:color w:val="auto"/>
          <w:highlight w:val="none"/>
        </w:rPr>
      </w:pPr>
      <w:bookmarkStart w:id="2" w:name="_Toc24855"/>
      <w:r>
        <w:rPr>
          <w:rFonts w:hint="eastAsia"/>
          <w:color w:val="auto"/>
          <w:highlight w:val="none"/>
        </w:rPr>
        <w:t>供应商须知前附表</w:t>
      </w:r>
      <w:bookmarkEnd w:id="2"/>
    </w:p>
    <w:tbl>
      <w:tblPr>
        <w:tblStyle w:val="29"/>
        <w:tblW w:w="9689" w:type="dxa"/>
        <w:tblInd w:w="0" w:type="dxa"/>
        <w:tblLayout w:type="fixed"/>
        <w:tblCellMar>
          <w:top w:w="0" w:type="dxa"/>
          <w:left w:w="10" w:type="dxa"/>
          <w:bottom w:w="0" w:type="dxa"/>
          <w:right w:w="10" w:type="dxa"/>
        </w:tblCellMar>
      </w:tblPr>
      <w:tblGrid>
        <w:gridCol w:w="1152"/>
        <w:gridCol w:w="3366"/>
        <w:gridCol w:w="5171"/>
      </w:tblGrid>
      <w:tr>
        <w:tblPrEx>
          <w:tblCellMar>
            <w:top w:w="0" w:type="dxa"/>
            <w:left w:w="10" w:type="dxa"/>
            <w:bottom w:w="0" w:type="dxa"/>
            <w:right w:w="10" w:type="dxa"/>
          </w:tblCellMar>
        </w:tblPrEx>
        <w:trPr>
          <w:trHeight w:val="384" w:hRule="atLeast"/>
        </w:trPr>
        <w:tc>
          <w:tcPr>
            <w:tcW w:w="1152" w:type="dxa"/>
            <w:tcBorders>
              <w:top w:val="single" w:color="auto" w:sz="4" w:space="0"/>
              <w:left w:val="single" w:color="auto" w:sz="4" w:space="0"/>
              <w:bottom w:val="nil"/>
              <w:right w:val="nil"/>
            </w:tcBorders>
            <w:shd w:val="clear" w:color="auto" w:fill="FFFFFF"/>
            <w:vAlign w:val="bottom"/>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条款号</w:t>
            </w:r>
          </w:p>
        </w:tc>
        <w:tc>
          <w:tcPr>
            <w:tcW w:w="3366" w:type="dxa"/>
            <w:tcBorders>
              <w:top w:val="single" w:color="auto" w:sz="4" w:space="0"/>
              <w:left w:val="single" w:color="auto" w:sz="4" w:space="0"/>
              <w:bottom w:val="nil"/>
              <w:right w:val="nil"/>
            </w:tcBorders>
            <w:shd w:val="clear" w:color="auto" w:fill="FFFFFF"/>
            <w:vAlign w:val="bottom"/>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条 款 内 容</w:t>
            </w:r>
          </w:p>
        </w:tc>
        <w:tc>
          <w:tcPr>
            <w:tcW w:w="5171" w:type="dxa"/>
            <w:tcBorders>
              <w:top w:val="single" w:color="auto" w:sz="4" w:space="0"/>
              <w:left w:val="single" w:color="auto" w:sz="4" w:space="0"/>
              <w:bottom w:val="nil"/>
              <w:right w:val="single" w:color="auto" w:sz="4" w:space="0"/>
            </w:tcBorders>
            <w:shd w:val="clear" w:color="auto" w:fill="FFFFFF"/>
            <w:vAlign w:val="bottom"/>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编 列 内 容</w:t>
            </w:r>
          </w:p>
        </w:tc>
      </w:tr>
      <w:tr>
        <w:tblPrEx>
          <w:tblCellMar>
            <w:top w:w="0" w:type="dxa"/>
            <w:left w:w="10" w:type="dxa"/>
            <w:bottom w:w="0" w:type="dxa"/>
            <w:right w:w="10" w:type="dxa"/>
          </w:tblCellMar>
        </w:tblPrEx>
        <w:trPr>
          <w:trHeight w:val="136"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 xml:space="preserve">1.7. </w:t>
            </w:r>
            <w:r>
              <w:rPr>
                <w:rFonts w:hint="eastAsia" w:ascii="Times New Roman" w:hAnsi="Times New Roman" w:eastAsia="宋体"/>
                <w:color w:val="auto"/>
                <w:szCs w:val="21"/>
                <w:highlight w:val="none"/>
              </w:rPr>
              <w:t>1</w:t>
            </w:r>
          </w:p>
        </w:tc>
        <w:tc>
          <w:tcPr>
            <w:tcW w:w="3366"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踏勘现场</w:t>
            </w:r>
          </w:p>
        </w:tc>
        <w:tc>
          <w:tcPr>
            <w:tcW w:w="5171" w:type="dxa"/>
            <w:tcBorders>
              <w:top w:val="single" w:color="auto" w:sz="4" w:space="0"/>
              <w:left w:val="single" w:color="auto" w:sz="4" w:space="0"/>
              <w:right w:val="single" w:color="auto" w:sz="4" w:space="0"/>
            </w:tcBorders>
            <w:shd w:val="clear" w:color="auto" w:fill="FFFFFF"/>
            <w:vAlign w:val="bottom"/>
          </w:tcPr>
          <w:p>
            <w:pPr>
              <w:shd w:val="clear"/>
              <w:ind w:firstLine="360"/>
              <w:rPr>
                <w:rFonts w:ascii="Times New Roman" w:hAnsi="Times New Roman" w:eastAsia="宋体"/>
                <w:color w:val="auto"/>
                <w:szCs w:val="21"/>
                <w:highlight w:val="none"/>
                <w:lang w:val="zh-TW"/>
              </w:rPr>
            </w:pPr>
            <w:r>
              <w:rPr>
                <w:rFonts w:hint="eastAsia" w:ascii="Times New Roman" w:hAnsi="Times New Roman" w:eastAsia="宋体"/>
                <w:color w:val="auto"/>
                <w:szCs w:val="21"/>
                <w:highlight w:val="none"/>
              </w:rPr>
              <w:sym w:font="Wingdings 2" w:char="0052"/>
            </w:r>
            <w:r>
              <w:rPr>
                <w:rFonts w:hint="eastAsia" w:ascii="Times New Roman" w:hAnsi="Times New Roman" w:eastAsia="宋体"/>
                <w:color w:val="auto"/>
                <w:szCs w:val="21"/>
                <w:highlight w:val="none"/>
              </w:rPr>
              <w:t>不组织</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1.8</w:t>
            </w:r>
          </w:p>
        </w:tc>
        <w:tc>
          <w:tcPr>
            <w:tcW w:w="3366"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询比采购预备会</w:t>
            </w:r>
          </w:p>
        </w:tc>
        <w:tc>
          <w:tcPr>
            <w:tcW w:w="5171" w:type="dxa"/>
            <w:tcBorders>
              <w:top w:val="single" w:color="auto" w:sz="4" w:space="0"/>
              <w:left w:val="single" w:color="auto" w:sz="4" w:space="0"/>
              <w:right w:val="single" w:color="auto" w:sz="4" w:space="0"/>
            </w:tcBorders>
            <w:shd w:val="clear" w:color="auto" w:fill="FFFFFF"/>
            <w:vAlign w:val="bottom"/>
          </w:tcPr>
          <w:p>
            <w:pPr>
              <w:shd w:val="clear"/>
              <w:ind w:firstLine="360"/>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rPr>
              <w:sym w:font="Wingdings 2" w:char="0052"/>
            </w:r>
            <w:r>
              <w:rPr>
                <w:rFonts w:hint="eastAsia" w:ascii="Times New Roman" w:hAnsi="Times New Roman" w:eastAsia="宋体"/>
                <w:color w:val="auto"/>
                <w:szCs w:val="21"/>
                <w:highlight w:val="none"/>
              </w:rPr>
              <w:t>不召开</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1.9</w:t>
            </w:r>
          </w:p>
        </w:tc>
        <w:tc>
          <w:tcPr>
            <w:tcW w:w="3366"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rPr>
              <w:t>分包</w:t>
            </w:r>
          </w:p>
        </w:tc>
        <w:tc>
          <w:tcPr>
            <w:tcW w:w="5171" w:type="dxa"/>
            <w:tcBorders>
              <w:top w:val="single" w:color="auto" w:sz="4" w:space="0"/>
              <w:left w:val="single" w:color="auto" w:sz="4" w:space="0"/>
              <w:right w:val="single" w:color="auto" w:sz="4" w:space="0"/>
            </w:tcBorders>
            <w:shd w:val="clear" w:color="auto" w:fill="FFFFFF"/>
            <w:vAlign w:val="bottom"/>
          </w:tcPr>
          <w:p>
            <w:pPr>
              <w:shd w:val="clear"/>
              <w:ind w:firstLine="360"/>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rPr>
              <w:t>不分包</w:t>
            </w:r>
          </w:p>
        </w:tc>
      </w:tr>
      <w:tr>
        <w:tblPrEx>
          <w:tblCellMar>
            <w:top w:w="0" w:type="dxa"/>
            <w:left w:w="10" w:type="dxa"/>
            <w:bottom w:w="0" w:type="dxa"/>
            <w:right w:w="10" w:type="dxa"/>
          </w:tblCellMar>
        </w:tblPrEx>
        <w:trPr>
          <w:trHeight w:val="413"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2.1 (7)</w:t>
            </w:r>
          </w:p>
        </w:tc>
        <w:tc>
          <w:tcPr>
            <w:tcW w:w="3366" w:type="dxa"/>
            <w:tcBorders>
              <w:top w:val="single" w:color="auto" w:sz="4" w:space="0"/>
              <w:left w:val="single" w:color="auto" w:sz="4" w:space="0"/>
              <w:bottom w:val="nil"/>
              <w:right w:val="nil"/>
            </w:tcBorders>
            <w:shd w:val="clear" w:color="auto" w:fill="FFFFFF"/>
            <w:vAlign w:val="bottom"/>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构成采购文件的其他资料</w:t>
            </w:r>
          </w:p>
        </w:tc>
        <w:tc>
          <w:tcPr>
            <w:tcW w:w="5171" w:type="dxa"/>
            <w:tcBorders>
              <w:top w:val="single" w:color="auto" w:sz="4" w:space="0"/>
              <w:left w:val="single" w:color="auto" w:sz="4" w:space="0"/>
              <w:bottom w:val="nil"/>
              <w:right w:val="single" w:color="auto" w:sz="4" w:space="0"/>
            </w:tcBorders>
            <w:shd w:val="clear" w:color="auto" w:fill="FFFFFF"/>
            <w:vAlign w:val="bottom"/>
          </w:tcPr>
          <w:p>
            <w:pPr>
              <w:shd w:val="clear"/>
              <w:ind w:firstLine="36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无</w:t>
            </w:r>
          </w:p>
        </w:tc>
      </w:tr>
      <w:tr>
        <w:tblPrEx>
          <w:tblCellMar>
            <w:top w:w="0" w:type="dxa"/>
            <w:left w:w="10" w:type="dxa"/>
            <w:bottom w:w="0" w:type="dxa"/>
            <w:right w:w="10" w:type="dxa"/>
          </w:tblCellMar>
        </w:tblPrEx>
        <w:trPr>
          <w:trHeight w:val="437"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 xml:space="preserve">2. 2. </w:t>
            </w:r>
            <w:r>
              <w:rPr>
                <w:rFonts w:hint="eastAsia" w:ascii="Times New Roman" w:hAnsi="Times New Roman" w:eastAsia="宋体"/>
                <w:color w:val="auto"/>
                <w:szCs w:val="21"/>
                <w:highlight w:val="none"/>
              </w:rPr>
              <w:t>1</w:t>
            </w:r>
          </w:p>
        </w:tc>
        <w:tc>
          <w:tcPr>
            <w:tcW w:w="3366"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供应商要求澄清采购文件的时间</w:t>
            </w:r>
          </w:p>
        </w:tc>
        <w:tc>
          <w:tcPr>
            <w:tcW w:w="5171" w:type="dxa"/>
            <w:tcBorders>
              <w:top w:val="single" w:color="auto" w:sz="4" w:space="0"/>
              <w:left w:val="single" w:color="auto" w:sz="4" w:space="0"/>
              <w:bottom w:val="nil"/>
              <w:right w:val="single" w:color="auto" w:sz="4" w:space="0"/>
            </w:tcBorders>
            <w:shd w:val="clear" w:color="auto" w:fill="FFFFFF"/>
            <w:vAlign w:val="center"/>
          </w:tcPr>
          <w:p>
            <w:pPr>
              <w:shd w:val="clear"/>
              <w:ind w:firstLine="360"/>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rPr>
              <w:t>截止时间：20</w:t>
            </w:r>
            <w:r>
              <w:rPr>
                <w:rFonts w:hint="eastAsia" w:ascii="Times New Roman" w:hAnsi="Times New Roman" w:eastAsia="宋体"/>
                <w:color w:val="auto"/>
                <w:szCs w:val="21"/>
                <w:highlight w:val="none"/>
                <w:lang w:val="en-US" w:eastAsia="zh-CN"/>
              </w:rPr>
              <w:t>24</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月</w:t>
            </w:r>
            <w:r>
              <w:rPr>
                <w:rFonts w:hint="eastAsia" w:ascii="Times New Roman" w:hAnsi="Times New Roman" w:eastAsia="宋体"/>
                <w:color w:val="auto"/>
                <w:szCs w:val="21"/>
                <w:highlight w:val="none"/>
                <w:lang w:val="en-US" w:eastAsia="zh-CN"/>
              </w:rPr>
              <w:t>28</w:t>
            </w:r>
            <w:r>
              <w:rPr>
                <w:rFonts w:hint="eastAsia" w:ascii="Times New Roman" w:hAnsi="Times New Roman" w:eastAsia="宋体"/>
                <w:color w:val="auto"/>
                <w:szCs w:val="21"/>
                <w:highlight w:val="none"/>
              </w:rPr>
              <w:t>日18时00分</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2. 2.3</w:t>
            </w:r>
          </w:p>
        </w:tc>
        <w:tc>
          <w:tcPr>
            <w:tcW w:w="3366" w:type="dxa"/>
            <w:tcBorders>
              <w:top w:val="single" w:color="auto" w:sz="4" w:space="0"/>
              <w:left w:val="single" w:color="auto" w:sz="4" w:space="0"/>
              <w:bottom w:val="nil"/>
              <w:right w:val="nil"/>
            </w:tcBorders>
            <w:shd w:val="clear" w:color="auto" w:fill="FFFFFF"/>
            <w:vAlign w:val="bottom"/>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供应商确认收到采购文件补充文件</w:t>
            </w:r>
          </w:p>
        </w:tc>
        <w:tc>
          <w:tcPr>
            <w:tcW w:w="5171" w:type="dxa"/>
            <w:tcBorders>
              <w:top w:val="single" w:color="auto" w:sz="4" w:space="0"/>
              <w:left w:val="single" w:color="auto" w:sz="4" w:space="0"/>
              <w:right w:val="single" w:color="auto" w:sz="4" w:space="0"/>
            </w:tcBorders>
            <w:shd w:val="clear" w:color="auto" w:fill="FFFFFF"/>
            <w:vAlign w:val="bottom"/>
          </w:tcPr>
          <w:p>
            <w:pPr>
              <w:shd w:val="clear"/>
              <w:ind w:firstLine="360"/>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rPr>
              <w:t>确认的最晚时间：20</w:t>
            </w:r>
            <w:r>
              <w:rPr>
                <w:rFonts w:hint="eastAsia" w:ascii="Times New Roman" w:hAnsi="Times New Roman" w:eastAsia="宋体"/>
                <w:color w:val="auto"/>
                <w:szCs w:val="21"/>
                <w:highlight w:val="none"/>
                <w:lang w:val="en-US" w:eastAsia="zh-CN"/>
              </w:rPr>
              <w:t>24</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月</w:t>
            </w:r>
            <w:r>
              <w:rPr>
                <w:rFonts w:hint="eastAsia" w:ascii="Times New Roman" w:hAnsi="Times New Roman" w:eastAsia="宋体"/>
                <w:color w:val="auto"/>
                <w:szCs w:val="21"/>
                <w:highlight w:val="none"/>
                <w:lang w:val="en-US" w:eastAsia="zh-CN"/>
              </w:rPr>
              <w:t>28</w:t>
            </w:r>
            <w:r>
              <w:rPr>
                <w:rFonts w:hint="eastAsia" w:ascii="Times New Roman" w:hAnsi="Times New Roman" w:eastAsia="宋体"/>
                <w:color w:val="auto"/>
                <w:szCs w:val="21"/>
                <w:highlight w:val="none"/>
              </w:rPr>
              <w:t>日</w:t>
            </w:r>
            <w:r>
              <w:rPr>
                <w:rFonts w:hint="eastAsia" w:ascii="Times New Roman" w:hAnsi="Times New Roman" w:eastAsia="宋体"/>
                <w:color w:val="auto"/>
                <w:szCs w:val="21"/>
                <w:highlight w:val="none"/>
                <w:lang w:val="en-US" w:eastAsia="zh-CN"/>
              </w:rPr>
              <w:t>19</w:t>
            </w:r>
            <w:r>
              <w:rPr>
                <w:rFonts w:hint="eastAsia" w:ascii="Times New Roman" w:hAnsi="Times New Roman" w:eastAsia="宋体"/>
                <w:color w:val="auto"/>
                <w:szCs w:val="21"/>
                <w:highlight w:val="none"/>
              </w:rPr>
              <w:t>时00分</w:t>
            </w:r>
          </w:p>
        </w:tc>
      </w:tr>
      <w:tr>
        <w:tblPrEx>
          <w:tblCellMar>
            <w:top w:w="0" w:type="dxa"/>
            <w:left w:w="10" w:type="dxa"/>
            <w:bottom w:w="0" w:type="dxa"/>
            <w:right w:w="10" w:type="dxa"/>
          </w:tblCellMar>
        </w:tblPrEx>
        <w:trPr>
          <w:trHeight w:val="140"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3.2.2</w:t>
            </w:r>
          </w:p>
        </w:tc>
        <w:tc>
          <w:tcPr>
            <w:tcW w:w="3366"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采购标的数量增减幅度</w:t>
            </w:r>
          </w:p>
        </w:tc>
        <w:tc>
          <w:tcPr>
            <w:tcW w:w="5171" w:type="dxa"/>
            <w:tcBorders>
              <w:top w:val="single" w:color="auto" w:sz="4" w:space="0"/>
              <w:left w:val="single" w:color="auto" w:sz="4" w:space="0"/>
              <w:bottom w:val="nil"/>
              <w:right w:val="single" w:color="auto" w:sz="4" w:space="0"/>
            </w:tcBorders>
            <w:shd w:val="clear" w:color="auto" w:fill="FFFFFF"/>
            <w:vAlign w:val="center"/>
          </w:tcPr>
          <w:p>
            <w:pPr>
              <w:shd w:val="clear"/>
              <w:ind w:firstLine="360"/>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rPr>
              <w:t>采购标的数量增减幅度：10 % (注：数量增减幅度通常在10%以内。</w:t>
            </w:r>
            <w:r>
              <w:rPr>
                <w:rFonts w:hint="eastAsia" w:ascii="Times New Roman" w:hAnsi="Times New Roman" w:eastAsia="宋体"/>
                <w:color w:val="auto"/>
                <w:szCs w:val="21"/>
                <w:highlight w:val="none"/>
                <w:lang w:eastAsia="en-US"/>
              </w:rPr>
              <w:t>）</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3.2.3</w:t>
            </w:r>
          </w:p>
        </w:tc>
        <w:tc>
          <w:tcPr>
            <w:tcW w:w="3366"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最髙限价或其计算方法</w:t>
            </w:r>
          </w:p>
        </w:tc>
        <w:tc>
          <w:tcPr>
            <w:tcW w:w="5171" w:type="dxa"/>
            <w:tcBorders>
              <w:top w:val="single" w:color="auto" w:sz="4" w:space="0"/>
              <w:left w:val="single" w:color="auto" w:sz="4" w:space="0"/>
              <w:bottom w:val="nil"/>
              <w:right w:val="single" w:color="auto" w:sz="4" w:space="0"/>
            </w:tcBorders>
            <w:shd w:val="clear" w:color="auto" w:fill="FFFFFF"/>
            <w:vAlign w:val="bottom"/>
          </w:tcPr>
          <w:p>
            <w:pPr>
              <w:shd w:val="clear"/>
              <w:ind w:firstLine="360"/>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zh-TW" w:eastAsia="zh-TW"/>
              </w:rPr>
              <w:sym w:font="Wingdings 2" w:char="0052"/>
            </w:r>
            <w:r>
              <w:rPr>
                <w:rFonts w:hint="eastAsia" w:ascii="Times New Roman" w:hAnsi="Times New Roman" w:eastAsia="宋体"/>
                <w:color w:val="auto"/>
                <w:szCs w:val="21"/>
                <w:highlight w:val="none"/>
                <w:lang w:val="zh-TW" w:eastAsia="zh-TW"/>
              </w:rPr>
              <w:t>有，</w:t>
            </w:r>
            <w:r>
              <w:rPr>
                <w:rFonts w:hint="eastAsia" w:ascii="Times New Roman" w:hAnsi="Times New Roman" w:eastAsia="宋体"/>
                <w:color w:val="auto"/>
                <w:szCs w:val="21"/>
                <w:highlight w:val="none"/>
                <w:lang w:val="en-US" w:eastAsia="zh-CN"/>
              </w:rPr>
              <w:t>22.08</w:t>
            </w:r>
            <w:r>
              <w:rPr>
                <w:rFonts w:hint="eastAsia" w:ascii="Times New Roman" w:hAnsi="Times New Roman" w:eastAsia="宋体"/>
                <w:color w:val="auto"/>
                <w:szCs w:val="21"/>
                <w:highlight w:val="none"/>
              </w:rPr>
              <w:t>万元</w:t>
            </w:r>
          </w:p>
        </w:tc>
      </w:tr>
      <w:tr>
        <w:tblPrEx>
          <w:tblCellMar>
            <w:top w:w="0" w:type="dxa"/>
            <w:left w:w="10" w:type="dxa"/>
            <w:bottom w:w="0" w:type="dxa"/>
            <w:right w:w="10" w:type="dxa"/>
          </w:tblCellMar>
        </w:tblPrEx>
        <w:trPr>
          <w:trHeight w:val="451"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3.2.4</w:t>
            </w:r>
          </w:p>
        </w:tc>
        <w:tc>
          <w:tcPr>
            <w:tcW w:w="3366"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报价的其他要求</w:t>
            </w:r>
          </w:p>
        </w:tc>
        <w:tc>
          <w:tcPr>
            <w:tcW w:w="5171" w:type="dxa"/>
            <w:tcBorders>
              <w:top w:val="single" w:color="auto" w:sz="4" w:space="0"/>
              <w:left w:val="single" w:color="auto" w:sz="4" w:space="0"/>
              <w:bottom w:val="nil"/>
              <w:right w:val="single" w:color="auto" w:sz="4" w:space="0"/>
            </w:tcBorders>
            <w:shd w:val="clear" w:color="auto" w:fill="FFFFFF"/>
          </w:tcPr>
          <w:p>
            <w:pPr>
              <w:shd w:val="clear"/>
              <w:ind w:firstLine="360"/>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zh-TW" w:eastAsia="zh-TW"/>
              </w:rPr>
              <w:t>本</w:t>
            </w:r>
            <w:r>
              <w:rPr>
                <w:rFonts w:hint="eastAsia" w:ascii="Times New Roman" w:hAnsi="Times New Roman" w:eastAsia="宋体"/>
                <w:color w:val="auto"/>
                <w:szCs w:val="21"/>
                <w:highlight w:val="none"/>
              </w:rPr>
              <w:t>项目</w:t>
            </w:r>
            <w:r>
              <w:rPr>
                <w:rFonts w:hint="eastAsia" w:ascii="Times New Roman" w:hAnsi="Times New Roman" w:eastAsia="宋体"/>
                <w:color w:val="auto"/>
                <w:szCs w:val="21"/>
                <w:highlight w:val="none"/>
                <w:lang w:val="zh-TW" w:eastAsia="zh-TW"/>
              </w:rPr>
              <w:t>采用固定</w:t>
            </w:r>
            <w:r>
              <w:rPr>
                <w:rFonts w:hint="eastAsia" w:ascii="Times New Roman" w:hAnsi="Times New Roman" w:eastAsia="宋体"/>
                <w:color w:val="auto"/>
                <w:szCs w:val="21"/>
                <w:highlight w:val="none"/>
                <w:lang w:val="en-US" w:eastAsia="zh-CN"/>
              </w:rPr>
              <w:t>单价</w:t>
            </w:r>
            <w:r>
              <w:rPr>
                <w:rFonts w:hint="eastAsia" w:ascii="Times New Roman" w:hAnsi="Times New Roman" w:eastAsia="宋体"/>
                <w:color w:val="auto"/>
                <w:szCs w:val="21"/>
                <w:highlight w:val="none"/>
                <w:lang w:val="zh-TW" w:eastAsia="zh-TW"/>
              </w:rPr>
              <w:t>发包。</w:t>
            </w:r>
            <w:r>
              <w:rPr>
                <w:rFonts w:hint="eastAsia" w:ascii="Times New Roman" w:hAnsi="Times New Roman" w:eastAsia="宋体"/>
                <w:color w:val="auto"/>
                <w:szCs w:val="21"/>
                <w:highlight w:val="none"/>
              </w:rPr>
              <w:t>报价已经包含完成本项目下所有</w:t>
            </w:r>
            <w:r>
              <w:rPr>
                <w:rFonts w:hint="eastAsia" w:ascii="Times New Roman" w:hAnsi="Times New Roman" w:eastAsia="宋体"/>
                <w:color w:val="auto"/>
                <w:szCs w:val="21"/>
                <w:highlight w:val="none"/>
                <w:lang w:val="en-US" w:eastAsia="zh-CN"/>
              </w:rPr>
              <w:t>货物和</w:t>
            </w:r>
            <w:r>
              <w:rPr>
                <w:rFonts w:hint="eastAsia" w:ascii="Times New Roman" w:hAnsi="Times New Roman" w:eastAsia="宋体"/>
                <w:color w:val="auto"/>
                <w:szCs w:val="21"/>
                <w:highlight w:val="none"/>
              </w:rPr>
              <w:t>服务内容的运输、保险、设备、质保、培训、人工费、税金、咨询费等所有费用，</w:t>
            </w:r>
            <w:bookmarkStart w:id="116" w:name="_GoBack"/>
            <w:bookmarkEnd w:id="116"/>
            <w:r>
              <w:rPr>
                <w:rFonts w:hint="eastAsia" w:ascii="Times New Roman" w:hAnsi="Times New Roman" w:eastAsia="宋体"/>
                <w:color w:val="auto"/>
                <w:szCs w:val="21"/>
                <w:highlight w:val="none"/>
              </w:rPr>
              <w:t>合同执行过程中不因任何理由另行支付其他费用。</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 xml:space="preserve">3.3. </w:t>
            </w:r>
            <w:r>
              <w:rPr>
                <w:rFonts w:hint="eastAsia" w:ascii="Times New Roman" w:hAnsi="Times New Roman" w:eastAsia="宋体"/>
                <w:color w:val="auto"/>
                <w:szCs w:val="21"/>
                <w:highlight w:val="none"/>
              </w:rPr>
              <w:t>1</w:t>
            </w:r>
          </w:p>
        </w:tc>
        <w:tc>
          <w:tcPr>
            <w:tcW w:w="3366"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响应文件有效期</w:t>
            </w:r>
          </w:p>
        </w:tc>
        <w:tc>
          <w:tcPr>
            <w:tcW w:w="5171" w:type="dxa"/>
            <w:tcBorders>
              <w:top w:val="single" w:color="auto" w:sz="4" w:space="0"/>
              <w:left w:val="single" w:color="auto" w:sz="4" w:space="0"/>
              <w:bottom w:val="nil"/>
              <w:right w:val="single" w:color="auto" w:sz="4" w:space="0"/>
            </w:tcBorders>
            <w:shd w:val="clear" w:color="auto" w:fill="FFFFFF"/>
          </w:tcPr>
          <w:p>
            <w:pPr>
              <w:shd w:val="clear"/>
              <w:ind w:firstLine="36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90日历日</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3.4.</w:t>
            </w:r>
            <w:r>
              <w:rPr>
                <w:rFonts w:hint="eastAsia" w:ascii="Times New Roman" w:hAnsi="Times New Roman" w:eastAsia="宋体"/>
                <w:color w:val="auto"/>
                <w:szCs w:val="21"/>
                <w:highlight w:val="none"/>
              </w:rPr>
              <w:t>1</w:t>
            </w:r>
          </w:p>
        </w:tc>
        <w:tc>
          <w:tcPr>
            <w:tcW w:w="3366"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响应保证金</w:t>
            </w:r>
          </w:p>
        </w:tc>
        <w:tc>
          <w:tcPr>
            <w:tcW w:w="5171" w:type="dxa"/>
            <w:tcBorders>
              <w:top w:val="single" w:color="auto" w:sz="4" w:space="0"/>
              <w:left w:val="single" w:color="auto" w:sz="4" w:space="0"/>
              <w:right w:val="single" w:color="auto" w:sz="4" w:space="0"/>
            </w:tcBorders>
            <w:shd w:val="clear" w:color="auto" w:fill="FFFFFF"/>
            <w:vAlign w:val="bottom"/>
          </w:tcPr>
          <w:p>
            <w:pPr>
              <w:shd w:val="clear"/>
              <w:ind w:firstLine="360"/>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rPr>
              <w:t xml:space="preserve">不要求递交 </w:t>
            </w:r>
          </w:p>
        </w:tc>
      </w:tr>
      <w:tr>
        <w:tblPrEx>
          <w:tblCellMar>
            <w:top w:w="0" w:type="dxa"/>
            <w:left w:w="10" w:type="dxa"/>
            <w:bottom w:w="0" w:type="dxa"/>
            <w:right w:w="10" w:type="dxa"/>
          </w:tblCellMar>
        </w:tblPrEx>
        <w:trPr>
          <w:trHeight w:val="768"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en-US"/>
              </w:rPr>
            </w:pPr>
            <w:r>
              <w:rPr>
                <w:rFonts w:hint="eastAsia" w:ascii="Times New Roman" w:hAnsi="Times New Roman" w:eastAsia="宋体"/>
                <w:color w:val="auto"/>
                <w:szCs w:val="21"/>
                <w:highlight w:val="none"/>
                <w:lang w:eastAsia="en-US" w:bidi="en-US"/>
              </w:rPr>
              <w:t>3.7.5</w:t>
            </w:r>
          </w:p>
        </w:tc>
        <w:tc>
          <w:tcPr>
            <w:tcW w:w="3366"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响应文件副本份数及电子版要求</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响应文件正本 壹 份 （不需要副本）</w:t>
            </w:r>
          </w:p>
          <w:p>
            <w:pPr>
              <w:shd w:val="clear"/>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是否要求提供电子版响应文件：</w:t>
            </w:r>
          </w:p>
          <w:p>
            <w:pPr>
              <w:shd w:val="clear"/>
              <w:ind w:firstLine="420" w:firstLineChars="200"/>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rPr>
              <w:sym w:font="Wingdings 2" w:char="0052"/>
            </w:r>
            <w:r>
              <w:rPr>
                <w:rFonts w:hint="eastAsia" w:ascii="Times New Roman" w:hAnsi="Times New Roman" w:eastAsia="宋体"/>
                <w:color w:val="auto"/>
                <w:szCs w:val="21"/>
                <w:highlight w:val="none"/>
              </w:rPr>
              <w:t>要求，提供电子版响应文件的形式：电子文档壹份（介质：U盘；格式：word或PDF）</w:t>
            </w:r>
          </w:p>
        </w:tc>
      </w:tr>
      <w:tr>
        <w:tblPrEx>
          <w:tblCellMar>
            <w:top w:w="0" w:type="dxa"/>
            <w:left w:w="10" w:type="dxa"/>
            <w:bottom w:w="0" w:type="dxa"/>
            <w:right w:w="10" w:type="dxa"/>
          </w:tblCellMar>
        </w:tblPrEx>
        <w:trPr>
          <w:trHeight w:val="768"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eastAsia="en-US" w:bidi="en-US"/>
              </w:rPr>
            </w:pPr>
            <w:r>
              <w:rPr>
                <w:rFonts w:hint="eastAsia" w:ascii="Times New Roman" w:hAnsi="Times New Roman" w:eastAsia="宋体"/>
                <w:color w:val="auto"/>
                <w:szCs w:val="21"/>
                <w:highlight w:val="none"/>
                <w:lang w:eastAsia="en-US" w:bidi="en-US"/>
              </w:rPr>
              <w:t>4. 1.2</w:t>
            </w:r>
          </w:p>
        </w:tc>
        <w:tc>
          <w:tcPr>
            <w:tcW w:w="3366"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装订要求</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①正本胶装，自成一册，不得活页装订。任何证明材料的原件请装订进入正本。</w:t>
            </w:r>
          </w:p>
          <w:p>
            <w:pPr>
              <w:shd w:val="clear"/>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②如大小不一的文件材料需折叠整理成A4纸面大小，左、下侧分别对齐，胶装成册（如图纸等），否则其投标无效。</w:t>
            </w:r>
          </w:p>
          <w:p>
            <w:pPr>
              <w:shd w:val="clear"/>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③任何未装订在响应文件中的零散资料均视为无效资料。</w:t>
            </w:r>
          </w:p>
        </w:tc>
      </w:tr>
      <w:tr>
        <w:tblPrEx>
          <w:tblCellMar>
            <w:top w:w="0" w:type="dxa"/>
            <w:left w:w="10" w:type="dxa"/>
            <w:bottom w:w="0" w:type="dxa"/>
            <w:right w:w="10" w:type="dxa"/>
          </w:tblCellMar>
        </w:tblPrEx>
        <w:trPr>
          <w:trHeight w:val="768"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eastAsia="en-US" w:bidi="en-US"/>
              </w:rPr>
            </w:pPr>
            <w:r>
              <w:rPr>
                <w:rFonts w:hint="eastAsia" w:ascii="Times New Roman" w:hAnsi="Times New Roman" w:eastAsia="宋体"/>
                <w:color w:val="auto"/>
                <w:szCs w:val="21"/>
                <w:highlight w:val="none"/>
                <w:lang w:eastAsia="en-US" w:bidi="en-US"/>
              </w:rPr>
              <w:t>4. 1.2</w:t>
            </w:r>
          </w:p>
        </w:tc>
        <w:tc>
          <w:tcPr>
            <w:tcW w:w="3366"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封套上写明</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采购人名称：</w:t>
            </w:r>
          </w:p>
          <w:p>
            <w:pPr>
              <w:shd w:val="clear"/>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项目编号：</w:t>
            </w:r>
          </w:p>
          <w:p>
            <w:pPr>
              <w:shd w:val="clear"/>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      （项目名称）文件在    年 月 日 时 分前不得开启</w:t>
            </w:r>
          </w:p>
          <w:p>
            <w:pPr>
              <w:shd w:val="clear"/>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供应商名称：</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val="zh-TW" w:eastAsia="en-US"/>
              </w:rPr>
            </w:pPr>
            <w:r>
              <w:rPr>
                <w:rFonts w:hint="eastAsia" w:ascii="Times New Roman" w:hAnsi="Times New Roman" w:eastAsia="宋体"/>
                <w:color w:val="auto"/>
                <w:szCs w:val="21"/>
                <w:highlight w:val="none"/>
                <w:lang w:eastAsia="en-US"/>
              </w:rPr>
              <w:t>4. 2.2</w:t>
            </w:r>
          </w:p>
        </w:tc>
        <w:tc>
          <w:tcPr>
            <w:tcW w:w="3366"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是否退还响应文件</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ind w:firstLine="420" w:firstLineChars="200"/>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rPr>
              <w:sym w:font="Wingdings 2" w:char="0052"/>
            </w:r>
            <w:r>
              <w:rPr>
                <w:rFonts w:hint="eastAsia" w:ascii="Times New Roman" w:hAnsi="Times New Roman" w:eastAsia="宋体"/>
                <w:color w:val="auto"/>
                <w:szCs w:val="21"/>
                <w:highlight w:val="none"/>
              </w:rPr>
              <w:t>否</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val="zh-TW" w:eastAsia="en-US"/>
              </w:rPr>
            </w:pPr>
            <w:r>
              <w:rPr>
                <w:rFonts w:hint="eastAsia" w:ascii="Times New Roman" w:hAnsi="Times New Roman" w:eastAsia="宋体"/>
                <w:color w:val="auto"/>
                <w:szCs w:val="21"/>
                <w:highlight w:val="none"/>
                <w:lang w:val="zh-TW" w:eastAsia="en-US"/>
              </w:rPr>
              <w:t>7.3</w:t>
            </w:r>
          </w:p>
        </w:tc>
        <w:tc>
          <w:tcPr>
            <w:tcW w:w="3366"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lang w:val="zh-TW" w:eastAsia="en-US"/>
              </w:rPr>
              <w:t>成交结果公示</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bottom"/>
          </w:tcPr>
          <w:p>
            <w:pPr>
              <w:shd w:val="clear"/>
              <w:ind w:firstLine="420" w:firstLineChars="200"/>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lang w:eastAsia="zh-TW"/>
              </w:rPr>
              <w:t xml:space="preserve">公示媒介：八戒公采（https://cg.zbj.com/) </w:t>
            </w:r>
            <w:r>
              <w:rPr>
                <w:rFonts w:hint="eastAsia" w:ascii="Times New Roman" w:hAnsi="Times New Roman" w:eastAsia="宋体"/>
                <w:color w:val="auto"/>
                <w:szCs w:val="21"/>
                <w:highlight w:val="none"/>
              </w:rPr>
              <w:t>、中国招标投标公共服务平台、中国采购与招标网</w:t>
            </w:r>
            <w:r>
              <w:rPr>
                <w:rFonts w:hint="eastAsia" w:ascii="Times New Roman" w:hAnsi="Times New Roman" w:eastAsia="宋体"/>
                <w:color w:val="auto"/>
                <w:szCs w:val="21"/>
                <w:highlight w:val="none"/>
                <w:lang w:eastAsia="zh-TW"/>
              </w:rPr>
              <w:t xml:space="preserve">                        </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val="zh-TW" w:eastAsia="en-US"/>
              </w:rPr>
            </w:pPr>
            <w:r>
              <w:rPr>
                <w:rFonts w:hint="eastAsia" w:ascii="Times New Roman" w:hAnsi="Times New Roman" w:eastAsia="宋体"/>
                <w:color w:val="auto"/>
                <w:szCs w:val="21"/>
                <w:highlight w:val="none"/>
                <w:lang w:val="zh-TW" w:eastAsia="en-US"/>
              </w:rPr>
              <w:t>7.6</w:t>
            </w:r>
          </w:p>
        </w:tc>
        <w:tc>
          <w:tcPr>
            <w:tcW w:w="3366"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rPr>
            </w:pPr>
            <w:r>
              <w:rPr>
                <w:rFonts w:hint="eastAsia" w:ascii="Times New Roman" w:hAnsi="Times New Roman" w:eastAsia="宋体"/>
                <w:color w:val="auto"/>
                <w:szCs w:val="21"/>
                <w:highlight w:val="none"/>
                <w:lang w:val="zh-TW" w:eastAsia="en-US"/>
              </w:rPr>
              <w:t>履约保证金</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bottom"/>
          </w:tcPr>
          <w:p>
            <w:pPr>
              <w:shd w:val="clear"/>
              <w:ind w:firstLine="420" w:firstLineChars="200"/>
              <w:rPr>
                <w:color w:val="auto"/>
                <w:highlight w:val="none"/>
                <w:lang w:eastAsia="zh-TW"/>
              </w:rPr>
            </w:pPr>
            <w:r>
              <w:rPr>
                <w:rFonts w:hint="eastAsia"/>
                <w:color w:val="auto"/>
                <w:highlight w:val="none"/>
                <w:lang w:eastAsia="zh-TW"/>
              </w:rPr>
              <w:t>履约保证金的形式：支票、汇票、本票或者金融机构、担保机构出具的保函等非现金形式</w:t>
            </w:r>
          </w:p>
          <w:p>
            <w:pPr>
              <w:shd w:val="clear"/>
              <w:ind w:firstLine="420" w:firstLineChars="200"/>
              <w:rPr>
                <w:color w:val="auto"/>
                <w:highlight w:val="none"/>
                <w:lang w:eastAsia="zh-TW"/>
              </w:rPr>
            </w:pPr>
            <w:r>
              <w:rPr>
                <w:rFonts w:hint="eastAsia"/>
                <w:color w:val="auto"/>
                <w:highlight w:val="none"/>
                <w:lang w:eastAsia="zh-TW"/>
              </w:rPr>
              <w:t>履约保证金的金额：</w:t>
            </w:r>
            <w:r>
              <w:rPr>
                <w:rFonts w:hint="eastAsia"/>
                <w:color w:val="auto"/>
                <w:highlight w:val="none"/>
              </w:rPr>
              <w:t>合同总金额的3%（合同另有约定的从其约定）</w:t>
            </w:r>
          </w:p>
          <w:p>
            <w:pPr>
              <w:shd w:val="clear"/>
              <w:ind w:firstLine="420" w:firstLineChars="200"/>
              <w:rPr>
                <w:color w:val="auto"/>
                <w:highlight w:val="none"/>
                <w:lang w:eastAsia="zh-TW"/>
              </w:rPr>
            </w:pPr>
            <w:r>
              <w:rPr>
                <w:rFonts w:hint="eastAsia"/>
                <w:color w:val="auto"/>
                <w:highlight w:val="none"/>
              </w:rPr>
              <w:t>履约保证金在合同履行期结束后14日内退还。</w:t>
            </w:r>
          </w:p>
        </w:tc>
      </w:tr>
      <w:tr>
        <w:tblPrEx>
          <w:tblCellMar>
            <w:top w:w="0" w:type="dxa"/>
            <w:left w:w="10" w:type="dxa"/>
            <w:bottom w:w="0" w:type="dxa"/>
            <w:right w:w="10" w:type="dxa"/>
          </w:tblCellMar>
        </w:tblPrEx>
        <w:trPr>
          <w:trHeight w:val="90" w:hRule="atLeast"/>
        </w:trPr>
        <w:tc>
          <w:tcPr>
            <w:tcW w:w="1152"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val="zh-TW" w:eastAsia="en-US" w:bidi="zh-TW"/>
              </w:rPr>
            </w:pPr>
            <w:r>
              <w:rPr>
                <w:rFonts w:hint="eastAsia" w:ascii="Times New Roman" w:hAnsi="Times New Roman" w:eastAsia="宋体"/>
                <w:color w:val="auto"/>
                <w:szCs w:val="21"/>
                <w:highlight w:val="none"/>
                <w:lang w:eastAsia="en-US" w:bidi="en-US"/>
              </w:rPr>
              <w:t>10.2</w:t>
            </w:r>
          </w:p>
        </w:tc>
        <w:tc>
          <w:tcPr>
            <w:tcW w:w="3366" w:type="dxa"/>
            <w:tcBorders>
              <w:top w:val="single" w:color="auto" w:sz="4" w:space="0"/>
              <w:left w:val="single" w:color="auto" w:sz="4" w:space="0"/>
              <w:bottom w:val="single" w:color="auto" w:sz="4" w:space="0"/>
              <w:right w:val="nil"/>
            </w:tcBorders>
            <w:shd w:val="clear" w:color="auto" w:fill="FFFFFF"/>
            <w:vAlign w:val="center"/>
          </w:tcPr>
          <w:p>
            <w:pPr>
              <w:shd w:val="clear"/>
              <w:jc w:val="center"/>
              <w:rPr>
                <w:rFonts w:ascii="Times New Roman" w:hAnsi="Times New Roman" w:eastAsia="宋体"/>
                <w:color w:val="auto"/>
                <w:szCs w:val="21"/>
                <w:highlight w:val="none"/>
                <w:lang w:val="zh-TW" w:eastAsia="en-US" w:bidi="zh-TW"/>
              </w:rPr>
            </w:pPr>
            <w:r>
              <w:rPr>
                <w:rFonts w:hint="eastAsia" w:ascii="Times New Roman" w:hAnsi="Times New Roman" w:eastAsia="宋体"/>
                <w:color w:val="auto"/>
                <w:szCs w:val="21"/>
                <w:highlight w:val="none"/>
              </w:rPr>
              <w:t>需要补充的其他内容</w:t>
            </w:r>
          </w:p>
        </w:tc>
        <w:tc>
          <w:tcPr>
            <w:tcW w:w="5171" w:type="dxa"/>
            <w:tcBorders>
              <w:top w:val="single" w:color="auto" w:sz="4" w:space="0"/>
              <w:left w:val="single" w:color="auto" w:sz="4" w:space="0"/>
              <w:bottom w:val="single" w:color="auto" w:sz="4" w:space="0"/>
              <w:right w:val="single" w:color="auto" w:sz="4" w:space="0"/>
            </w:tcBorders>
            <w:shd w:val="clear" w:color="auto" w:fill="FFFFFF"/>
            <w:vAlign w:val="bottom"/>
          </w:tcPr>
          <w:p>
            <w:pPr>
              <w:shd w:val="clear"/>
              <w:ind w:firstLine="420" w:firstLineChars="200"/>
              <w:rPr>
                <w:color w:val="auto"/>
                <w:highlight w:val="none"/>
              </w:rPr>
            </w:pPr>
            <w:r>
              <w:rPr>
                <w:rFonts w:hint="eastAsia"/>
                <w:color w:val="auto"/>
                <w:highlight w:val="none"/>
              </w:rPr>
              <w:t>1、询比小组成员：采购人代表1人；从专家库抽取的评审专家2人。</w:t>
            </w:r>
          </w:p>
          <w:p>
            <w:pPr>
              <w:shd w:val="clear"/>
              <w:ind w:firstLine="420" w:firstLineChars="200"/>
              <w:rPr>
                <w:color w:val="auto"/>
                <w:highlight w:val="none"/>
              </w:rPr>
            </w:pPr>
            <w:r>
              <w:rPr>
                <w:rFonts w:hint="eastAsia"/>
                <w:color w:val="auto"/>
                <w:highlight w:val="none"/>
              </w:rPr>
              <w:t>2、现场递交响应文件的人员请持以下文件：</w:t>
            </w:r>
          </w:p>
          <w:p>
            <w:pPr>
              <w:shd w:val="clear"/>
              <w:ind w:firstLine="420" w:firstLineChars="200"/>
              <w:rPr>
                <w:color w:val="auto"/>
                <w:highlight w:val="none"/>
              </w:rPr>
            </w:pPr>
            <w:r>
              <w:rPr>
                <w:rFonts w:hint="eastAsia"/>
                <w:color w:val="auto"/>
                <w:highlight w:val="none"/>
              </w:rPr>
              <w:t>①法定代表人递交的请携带：法定代表人身份证明书（原件）和身份证原件；</w:t>
            </w:r>
          </w:p>
          <w:p>
            <w:pPr>
              <w:shd w:val="clear"/>
              <w:ind w:firstLine="420" w:firstLineChars="200"/>
              <w:rPr>
                <w:color w:val="auto"/>
                <w:highlight w:val="none"/>
              </w:rPr>
            </w:pPr>
            <w:r>
              <w:rPr>
                <w:rFonts w:hint="eastAsia"/>
                <w:color w:val="auto"/>
                <w:highlight w:val="none"/>
              </w:rPr>
              <w:t>②授权委托代理人递交的请携带：法定代表人身份证明书（原件）、授权委托书（原件）、授权委托代理人身份证原件。</w:t>
            </w:r>
          </w:p>
          <w:p>
            <w:pPr>
              <w:shd w:val="clear"/>
              <w:ind w:firstLine="420" w:firstLineChars="200"/>
              <w:rPr>
                <w:color w:val="auto"/>
                <w:highlight w:val="none"/>
              </w:rPr>
            </w:pPr>
            <w:r>
              <w:rPr>
                <w:rFonts w:hint="eastAsia"/>
                <w:color w:val="auto"/>
                <w:highlight w:val="none"/>
              </w:rPr>
              <w:t>本项目不是专门面向中小企业或小型、微型企业采购</w:t>
            </w:r>
          </w:p>
          <w:p>
            <w:pPr>
              <w:shd w:val="clear"/>
              <w:ind w:firstLine="420" w:firstLineChars="200"/>
              <w:rPr>
                <w:color w:val="auto"/>
                <w:highlight w:val="none"/>
              </w:rPr>
            </w:pPr>
            <w:r>
              <w:rPr>
                <w:rFonts w:hint="eastAsia"/>
                <w:color w:val="auto"/>
                <w:highlight w:val="none"/>
              </w:rPr>
              <w:t>4、异议渠道：质疑提出人应将质疑函原件委派专人或通过邮寄方式在知道或者应知其权益受到损害之日起7个工作日内送达采购代理机构。</w:t>
            </w:r>
          </w:p>
          <w:p>
            <w:pPr>
              <w:shd w:val="clear"/>
              <w:ind w:firstLine="420" w:firstLineChars="200"/>
              <w:rPr>
                <w:color w:val="auto"/>
                <w:highlight w:val="none"/>
              </w:rPr>
            </w:pPr>
            <w:r>
              <w:rPr>
                <w:rFonts w:hint="eastAsia"/>
                <w:color w:val="auto"/>
                <w:highlight w:val="none"/>
              </w:rPr>
              <w:t>联系部门：国信招标集团股份有限公司</w:t>
            </w:r>
          </w:p>
          <w:p>
            <w:pPr>
              <w:shd w:val="clear"/>
              <w:ind w:firstLine="420" w:firstLineChars="200"/>
              <w:rPr>
                <w:color w:val="auto"/>
                <w:highlight w:val="none"/>
              </w:rPr>
            </w:pPr>
            <w:r>
              <w:rPr>
                <w:rFonts w:hint="eastAsia"/>
                <w:color w:val="auto"/>
                <w:highlight w:val="none"/>
              </w:rPr>
              <w:t>联系人：李珊珊</w:t>
            </w:r>
          </w:p>
          <w:p>
            <w:pPr>
              <w:shd w:val="clear"/>
              <w:ind w:firstLine="420" w:firstLineChars="200"/>
              <w:rPr>
                <w:color w:val="auto"/>
                <w:highlight w:val="none"/>
              </w:rPr>
            </w:pPr>
            <w:r>
              <w:rPr>
                <w:rFonts w:hint="eastAsia"/>
                <w:color w:val="auto"/>
                <w:highlight w:val="none"/>
              </w:rPr>
              <w:t>联系电话：0871-68311712</w:t>
            </w:r>
          </w:p>
          <w:p>
            <w:pPr>
              <w:shd w:val="clear"/>
              <w:ind w:firstLine="420" w:firstLineChars="200"/>
              <w:rPr>
                <w:color w:val="auto"/>
                <w:highlight w:val="none"/>
              </w:rPr>
            </w:pPr>
            <w:r>
              <w:rPr>
                <w:rFonts w:hint="eastAsia"/>
                <w:color w:val="auto"/>
                <w:highlight w:val="none"/>
              </w:rPr>
              <w:t>通讯地址：昆明市五华区滇缅大道西城时代A5地块B座2808</w:t>
            </w:r>
          </w:p>
        </w:tc>
      </w:tr>
    </w:tbl>
    <w:p>
      <w:pPr>
        <w:pStyle w:val="3"/>
        <w:shd w:val="clear"/>
        <w:spacing w:before="156" w:after="156"/>
        <w:rPr>
          <w:color w:val="auto"/>
          <w:sz w:val="21"/>
          <w:szCs w:val="21"/>
          <w:highlight w:val="none"/>
        </w:rPr>
      </w:pPr>
      <w:bookmarkStart w:id="3" w:name="_Toc32348"/>
      <w:r>
        <w:rPr>
          <w:rFonts w:hint="eastAsia"/>
          <w:color w:val="auto"/>
          <w:sz w:val="21"/>
          <w:szCs w:val="21"/>
          <w:highlight w:val="none"/>
        </w:rPr>
        <w:t>1 总则</w:t>
      </w:r>
      <w:bookmarkEnd w:id="3"/>
    </w:p>
    <w:p>
      <w:pPr>
        <w:pStyle w:val="4"/>
        <w:shd w:val="clear"/>
        <w:rPr>
          <w:color w:val="auto"/>
          <w:sz w:val="21"/>
          <w:szCs w:val="21"/>
          <w:highlight w:val="none"/>
        </w:rPr>
      </w:pPr>
      <w:bookmarkStart w:id="4" w:name="_Toc3346"/>
      <w:r>
        <w:rPr>
          <w:rFonts w:hint="eastAsia"/>
          <w:color w:val="auto"/>
          <w:sz w:val="21"/>
          <w:szCs w:val="21"/>
          <w:highlight w:val="none"/>
        </w:rPr>
        <w:t>1.1采购方式</w:t>
      </w:r>
      <w:bookmarkEnd w:id="4"/>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本项目采用中国招标投标协会发布的《非招标方式采购代理服务规范》(T/CTBA001—2019)规定的询比采购方式。</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询比采购是指采购人组建评审小组对响应采购的供应商按照采购文件规定的规则和时间一次递交的响应文件进行评审，采购人根据评审小组的评审结果，选择确定成交供应商的采购方式。</w:t>
      </w:r>
    </w:p>
    <w:p>
      <w:pPr>
        <w:pStyle w:val="4"/>
        <w:shd w:val="clear"/>
        <w:rPr>
          <w:color w:val="auto"/>
          <w:sz w:val="21"/>
          <w:szCs w:val="21"/>
          <w:highlight w:val="none"/>
        </w:rPr>
      </w:pPr>
      <w:bookmarkStart w:id="5" w:name="_Toc24459"/>
      <w:r>
        <w:rPr>
          <w:rFonts w:hint="eastAsia"/>
          <w:color w:val="auto"/>
          <w:sz w:val="21"/>
          <w:szCs w:val="21"/>
          <w:highlight w:val="none"/>
        </w:rPr>
        <w:t>1.2采南购项目概况和供应商资格要求</w:t>
      </w:r>
      <w:bookmarkEnd w:id="5"/>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采购项目概况和供应商资格要求见第一章“询比采购公告”。</w:t>
      </w:r>
    </w:p>
    <w:p>
      <w:pPr>
        <w:pStyle w:val="3"/>
        <w:shd w:val="clear"/>
        <w:spacing w:before="156" w:after="156"/>
        <w:rPr>
          <w:color w:val="auto"/>
          <w:sz w:val="21"/>
          <w:szCs w:val="21"/>
          <w:highlight w:val="none"/>
        </w:rPr>
      </w:pPr>
      <w:bookmarkStart w:id="6" w:name="_Toc5567"/>
      <w:r>
        <w:rPr>
          <w:rFonts w:hint="eastAsia"/>
          <w:color w:val="auto"/>
          <w:sz w:val="21"/>
          <w:szCs w:val="21"/>
          <w:highlight w:val="none"/>
        </w:rPr>
        <w:t>1.3费用承担</w:t>
      </w:r>
      <w:bookmarkEnd w:id="6"/>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供应商准备和参加询比采购活动所发生的各种费用由供应商自行承担。</w:t>
      </w:r>
    </w:p>
    <w:p>
      <w:pPr>
        <w:pStyle w:val="4"/>
        <w:shd w:val="clear"/>
        <w:rPr>
          <w:color w:val="auto"/>
          <w:sz w:val="21"/>
          <w:szCs w:val="21"/>
          <w:highlight w:val="none"/>
        </w:rPr>
      </w:pPr>
      <w:bookmarkStart w:id="7" w:name="_Toc11772"/>
      <w:r>
        <w:rPr>
          <w:rFonts w:hint="eastAsia"/>
          <w:color w:val="auto"/>
          <w:sz w:val="21"/>
          <w:szCs w:val="21"/>
          <w:highlight w:val="none"/>
        </w:rPr>
        <w:t>1.4保密</w:t>
      </w:r>
      <w:bookmarkEnd w:id="7"/>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参加询比采购活动的各方应对采购文件和响应文件中的商业和技术等秘密保密，否则应承担相应的法律责任。</w:t>
      </w:r>
    </w:p>
    <w:p>
      <w:pPr>
        <w:pStyle w:val="4"/>
        <w:shd w:val="clear"/>
        <w:rPr>
          <w:color w:val="auto"/>
          <w:sz w:val="21"/>
          <w:szCs w:val="21"/>
          <w:highlight w:val="none"/>
        </w:rPr>
      </w:pPr>
      <w:bookmarkStart w:id="8" w:name="_Toc10665"/>
      <w:r>
        <w:rPr>
          <w:rFonts w:hint="eastAsia"/>
          <w:color w:val="auto"/>
          <w:sz w:val="21"/>
          <w:szCs w:val="21"/>
          <w:highlight w:val="none"/>
        </w:rPr>
        <w:t>1.5语言文字</w:t>
      </w:r>
      <w:bookmarkEnd w:id="8"/>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采购文件和响应文件使用的语言文字为中文。专用术语使用外文的，应附有中文注释。</w:t>
      </w:r>
    </w:p>
    <w:p>
      <w:pPr>
        <w:pStyle w:val="4"/>
        <w:shd w:val="clear"/>
        <w:rPr>
          <w:color w:val="auto"/>
          <w:sz w:val="21"/>
          <w:szCs w:val="21"/>
          <w:highlight w:val="none"/>
        </w:rPr>
      </w:pPr>
      <w:bookmarkStart w:id="9" w:name="_Toc19103"/>
      <w:r>
        <w:rPr>
          <w:rFonts w:hint="eastAsia"/>
          <w:color w:val="auto"/>
          <w:sz w:val="21"/>
          <w:szCs w:val="21"/>
          <w:highlight w:val="none"/>
        </w:rPr>
        <w:t>1.6计量单位</w:t>
      </w:r>
      <w:bookmarkEnd w:id="9"/>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所有计量均采用中华人民共和国法定计量单位。</w:t>
      </w:r>
    </w:p>
    <w:p>
      <w:pPr>
        <w:pStyle w:val="4"/>
        <w:shd w:val="clear"/>
        <w:rPr>
          <w:color w:val="auto"/>
          <w:sz w:val="21"/>
          <w:szCs w:val="21"/>
          <w:highlight w:val="none"/>
        </w:rPr>
      </w:pPr>
      <w:bookmarkStart w:id="10" w:name="_Toc18488"/>
      <w:r>
        <w:rPr>
          <w:rFonts w:hint="eastAsia"/>
          <w:color w:val="auto"/>
          <w:sz w:val="21"/>
          <w:szCs w:val="21"/>
          <w:highlight w:val="none"/>
        </w:rPr>
        <w:t>1.7踏勘现场</w:t>
      </w:r>
      <w:bookmarkEnd w:id="10"/>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1.7.1供应商须知前附表规定组织踏勘现场的，采购人按供应商须知前附表规定的时间、地点组织供应商踏勘项目现场。部分供应商未按时参加踏勘现场的，不影响踏勘现场的正常进行。</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1.7.2供应商可自愿参加踏勘现场活动。除采购人的原因外，采购人对供应商参加踏勘现场中所发生的人员伤亡和财产损失不承担责任。</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1.7.3采购人在踏勘现场中介绍的项目场地和相关的周边环境情况，仅作为供应商编制响应文件的参考，采购人不对供应商据此作出的判断和决策负责。</w:t>
      </w:r>
    </w:p>
    <w:p>
      <w:pPr>
        <w:pStyle w:val="4"/>
        <w:shd w:val="clear"/>
        <w:rPr>
          <w:color w:val="auto"/>
          <w:sz w:val="21"/>
          <w:szCs w:val="21"/>
          <w:highlight w:val="none"/>
        </w:rPr>
      </w:pPr>
      <w:bookmarkStart w:id="11" w:name="_Toc6318"/>
      <w:r>
        <w:rPr>
          <w:rFonts w:hint="eastAsia"/>
          <w:color w:val="auto"/>
          <w:sz w:val="21"/>
          <w:szCs w:val="21"/>
          <w:highlight w:val="none"/>
        </w:rPr>
        <w:t>1.8询比采购预备会</w:t>
      </w:r>
      <w:bookmarkEnd w:id="11"/>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供应商须知前附表规定召开询比采购预备会的，采购人按供应商须知前附表规定的时间和地点召开询比采购预备会。</w:t>
      </w:r>
    </w:p>
    <w:p>
      <w:pPr>
        <w:pStyle w:val="4"/>
        <w:shd w:val="clear"/>
        <w:rPr>
          <w:color w:val="auto"/>
          <w:sz w:val="21"/>
          <w:szCs w:val="21"/>
          <w:highlight w:val="none"/>
        </w:rPr>
      </w:pPr>
      <w:bookmarkStart w:id="12" w:name="_Toc19326"/>
      <w:r>
        <w:rPr>
          <w:rFonts w:hint="eastAsia"/>
          <w:color w:val="auto"/>
          <w:sz w:val="21"/>
          <w:szCs w:val="21"/>
          <w:highlight w:val="none"/>
        </w:rPr>
        <w:t>1.9分包</w:t>
      </w:r>
      <w:bookmarkEnd w:id="12"/>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供应商拟在成交后将成交项目的部分工作进行分包的，应符合供应商须知前附表的规定，并在响应文件中作出说明。</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分包供应商不得将分包项目再次分包。成交供应商应当就分包项目向采购人负责，分包供应商就分包项目承担连带责任。</w:t>
      </w:r>
    </w:p>
    <w:p>
      <w:pPr>
        <w:pStyle w:val="4"/>
        <w:shd w:val="clear"/>
        <w:rPr>
          <w:color w:val="auto"/>
          <w:sz w:val="21"/>
          <w:szCs w:val="21"/>
          <w:highlight w:val="none"/>
        </w:rPr>
      </w:pPr>
      <w:bookmarkStart w:id="13" w:name="_Toc22996"/>
      <w:r>
        <w:rPr>
          <w:rFonts w:hint="eastAsia"/>
          <w:color w:val="auto"/>
          <w:sz w:val="21"/>
          <w:szCs w:val="21"/>
          <w:highlight w:val="none"/>
        </w:rPr>
        <w:t>1.10响应和偏差</w:t>
      </w:r>
      <w:bookmarkEnd w:id="13"/>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1.10.1采购需求和合同条款及格式中的关键条款均以符号标记。响应文件应当对采购需求和合同条款及格式中的关键条款作出满足性或更有利于采购人的响应，否则，供应商的响应文件将被视为无效。</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1.10.2供应商须知前附表规定了对非关键条款允许偏差的范围和可以偏差的项数的，如响应文件存在的偏差超出上述范围或项数，将被视为无效。</w:t>
      </w:r>
    </w:p>
    <w:p>
      <w:pPr>
        <w:pStyle w:val="3"/>
        <w:shd w:val="clear"/>
        <w:spacing w:before="156" w:after="156"/>
        <w:rPr>
          <w:color w:val="auto"/>
          <w:sz w:val="21"/>
          <w:szCs w:val="21"/>
          <w:highlight w:val="none"/>
        </w:rPr>
      </w:pPr>
      <w:bookmarkStart w:id="14" w:name="_Toc5133"/>
      <w:r>
        <w:rPr>
          <w:rFonts w:hint="eastAsia"/>
          <w:color w:val="auto"/>
          <w:sz w:val="21"/>
          <w:szCs w:val="21"/>
          <w:highlight w:val="none"/>
        </w:rPr>
        <w:t>2采购文件</w:t>
      </w:r>
      <w:bookmarkEnd w:id="14"/>
    </w:p>
    <w:p>
      <w:pPr>
        <w:pStyle w:val="4"/>
        <w:shd w:val="clear"/>
        <w:rPr>
          <w:color w:val="auto"/>
          <w:sz w:val="21"/>
          <w:szCs w:val="21"/>
          <w:highlight w:val="none"/>
        </w:rPr>
      </w:pPr>
      <w:bookmarkStart w:id="15" w:name="_Toc17676"/>
      <w:r>
        <w:rPr>
          <w:rFonts w:hint="eastAsia"/>
          <w:color w:val="auto"/>
          <w:sz w:val="21"/>
          <w:szCs w:val="21"/>
          <w:highlight w:val="none"/>
        </w:rPr>
        <w:t>2.1采购文件的组成</w:t>
      </w:r>
      <w:bookmarkEnd w:id="15"/>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本采购文件包括：</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(1)询比采购公告(或询比采购邀请书）；</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(2)供应商须知；</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(3)评审办法；</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(4)合同条款及格式；</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(5)采购需求；</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(6)响应文件格式；</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(7)供应商须知前附表规定的其他资料。</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采购人依照本章规定，对采购文件所作的澄清、修改，构成采购文件的组成部分。 </w:t>
      </w:r>
    </w:p>
    <w:p>
      <w:pPr>
        <w:pStyle w:val="4"/>
        <w:shd w:val="clear"/>
        <w:rPr>
          <w:color w:val="auto"/>
          <w:sz w:val="21"/>
          <w:szCs w:val="21"/>
          <w:highlight w:val="none"/>
        </w:rPr>
      </w:pPr>
      <w:bookmarkStart w:id="16" w:name="_Toc25152"/>
      <w:r>
        <w:rPr>
          <w:rFonts w:hint="eastAsia"/>
          <w:color w:val="auto"/>
          <w:sz w:val="21"/>
          <w:szCs w:val="21"/>
          <w:highlight w:val="none"/>
        </w:rPr>
        <w:t>2.2采购文件的澄清和修改</w:t>
      </w:r>
      <w:bookmarkEnd w:id="16"/>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2.2.2采购人可根据供应商的要求或主动对采购文件进行澄清或修改。澄清或修改的 内容以补充文件的形式发给所有获取采购文件的供应商。采购人可视具体情况在补充文件中通知供应商推迟递交响应文件的截止时间。</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2.2.3供应商在收到补充文件后，应按供应商须知前附表规定的时间和方式通知采购人，确认已收到该补充文件。</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2.2.4除非确有必要，采购人有权拒绝回复供应商在本章第2.2.1项规定的时间后提出的任何澄清要求。</w:t>
      </w:r>
    </w:p>
    <w:p>
      <w:pPr>
        <w:pStyle w:val="3"/>
        <w:shd w:val="clear"/>
        <w:spacing w:before="156" w:after="156"/>
        <w:rPr>
          <w:color w:val="auto"/>
          <w:sz w:val="21"/>
          <w:szCs w:val="21"/>
          <w:highlight w:val="none"/>
        </w:rPr>
      </w:pPr>
      <w:bookmarkStart w:id="17" w:name="_Toc19582"/>
      <w:r>
        <w:rPr>
          <w:rFonts w:hint="eastAsia"/>
          <w:color w:val="auto"/>
          <w:sz w:val="21"/>
          <w:szCs w:val="21"/>
          <w:highlight w:val="none"/>
        </w:rPr>
        <w:t>3响应文件</w:t>
      </w:r>
      <w:bookmarkEnd w:id="17"/>
    </w:p>
    <w:p>
      <w:pPr>
        <w:pStyle w:val="4"/>
        <w:shd w:val="clear"/>
        <w:rPr>
          <w:color w:val="auto"/>
          <w:sz w:val="21"/>
          <w:szCs w:val="21"/>
          <w:highlight w:val="none"/>
        </w:rPr>
      </w:pPr>
      <w:bookmarkStart w:id="18" w:name="_Toc4324"/>
      <w:r>
        <w:rPr>
          <w:rFonts w:hint="eastAsia"/>
          <w:color w:val="auto"/>
          <w:sz w:val="21"/>
          <w:szCs w:val="21"/>
          <w:highlight w:val="none"/>
        </w:rPr>
        <w:t>3.1响应文件的组成</w:t>
      </w:r>
      <w:bookmarkEnd w:id="18"/>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3.1.1响应文件应包括下列内容：</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(1)响应函；</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(2)授权委托书(如有）；</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(3)联合体协议书(如有）；</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(4)响应保证金(如有）；</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(5)商务和技术偏差表；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(6)报价表；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(7)资格审查资料；</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(8)响应方案；</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(9)供应商须知前附表规定的其他资料。</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供应商在评审过程中作出的符合采购文件要求的澄清、说明和补正，构成响应文件的组成部分。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3.1.2供应商的法定代表人(单位负责人）亲自签署响应文件、亲自参加询比的，响 应文件不包括第3. 1.1 (2)目所指的授权委托书。第一章“询比采购公告”规定不接受联合体的，或供应商没有组成联合体的，响应文件不包括第3.1.1 (3)目所指的联合体协议书。供应商须知前附表未要求供应商递交响应保证金的，响应文件不包括第3. 1.1 (4)目所指的响应保证金。</w:t>
      </w:r>
    </w:p>
    <w:p>
      <w:pPr>
        <w:pStyle w:val="4"/>
        <w:shd w:val="clear"/>
        <w:rPr>
          <w:color w:val="auto"/>
          <w:sz w:val="21"/>
          <w:szCs w:val="21"/>
          <w:highlight w:val="none"/>
        </w:rPr>
      </w:pPr>
      <w:bookmarkStart w:id="19" w:name="_Toc8257"/>
      <w:r>
        <w:rPr>
          <w:rFonts w:hint="eastAsia"/>
          <w:color w:val="auto"/>
          <w:sz w:val="21"/>
          <w:szCs w:val="21"/>
          <w:highlight w:val="none"/>
        </w:rPr>
        <w:t>3.2报价</w:t>
      </w:r>
      <w:bookmarkEnd w:id="19"/>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 2项中选择按照含税价格或不含税价格对供应商进行价格评审。</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3.2.2供应商应充分了解采购项目的总体情况以及影响报价的其他要素。对于货物和服务采购项目，采购人在签署采购合同时及合同履行过程中，有权在供应商须知前附 表规定的幅度内对采购标的的数量进行增加或减少。</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3.2.3采购人设有最高限价的，供应商的报价不得超过最高限价。最高限价或最高限价计算方法在供应商须知前附表中载明。</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3.2.4报价的其他要求见供应商须知前附表。</w:t>
      </w:r>
    </w:p>
    <w:p>
      <w:pPr>
        <w:pStyle w:val="4"/>
        <w:shd w:val="clear"/>
        <w:rPr>
          <w:color w:val="auto"/>
          <w:sz w:val="21"/>
          <w:szCs w:val="21"/>
          <w:highlight w:val="none"/>
        </w:rPr>
      </w:pPr>
      <w:bookmarkStart w:id="20" w:name="_Toc27310"/>
      <w:r>
        <w:rPr>
          <w:rFonts w:hint="eastAsia"/>
          <w:color w:val="auto"/>
          <w:sz w:val="21"/>
          <w:szCs w:val="21"/>
          <w:highlight w:val="none"/>
        </w:rPr>
        <w:t>3.3响应文件有效期</w:t>
      </w:r>
      <w:bookmarkEnd w:id="20"/>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3.3.1除供应商须知前附表另有规定外，响应文件有效期应为90日，从采购文件规定的递交响应文件的截止时间开始计算。</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pStyle w:val="4"/>
        <w:shd w:val="clear"/>
        <w:rPr>
          <w:color w:val="auto"/>
          <w:sz w:val="21"/>
          <w:szCs w:val="21"/>
          <w:highlight w:val="none"/>
        </w:rPr>
      </w:pPr>
      <w:bookmarkStart w:id="21" w:name="_Toc14147"/>
      <w:r>
        <w:rPr>
          <w:rFonts w:hint="eastAsia"/>
          <w:color w:val="auto"/>
          <w:sz w:val="21"/>
          <w:szCs w:val="21"/>
          <w:highlight w:val="none"/>
        </w:rPr>
        <w:t>3.4响应保证金</w:t>
      </w:r>
      <w:bookmarkEnd w:id="21"/>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3.4.1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3.4.2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3.4.3有下列情形之一的，响应保证金将不予退还：</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(1)供应商在响应文件有效期内撤销响应文件；</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(2)成交供应商在收到成交通知书后，无正当理由不与采购人订立合同，在签订 合同时向采购人提出附加条件，或者不按照采购文件要求递交履约保证金；</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(3)发生供应商须知前附表规定的其他不予退还响应保证金的情形。</w:t>
      </w:r>
    </w:p>
    <w:p>
      <w:pPr>
        <w:pStyle w:val="4"/>
        <w:shd w:val="clear"/>
        <w:rPr>
          <w:color w:val="auto"/>
          <w:sz w:val="21"/>
          <w:szCs w:val="21"/>
          <w:highlight w:val="none"/>
        </w:rPr>
      </w:pPr>
      <w:bookmarkStart w:id="22" w:name="_Toc19872"/>
      <w:r>
        <w:rPr>
          <w:rFonts w:hint="eastAsia"/>
          <w:color w:val="auto"/>
          <w:sz w:val="21"/>
          <w:szCs w:val="21"/>
          <w:highlight w:val="none"/>
        </w:rPr>
        <w:t>3.5资格审查资料</w:t>
      </w:r>
      <w:bookmarkEnd w:id="22"/>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供应商应提供供应商须知前附表3. 5 (1) —3. 5 (9)中规定的资格审查资料，以证明其满足第一章“询比采购公告”对供应商的各项资格要求。</w:t>
      </w:r>
    </w:p>
    <w:p>
      <w:pPr>
        <w:pStyle w:val="4"/>
        <w:shd w:val="clear"/>
        <w:rPr>
          <w:color w:val="auto"/>
          <w:sz w:val="21"/>
          <w:szCs w:val="21"/>
          <w:highlight w:val="none"/>
        </w:rPr>
      </w:pPr>
      <w:bookmarkStart w:id="23" w:name="_Toc22312"/>
      <w:r>
        <w:rPr>
          <w:rFonts w:hint="eastAsia"/>
          <w:color w:val="auto"/>
          <w:sz w:val="21"/>
          <w:szCs w:val="21"/>
          <w:highlight w:val="none"/>
        </w:rPr>
        <w:t>3.6响应方案</w:t>
      </w:r>
      <w:bookmarkEnd w:id="23"/>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3.6.1响应文件应当对采购文件中的实质性内容作出响应。采购需求中明确为关键条款(标记“</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rPr>
        <w:t>”）的，供应商还应按照供应商须知前附表的规定提供有关证据或证明 材料。</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3.6.2供应商只能提出唯一的响应方案。供应商在响应文件中提出多个响应方案的，其响应文件将被视为无效。</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 应文件进行评审。</w:t>
      </w:r>
    </w:p>
    <w:p>
      <w:pPr>
        <w:pStyle w:val="4"/>
        <w:shd w:val="clear"/>
        <w:rPr>
          <w:color w:val="auto"/>
          <w:sz w:val="21"/>
          <w:szCs w:val="21"/>
          <w:highlight w:val="none"/>
        </w:rPr>
      </w:pPr>
      <w:bookmarkStart w:id="24" w:name="_Toc20968"/>
      <w:r>
        <w:rPr>
          <w:rFonts w:hint="eastAsia"/>
          <w:color w:val="auto"/>
          <w:sz w:val="21"/>
          <w:szCs w:val="21"/>
          <w:highlight w:val="none"/>
        </w:rPr>
        <w:t>3.7响应文件的编制</w:t>
      </w:r>
      <w:bookmarkEnd w:id="24"/>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3.7.1响应文件应按第六章“响应文件格式”进行编写，如有必要，可以增加附页，作为响应文件的组成部分。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3.7.2响应文件应用不褪色的材料书写或打印。</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响应函应由供应商的法定代表人(单位负责人）或其授权的代理人签字并加盖单位章。</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联合体协议书(如有）应由联合体各方的法定代表人(单位负责人）或其授权的代理人签字并加盖单位章。</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响应函或联合体协议书(如有）由代理人签字的，应在响应文件中附授权委托书，授权委托书应由供应商或联合体各方的法定代表人(单位负责人）签字并加盖单位章。</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3.7.3评审过程中供应商对响应文件的澄清、说明和补正应由供应商的法定代表人 (单位负责人）或其授权的代理人签字或加盖单位章。</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3.7.4响应文件应尽量避免涂改、行间插字或删除。如果出现上述情况，改动之处应由供应商的法定代表人(单位负责人）或其授权的代理人签字或加盖单位章。</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3.7.5响应文件正本一份，副本份数见供应商须知前附表。正本和副本的封面右上角应清楚地标记“正本”或“副本”的字样。供应商应根据供应商须知前附表要求提供 电子版文件。当副本和正本不一致或电子版文件和纸质正本文件不一致时，以纸质正本文件为准。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3.7.6响应文件的正本与副本应分别装订，并编制目录。响应文件需分册装订的，具体分册装订要求见供应商须知前附表规定。</w:t>
      </w:r>
    </w:p>
    <w:p>
      <w:pPr>
        <w:pStyle w:val="3"/>
        <w:shd w:val="clear"/>
        <w:spacing w:before="156" w:after="156"/>
        <w:rPr>
          <w:color w:val="auto"/>
          <w:sz w:val="21"/>
          <w:szCs w:val="21"/>
          <w:highlight w:val="none"/>
        </w:rPr>
      </w:pPr>
      <w:bookmarkStart w:id="25" w:name="_Toc25618"/>
      <w:r>
        <w:rPr>
          <w:rFonts w:hint="eastAsia"/>
          <w:color w:val="auto"/>
          <w:sz w:val="21"/>
          <w:szCs w:val="21"/>
          <w:highlight w:val="none"/>
        </w:rPr>
        <w:t>4响应文件的递交</w:t>
      </w:r>
      <w:bookmarkEnd w:id="25"/>
    </w:p>
    <w:p>
      <w:pPr>
        <w:pStyle w:val="4"/>
        <w:shd w:val="clear"/>
        <w:rPr>
          <w:color w:val="auto"/>
          <w:sz w:val="21"/>
          <w:szCs w:val="21"/>
          <w:highlight w:val="none"/>
        </w:rPr>
      </w:pPr>
      <w:bookmarkStart w:id="26" w:name="_Toc3333"/>
      <w:r>
        <w:rPr>
          <w:rFonts w:hint="eastAsia"/>
          <w:color w:val="auto"/>
          <w:sz w:val="21"/>
          <w:szCs w:val="21"/>
          <w:highlight w:val="none"/>
        </w:rPr>
        <w:t>4.1响应文件的包装与标记</w:t>
      </w:r>
      <w:bookmarkEnd w:id="26"/>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4.1.1响应文件应密封包装，未密封的响应文件，采购人将拒绝接收。</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4.1.2响应文件封套上应载明的内容见供应商须知前附表。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4.2响应文件的递交</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4.2.2除供应商须知前附表另有规定外，供应商所递交的响应文件不予退还。</w:t>
      </w:r>
    </w:p>
    <w:p>
      <w:pPr>
        <w:pStyle w:val="4"/>
        <w:shd w:val="clear"/>
        <w:rPr>
          <w:color w:val="auto"/>
          <w:sz w:val="21"/>
          <w:szCs w:val="21"/>
          <w:highlight w:val="none"/>
        </w:rPr>
      </w:pPr>
      <w:bookmarkStart w:id="27" w:name="_Toc32709"/>
      <w:r>
        <w:rPr>
          <w:rFonts w:hint="eastAsia"/>
          <w:color w:val="auto"/>
          <w:sz w:val="21"/>
          <w:szCs w:val="21"/>
          <w:highlight w:val="none"/>
        </w:rPr>
        <w:t>4.3响应文件的修改与撤回</w:t>
      </w:r>
      <w:bookmarkEnd w:id="27"/>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4.3.1在本章第4.2.1项规定的递交响应文件的截止时间前，供应商可以修改或撤回 已递交的响应文件，但应以书面形式通知采购人。</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4.3.2响应文件的修改文件或供应商撤回已递交响应文件的书面通知应由供应商的法定代表人(单位负责人）或其授权的代理人签字并加盖单位章。采购人收到供应商修， 改响应文件的书面文件后，向供应商出具接收凭证；采购人收到供应商撤回响应文件 的书面通知后，退回供应商的响应文件。</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4.3.3除供应商须知前附表另有规定外，供应商撤回响应文件的，采购人应在5日内 退还已收取的响应保证金。</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4.3.4修改的内容为响应文件的组成部分。响应文件的修改文件应按照本章第3条、第4条的规定进行编制、包装、标记和递交，并标明“修改”字样。</w:t>
      </w:r>
    </w:p>
    <w:p>
      <w:pPr>
        <w:pStyle w:val="3"/>
        <w:shd w:val="clear"/>
        <w:spacing w:before="156" w:after="156"/>
        <w:rPr>
          <w:color w:val="auto"/>
          <w:sz w:val="21"/>
          <w:szCs w:val="21"/>
          <w:highlight w:val="none"/>
        </w:rPr>
      </w:pPr>
      <w:bookmarkStart w:id="28" w:name="_Toc31465"/>
      <w:r>
        <w:rPr>
          <w:rFonts w:hint="eastAsia"/>
          <w:color w:val="auto"/>
          <w:sz w:val="21"/>
          <w:szCs w:val="21"/>
          <w:highlight w:val="none"/>
        </w:rPr>
        <w:t>5开启响应文件</w:t>
      </w:r>
      <w:bookmarkEnd w:id="28"/>
    </w:p>
    <w:p>
      <w:pPr>
        <w:pStyle w:val="4"/>
        <w:shd w:val="clear"/>
        <w:rPr>
          <w:color w:val="auto"/>
          <w:sz w:val="21"/>
          <w:szCs w:val="21"/>
          <w:highlight w:val="none"/>
        </w:rPr>
      </w:pPr>
      <w:bookmarkStart w:id="29" w:name="_Toc31424"/>
      <w:r>
        <w:rPr>
          <w:rFonts w:hint="eastAsia"/>
          <w:color w:val="auto"/>
          <w:sz w:val="21"/>
          <w:szCs w:val="21"/>
          <w:highlight w:val="none"/>
        </w:rPr>
        <w:t>5.1开启响应文件的时间和地点</w:t>
      </w:r>
      <w:bookmarkEnd w:id="29"/>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pStyle w:val="4"/>
        <w:shd w:val="clear"/>
        <w:rPr>
          <w:color w:val="auto"/>
          <w:sz w:val="21"/>
          <w:szCs w:val="21"/>
          <w:highlight w:val="none"/>
        </w:rPr>
      </w:pPr>
      <w:bookmarkStart w:id="30" w:name="_Toc9505"/>
      <w:r>
        <w:rPr>
          <w:rFonts w:hint="eastAsia"/>
          <w:color w:val="auto"/>
          <w:sz w:val="21"/>
          <w:szCs w:val="21"/>
          <w:highlight w:val="none"/>
        </w:rPr>
        <w:t>5.2开启程序</w:t>
      </w:r>
      <w:bookmarkEnd w:id="30"/>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主持人按下列程序公开开启响应文件：</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(1)宣布开启会议纪律；</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(2)宣布参加开启会议的工作人员姓名；</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(3)供应商代表检查确认响应文件的密封情况；</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(4)按照供应商须知前附表规定的开启顺序开启响应文件，公布递交响应文件的供应商名称、响应报价及供应商须知前附表规定的其他应公布的信息，并记录在案；</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(5)供应商代表及相关工作人员等在响应文件开启记录上签字确认；</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(6)宣布有关注意事项；</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(7)开启会议结束。</w:t>
      </w:r>
    </w:p>
    <w:p>
      <w:pPr>
        <w:pStyle w:val="4"/>
        <w:shd w:val="clear"/>
        <w:rPr>
          <w:color w:val="auto"/>
          <w:sz w:val="21"/>
          <w:szCs w:val="21"/>
          <w:highlight w:val="none"/>
        </w:rPr>
      </w:pPr>
      <w:bookmarkStart w:id="31" w:name="_Toc28481"/>
      <w:r>
        <w:rPr>
          <w:rFonts w:hint="eastAsia"/>
          <w:color w:val="auto"/>
          <w:sz w:val="21"/>
          <w:szCs w:val="21"/>
          <w:highlight w:val="none"/>
        </w:rPr>
        <w:t>5.3递交响应文件的供应商不足的情形</w:t>
      </w:r>
      <w:bookmarkEnd w:id="31"/>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采购项目选择一家成交供应商时，递交响应文件的供应商数量不足三家的或采购项目选择多家成交供应商时，递交响应文件的供应商数量少于3家，采购人可按照下述情形分别处理：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(1)终止询比并重新组织采购</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采购项目存在影响公平竞争情形的，采购人应当终止询比采购，并根据不同情形和原因，采取相应纠正措施，重新组织采购。</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采购项目不存在影响公平竞争情形的，采购人也可以选择终止询比采购，采取相应完善措施，重新组织采购。</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(2)继续询比采购</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采购项目不存在应该终止询比情形，且采购人也没有自行选择终止询比采购的，采购人应按照本章第5. 2款规定的程序继续开启响应文件，并按第三章“评审办法”规定的规则组织响应文件评审，完成询比采购后续程序。</w:t>
      </w:r>
    </w:p>
    <w:p>
      <w:pPr>
        <w:pStyle w:val="3"/>
        <w:shd w:val="clear"/>
        <w:spacing w:before="156" w:after="156"/>
        <w:rPr>
          <w:color w:val="auto"/>
          <w:sz w:val="21"/>
          <w:szCs w:val="21"/>
          <w:highlight w:val="none"/>
        </w:rPr>
      </w:pPr>
      <w:bookmarkStart w:id="32" w:name="_Toc8270"/>
      <w:r>
        <w:rPr>
          <w:rFonts w:hint="eastAsia"/>
          <w:color w:val="auto"/>
          <w:sz w:val="21"/>
          <w:szCs w:val="21"/>
          <w:highlight w:val="none"/>
        </w:rPr>
        <w:t>6评审</w:t>
      </w:r>
      <w:bookmarkEnd w:id="32"/>
    </w:p>
    <w:p>
      <w:pPr>
        <w:pStyle w:val="4"/>
        <w:shd w:val="clear"/>
        <w:rPr>
          <w:color w:val="auto"/>
          <w:sz w:val="21"/>
          <w:szCs w:val="21"/>
          <w:highlight w:val="none"/>
        </w:rPr>
      </w:pPr>
      <w:bookmarkStart w:id="33" w:name="_Toc23887"/>
      <w:r>
        <w:rPr>
          <w:rFonts w:hint="eastAsia"/>
          <w:color w:val="auto"/>
          <w:sz w:val="21"/>
          <w:szCs w:val="21"/>
          <w:highlight w:val="none"/>
        </w:rPr>
        <w:t>6.1评审小组</w:t>
      </w:r>
      <w:bookmarkEnd w:id="33"/>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6.1.1评审由采购人组建的评审小组负责。</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 1.2评审小组成员有下列情形之一的，应当回避：</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(1)供应商主要负责人或供应商主要负责人的近亲属；</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与供应商有经济利益关系或其他利害关系，可能影响公正评审的。</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6.1.评审小组组建后，评审小组成员共同推选或由采购人指定评审小组组长，评审小组组长负责组织评审工作。</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pStyle w:val="4"/>
        <w:shd w:val="clear"/>
        <w:rPr>
          <w:color w:val="auto"/>
          <w:sz w:val="21"/>
          <w:szCs w:val="21"/>
          <w:highlight w:val="none"/>
        </w:rPr>
      </w:pPr>
      <w:bookmarkStart w:id="34" w:name="_Toc31358"/>
      <w:r>
        <w:rPr>
          <w:rFonts w:hint="eastAsia"/>
          <w:color w:val="auto"/>
          <w:sz w:val="21"/>
          <w:szCs w:val="21"/>
          <w:highlight w:val="none"/>
        </w:rPr>
        <w:t>6.2评审</w:t>
      </w:r>
      <w:bookmarkEnd w:id="34"/>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6.2.1评审小组按照第三章“评审办法”规定的评审标准和程序对响应文件进行评审和比较。</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6.2.2评审完成后，评审小组应当向采购人提交书面评审报告和候选成交供应商名单。评审小组推荐候选成交供应商的排序要求及数量见供应商须知前附表。</w:t>
      </w:r>
    </w:p>
    <w:p>
      <w:pPr>
        <w:pStyle w:val="3"/>
        <w:shd w:val="clear"/>
        <w:spacing w:before="156" w:after="156"/>
        <w:rPr>
          <w:color w:val="auto"/>
          <w:sz w:val="21"/>
          <w:szCs w:val="21"/>
          <w:highlight w:val="none"/>
        </w:rPr>
      </w:pPr>
      <w:bookmarkStart w:id="35" w:name="_Toc6215"/>
      <w:r>
        <w:rPr>
          <w:rFonts w:hint="eastAsia"/>
          <w:color w:val="auto"/>
          <w:sz w:val="21"/>
          <w:szCs w:val="21"/>
          <w:highlight w:val="none"/>
        </w:rPr>
        <w:t>7合同授予</w:t>
      </w:r>
      <w:bookmarkEnd w:id="35"/>
    </w:p>
    <w:p>
      <w:pPr>
        <w:pStyle w:val="4"/>
        <w:shd w:val="clear"/>
        <w:rPr>
          <w:color w:val="auto"/>
          <w:sz w:val="21"/>
          <w:szCs w:val="21"/>
          <w:highlight w:val="none"/>
        </w:rPr>
      </w:pPr>
      <w:bookmarkStart w:id="36" w:name="_Toc18719"/>
      <w:r>
        <w:rPr>
          <w:rFonts w:hint="eastAsia"/>
          <w:color w:val="auto"/>
          <w:sz w:val="21"/>
          <w:szCs w:val="21"/>
          <w:highlight w:val="none"/>
        </w:rPr>
        <w:t>7.1候选成交供应商履约能力核查</w:t>
      </w:r>
      <w:bookmarkEnd w:id="36"/>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采购人可对候选成交供应商的相关证明材料原件进行核验或组织现场考察，以确认候选成交供应商的生产经营、财务等实际状况与响应文件是否一致及是否存在其他 可能影响供应商履约能力的情况。核查结果将作为采购人选择确定预成交供应商的依据之一。</w:t>
      </w:r>
    </w:p>
    <w:p>
      <w:pPr>
        <w:pStyle w:val="4"/>
        <w:shd w:val="clear"/>
        <w:rPr>
          <w:color w:val="auto"/>
          <w:sz w:val="21"/>
          <w:szCs w:val="21"/>
          <w:highlight w:val="none"/>
        </w:rPr>
      </w:pPr>
      <w:bookmarkStart w:id="37" w:name="_Toc6512"/>
      <w:r>
        <w:rPr>
          <w:rFonts w:hint="eastAsia"/>
          <w:color w:val="auto"/>
          <w:sz w:val="21"/>
          <w:szCs w:val="21"/>
          <w:highlight w:val="none"/>
        </w:rPr>
        <w:t>7.2确定预成交供应商</w:t>
      </w:r>
      <w:bookmarkEnd w:id="37"/>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采购人将根据评审报告及核查结果(如有），对候选成交供应商综合评估后从中选择确定预成交供应商。</w:t>
      </w:r>
    </w:p>
    <w:p>
      <w:pPr>
        <w:pStyle w:val="4"/>
        <w:shd w:val="clear"/>
        <w:rPr>
          <w:color w:val="auto"/>
          <w:sz w:val="21"/>
          <w:szCs w:val="21"/>
          <w:highlight w:val="none"/>
        </w:rPr>
      </w:pPr>
      <w:bookmarkStart w:id="38" w:name="_Toc15260"/>
      <w:r>
        <w:rPr>
          <w:rFonts w:hint="eastAsia"/>
          <w:color w:val="auto"/>
          <w:sz w:val="21"/>
          <w:szCs w:val="21"/>
          <w:highlight w:val="none"/>
        </w:rPr>
        <w:t>7.3成交结果公示</w:t>
      </w:r>
      <w:bookmarkEnd w:id="38"/>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成交供应商选定后，采购人将按照供应商须知前附表规定的公示媒介和公示期限进行公示，公示信息包括如下内容：</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(1)所有成交供应商名称、响应价格及工期/交货期/服务期限；</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(2)成交供应商名称、预成交份额(如有）及选择原因；</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(3)供应商须知前附表规定的其他内容。</w:t>
      </w:r>
    </w:p>
    <w:p>
      <w:pPr>
        <w:pStyle w:val="4"/>
        <w:shd w:val="clear"/>
        <w:rPr>
          <w:color w:val="auto"/>
          <w:sz w:val="21"/>
          <w:szCs w:val="21"/>
          <w:highlight w:val="none"/>
        </w:rPr>
      </w:pPr>
      <w:bookmarkStart w:id="39" w:name="_Toc10413"/>
      <w:r>
        <w:rPr>
          <w:rFonts w:hint="eastAsia"/>
          <w:color w:val="auto"/>
          <w:sz w:val="21"/>
          <w:szCs w:val="21"/>
          <w:highlight w:val="none"/>
        </w:rPr>
        <w:t>7.4发出成交通知书</w:t>
      </w:r>
      <w:bookmarkEnd w:id="39"/>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公示期结束后，在本章第3.3款规定的响应文件有效期内，采购人以书面形式向预成交供应商发出成交通知书。</w:t>
      </w:r>
    </w:p>
    <w:p>
      <w:pPr>
        <w:pStyle w:val="4"/>
        <w:shd w:val="clear"/>
        <w:rPr>
          <w:color w:val="auto"/>
          <w:sz w:val="21"/>
          <w:szCs w:val="21"/>
          <w:highlight w:val="none"/>
        </w:rPr>
      </w:pPr>
      <w:bookmarkStart w:id="40" w:name="_Toc32749"/>
      <w:r>
        <w:rPr>
          <w:rFonts w:hint="eastAsia"/>
          <w:color w:val="auto"/>
          <w:sz w:val="21"/>
          <w:szCs w:val="21"/>
          <w:highlight w:val="none"/>
        </w:rPr>
        <w:t>7.5履约保证金</w:t>
      </w:r>
      <w:bookmarkEnd w:id="40"/>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供应商须知前附表规定递交履约保证金的，成交供应商应按供应商须知前附表规定的形式、有效期限和递交时间向采购人递交履约保证金。除供应商须知前附表另有规定外，履约保证金为采购合同金额的3%。</w:t>
      </w:r>
    </w:p>
    <w:p>
      <w:pPr>
        <w:pStyle w:val="4"/>
        <w:shd w:val="clear"/>
        <w:rPr>
          <w:color w:val="auto"/>
          <w:sz w:val="21"/>
          <w:szCs w:val="21"/>
          <w:highlight w:val="none"/>
        </w:rPr>
      </w:pPr>
      <w:bookmarkStart w:id="41" w:name="_Toc4934"/>
      <w:r>
        <w:rPr>
          <w:rFonts w:hint="eastAsia"/>
          <w:color w:val="auto"/>
          <w:sz w:val="21"/>
          <w:szCs w:val="21"/>
          <w:highlight w:val="none"/>
        </w:rPr>
        <w:t>7.6签订合同</w:t>
      </w:r>
      <w:bookmarkEnd w:id="41"/>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7.6.1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7.6.2发出成交通知书后，采购人无正当理由拒绝签订合同，或者在签订合同时向成交供应商提出附加条件的，采购人向成交供应商退还响应保证金；给成交供应商造成损失的，还应当赔偿损失。</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7.6.3联合体成交的，联合体各方应当共同与采购人签订合同，就成交项目向采购人承担连带责任。</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7.6.4除供应商须知前附表另有规定外，按照第三章“评审办法”第2.2.3项规定对 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pStyle w:val="4"/>
        <w:shd w:val="clear"/>
        <w:rPr>
          <w:color w:val="auto"/>
          <w:sz w:val="21"/>
          <w:szCs w:val="21"/>
          <w:highlight w:val="none"/>
        </w:rPr>
      </w:pPr>
      <w:bookmarkStart w:id="42" w:name="_Toc28830"/>
      <w:r>
        <w:rPr>
          <w:rFonts w:hint="eastAsia"/>
          <w:color w:val="auto"/>
          <w:sz w:val="21"/>
          <w:szCs w:val="21"/>
          <w:highlight w:val="none"/>
        </w:rPr>
        <w:t>7.8特殊情形处理</w:t>
      </w:r>
      <w:bookmarkEnd w:id="42"/>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pStyle w:val="3"/>
        <w:shd w:val="clear"/>
        <w:spacing w:before="156" w:after="156"/>
        <w:rPr>
          <w:color w:val="auto"/>
          <w:sz w:val="21"/>
          <w:szCs w:val="21"/>
          <w:highlight w:val="none"/>
        </w:rPr>
      </w:pPr>
      <w:bookmarkStart w:id="43" w:name="_Toc10839"/>
      <w:r>
        <w:rPr>
          <w:rFonts w:hint="eastAsia"/>
          <w:color w:val="auto"/>
          <w:sz w:val="21"/>
          <w:szCs w:val="21"/>
          <w:highlight w:val="none"/>
        </w:rPr>
        <w:t>8异议</w:t>
      </w:r>
      <w:bookmarkEnd w:id="43"/>
      <w:r>
        <w:rPr>
          <w:rFonts w:hint="eastAsia"/>
          <w:color w:val="auto"/>
          <w:sz w:val="21"/>
          <w:szCs w:val="21"/>
          <w:highlight w:val="none"/>
        </w:rPr>
        <w:t xml:space="preserve"> </w:t>
      </w:r>
    </w:p>
    <w:p>
      <w:pPr>
        <w:pStyle w:val="4"/>
        <w:shd w:val="clear"/>
        <w:rPr>
          <w:color w:val="auto"/>
          <w:sz w:val="21"/>
          <w:szCs w:val="21"/>
          <w:highlight w:val="none"/>
        </w:rPr>
      </w:pPr>
      <w:bookmarkStart w:id="44" w:name="_Toc29"/>
      <w:r>
        <w:rPr>
          <w:rFonts w:hint="eastAsia"/>
          <w:color w:val="auto"/>
          <w:sz w:val="21"/>
          <w:szCs w:val="21"/>
          <w:highlight w:val="none"/>
        </w:rPr>
        <w:t>8.1提出异议</w:t>
      </w:r>
      <w:bookmarkEnd w:id="44"/>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供应商或者其他利害关系人可以对预成交结果提出异议。异议应在预成交结果公示期间通过供应商须知前附表规定的异议渠道提出，并递交异议函和必要的证明材料。异议函包括但不限于下列内容：</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(1)异议人名称、地址、邮政编码、联系人及联系电话；</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(2)具体、明确的异议事项、事实依据及与异议事项相关的请求。</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异¥函应由异议人的法定代表人(单位负责人）或其授权的代理人签字并加盖单位章。</w:t>
      </w:r>
    </w:p>
    <w:p>
      <w:pPr>
        <w:pStyle w:val="4"/>
        <w:shd w:val="clear"/>
        <w:rPr>
          <w:color w:val="auto"/>
          <w:sz w:val="21"/>
          <w:szCs w:val="21"/>
          <w:highlight w:val="none"/>
        </w:rPr>
      </w:pPr>
      <w:bookmarkStart w:id="45" w:name="_Toc19821"/>
      <w:r>
        <w:rPr>
          <w:rFonts w:hint="eastAsia"/>
          <w:color w:val="auto"/>
          <w:sz w:val="21"/>
          <w:szCs w:val="21"/>
          <w:highlight w:val="none"/>
        </w:rPr>
        <w:t>8.2异议处理</w:t>
      </w:r>
      <w:bookmarkEnd w:id="45"/>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采购人将针对异议事项进行核查，经过核查，发现异议人对相关问题理解有误的，应作出解释；发现采购活动中确实存在错误或不当行为的，应及时予以改正或补救。</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异议人与采购人对异议事项无法达成一致的，异议人可向供应商须知前附表规定的行业组织或专业咨询机构申请调解或进行反映。</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采购人认为异议不成立或不影响采购结果的，可以继续进行采购活动。</w:t>
      </w:r>
    </w:p>
    <w:p>
      <w:pPr>
        <w:pStyle w:val="3"/>
        <w:shd w:val="clear"/>
        <w:spacing w:before="156" w:after="156"/>
        <w:rPr>
          <w:color w:val="auto"/>
          <w:sz w:val="21"/>
          <w:szCs w:val="21"/>
          <w:highlight w:val="none"/>
        </w:rPr>
      </w:pPr>
      <w:bookmarkStart w:id="46" w:name="_Toc13124"/>
      <w:r>
        <w:rPr>
          <w:rFonts w:hint="eastAsia"/>
          <w:color w:val="auto"/>
          <w:sz w:val="21"/>
          <w:szCs w:val="21"/>
          <w:highlight w:val="none"/>
        </w:rPr>
        <w:t>9纪律要求</w:t>
      </w:r>
      <w:bookmarkEnd w:id="46"/>
    </w:p>
    <w:p>
      <w:pPr>
        <w:pStyle w:val="4"/>
        <w:shd w:val="clear"/>
        <w:rPr>
          <w:color w:val="auto"/>
          <w:sz w:val="21"/>
          <w:szCs w:val="21"/>
          <w:highlight w:val="none"/>
        </w:rPr>
      </w:pPr>
      <w:bookmarkStart w:id="47" w:name="_Toc11096"/>
      <w:r>
        <w:rPr>
          <w:rFonts w:hint="eastAsia"/>
          <w:color w:val="auto"/>
          <w:sz w:val="21"/>
          <w:szCs w:val="21"/>
          <w:highlight w:val="none"/>
        </w:rPr>
        <w:t>9.1对采购人的纪律要求</w:t>
      </w:r>
      <w:bookmarkEnd w:id="47"/>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采购人不得泄露询比采购活动中应当保密的情况和资料，不得与供应商串通损害 国家利益、社会公共利益或者他人合法权益。</w:t>
      </w:r>
    </w:p>
    <w:p>
      <w:pPr>
        <w:pStyle w:val="4"/>
        <w:shd w:val="clear"/>
        <w:rPr>
          <w:color w:val="auto"/>
          <w:sz w:val="21"/>
          <w:szCs w:val="21"/>
          <w:highlight w:val="none"/>
        </w:rPr>
      </w:pPr>
      <w:bookmarkStart w:id="48" w:name="_Toc19843"/>
      <w:r>
        <w:rPr>
          <w:rFonts w:hint="eastAsia"/>
          <w:color w:val="auto"/>
          <w:sz w:val="21"/>
          <w:szCs w:val="21"/>
          <w:highlight w:val="none"/>
        </w:rPr>
        <w:t>9.2对供应商的纪律要求</w:t>
      </w:r>
      <w:bookmarkEnd w:id="48"/>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供应商不得相互串通或者与采购人串通，不得向采购人或者评审小组成员行贿谋取成交，不得以他人名义参加询比采购活动或者以其他方式弄虚作假骗取成交；供应商不得以任何方式干扰、影响评审工作。</w:t>
      </w:r>
    </w:p>
    <w:p>
      <w:pPr>
        <w:pStyle w:val="4"/>
        <w:shd w:val="clear"/>
        <w:rPr>
          <w:color w:val="auto"/>
          <w:sz w:val="21"/>
          <w:szCs w:val="21"/>
          <w:highlight w:val="none"/>
        </w:rPr>
      </w:pPr>
      <w:bookmarkStart w:id="49" w:name="_Toc29243"/>
      <w:r>
        <w:rPr>
          <w:rFonts w:hint="eastAsia"/>
          <w:color w:val="auto"/>
          <w:sz w:val="21"/>
          <w:szCs w:val="21"/>
          <w:highlight w:val="none"/>
        </w:rPr>
        <w:t>9.3对评审小组成员的纪律要求</w:t>
      </w:r>
      <w:bookmarkEnd w:id="49"/>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 </w:t>
      </w:r>
    </w:p>
    <w:p>
      <w:pPr>
        <w:pStyle w:val="4"/>
        <w:shd w:val="clear"/>
        <w:rPr>
          <w:color w:val="auto"/>
          <w:sz w:val="21"/>
          <w:szCs w:val="21"/>
          <w:highlight w:val="none"/>
        </w:rPr>
      </w:pPr>
      <w:bookmarkStart w:id="50" w:name="_Toc8985"/>
      <w:r>
        <w:rPr>
          <w:rFonts w:hint="eastAsia"/>
          <w:color w:val="auto"/>
          <w:sz w:val="21"/>
          <w:szCs w:val="21"/>
          <w:highlight w:val="none"/>
        </w:rPr>
        <w:t>9.4对与询比活动有关的工作人员的纪律要求</w:t>
      </w:r>
      <w:bookmarkEnd w:id="50"/>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pPr>
        <w:pStyle w:val="3"/>
        <w:shd w:val="clear"/>
        <w:spacing w:before="156" w:after="156"/>
        <w:rPr>
          <w:color w:val="auto"/>
          <w:sz w:val="21"/>
          <w:szCs w:val="21"/>
          <w:highlight w:val="none"/>
        </w:rPr>
      </w:pPr>
      <w:bookmarkStart w:id="51" w:name="_Toc12635"/>
      <w:r>
        <w:rPr>
          <w:rFonts w:hint="eastAsia"/>
          <w:color w:val="auto"/>
          <w:sz w:val="21"/>
          <w:szCs w:val="21"/>
          <w:highlight w:val="none"/>
        </w:rPr>
        <w:t>10需要补充的其他内容</w:t>
      </w:r>
      <w:bookmarkEnd w:id="51"/>
    </w:p>
    <w:p>
      <w:pPr>
        <w:pStyle w:val="4"/>
        <w:shd w:val="clear"/>
        <w:rPr>
          <w:color w:val="auto"/>
          <w:sz w:val="21"/>
          <w:szCs w:val="21"/>
          <w:highlight w:val="none"/>
        </w:rPr>
      </w:pPr>
      <w:bookmarkStart w:id="52" w:name="_Toc27187"/>
      <w:r>
        <w:rPr>
          <w:rFonts w:hint="eastAsia"/>
          <w:color w:val="auto"/>
          <w:sz w:val="21"/>
          <w:szCs w:val="21"/>
          <w:highlight w:val="none"/>
        </w:rPr>
        <w:t>10.1采购代理服务费</w:t>
      </w:r>
      <w:bookmarkEnd w:id="52"/>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供应商须知前附表规定由供应商承担采购代理服务费的，供应商应按照供应商须知前附表规定的费用标准或金额、交费时间和方式向采购代理机构支付代理服务费。 </w:t>
      </w:r>
    </w:p>
    <w:p>
      <w:pPr>
        <w:pStyle w:val="4"/>
        <w:shd w:val="clear"/>
        <w:rPr>
          <w:color w:val="auto"/>
          <w:sz w:val="21"/>
          <w:szCs w:val="21"/>
          <w:highlight w:val="none"/>
        </w:rPr>
      </w:pPr>
      <w:bookmarkStart w:id="53" w:name="_Toc582"/>
      <w:r>
        <w:rPr>
          <w:rFonts w:hint="eastAsia"/>
          <w:color w:val="auto"/>
          <w:sz w:val="21"/>
          <w:szCs w:val="21"/>
          <w:highlight w:val="none"/>
        </w:rPr>
        <w:t>10.2其他</w:t>
      </w:r>
      <w:bookmarkEnd w:id="53"/>
    </w:p>
    <w:p>
      <w:pPr>
        <w:shd w:val="clear"/>
        <w:spacing w:line="360" w:lineRule="auto"/>
        <w:ind w:firstLine="420" w:firstLineChars="200"/>
        <w:rPr>
          <w:rFonts w:ascii="Times New Roman" w:hAnsi="Times New Roman" w:eastAsia="宋体"/>
          <w:color w:val="auto"/>
          <w:sz w:val="24"/>
          <w:highlight w:val="none"/>
        </w:rPr>
      </w:pPr>
      <w:r>
        <w:rPr>
          <w:rFonts w:hint="eastAsia" w:ascii="Times New Roman" w:hAnsi="Times New Roman" w:eastAsia="宋体"/>
          <w:color w:val="auto"/>
          <w:szCs w:val="21"/>
          <w:highlight w:val="none"/>
        </w:rPr>
        <w:t>需要补充的其他内容：见供应商须知前附表。</w:t>
      </w:r>
    </w:p>
    <w:p>
      <w:pPr>
        <w:shd w:val="clear"/>
        <w:spacing w:line="360" w:lineRule="auto"/>
        <w:ind w:firstLine="480" w:firstLineChars="200"/>
        <w:rPr>
          <w:rFonts w:ascii="Times New Roman" w:hAnsi="Times New Roman" w:eastAsia="宋体"/>
          <w:color w:val="auto"/>
          <w:sz w:val="24"/>
          <w:highlight w:val="none"/>
        </w:rPr>
        <w:sectPr>
          <w:footerReference r:id="rId5" w:type="default"/>
          <w:pgSz w:w="11906" w:h="16838"/>
          <w:pgMar w:top="1440" w:right="1080" w:bottom="1440" w:left="1080" w:header="851" w:footer="992" w:gutter="0"/>
          <w:cols w:space="425" w:num="1"/>
          <w:docGrid w:type="lines" w:linePitch="312" w:charSpace="0"/>
        </w:sectPr>
      </w:pPr>
    </w:p>
    <w:p>
      <w:pPr>
        <w:pStyle w:val="2"/>
        <w:shd w:val="clear"/>
        <w:spacing w:before="312" w:after="312"/>
        <w:rPr>
          <w:color w:val="auto"/>
          <w:highlight w:val="none"/>
        </w:rPr>
      </w:pPr>
      <w:bookmarkStart w:id="54" w:name="_Toc27118"/>
      <w:r>
        <w:rPr>
          <w:rFonts w:hint="eastAsia"/>
          <w:color w:val="auto"/>
          <w:highlight w:val="none"/>
        </w:rPr>
        <w:t>第三章  评审办法</w:t>
      </w:r>
      <w:bookmarkEnd w:id="54"/>
    </w:p>
    <w:p>
      <w:pPr>
        <w:pStyle w:val="3"/>
        <w:shd w:val="clear"/>
        <w:spacing w:before="156" w:after="156"/>
        <w:jc w:val="center"/>
        <w:rPr>
          <w:color w:val="auto"/>
          <w:highlight w:val="none"/>
        </w:rPr>
      </w:pPr>
      <w:bookmarkStart w:id="55" w:name="bookmark50"/>
      <w:bookmarkStart w:id="56" w:name="_Toc31810"/>
      <w:r>
        <w:rPr>
          <w:rFonts w:hint="eastAsia"/>
          <w:color w:val="auto"/>
          <w:highlight w:val="none"/>
        </w:rPr>
        <w:t>评审办法前附表</w:t>
      </w:r>
      <w:bookmarkEnd w:id="55"/>
      <w:bookmarkEnd w:id="56"/>
    </w:p>
    <w:tbl>
      <w:tblPr>
        <w:tblStyle w:val="29"/>
        <w:tblW w:w="9958" w:type="dxa"/>
        <w:tblInd w:w="-151" w:type="dxa"/>
        <w:tblLayout w:type="fixed"/>
        <w:tblCellMar>
          <w:top w:w="0" w:type="dxa"/>
          <w:left w:w="10" w:type="dxa"/>
          <w:bottom w:w="0" w:type="dxa"/>
          <w:right w:w="10" w:type="dxa"/>
        </w:tblCellMar>
      </w:tblPr>
      <w:tblGrid>
        <w:gridCol w:w="698"/>
        <w:gridCol w:w="1021"/>
        <w:gridCol w:w="2548"/>
        <w:gridCol w:w="5691"/>
      </w:tblGrid>
      <w:tr>
        <w:tblPrEx>
          <w:tblCellMar>
            <w:top w:w="0" w:type="dxa"/>
            <w:left w:w="10" w:type="dxa"/>
            <w:bottom w:w="0" w:type="dxa"/>
            <w:right w:w="10" w:type="dxa"/>
          </w:tblCellMar>
        </w:tblPrEx>
        <w:trPr>
          <w:trHeight w:val="150" w:hRule="atLeast"/>
        </w:trPr>
        <w:tc>
          <w:tcPr>
            <w:tcW w:w="1719" w:type="dxa"/>
            <w:gridSpan w:val="2"/>
            <w:tcBorders>
              <w:top w:val="single" w:color="auto" w:sz="4" w:space="0"/>
              <w:left w:val="single" w:color="auto" w:sz="4" w:space="0"/>
              <w:bottom w:val="nil"/>
              <w:right w:val="nil"/>
            </w:tcBorders>
            <w:shd w:val="clear" w:color="auto" w:fill="FFFFFF"/>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条款号及名称</w:t>
            </w:r>
          </w:p>
        </w:tc>
        <w:tc>
          <w:tcPr>
            <w:tcW w:w="2548" w:type="dxa"/>
            <w:tcBorders>
              <w:top w:val="single" w:color="auto" w:sz="4" w:space="0"/>
              <w:left w:val="single" w:color="auto" w:sz="4" w:space="0"/>
              <w:bottom w:val="nil"/>
              <w:right w:val="nil"/>
            </w:tcBorders>
            <w:shd w:val="clear" w:color="auto" w:fill="FFFFFF"/>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评审因素</w:t>
            </w:r>
          </w:p>
        </w:tc>
        <w:tc>
          <w:tcPr>
            <w:tcW w:w="5691" w:type="dxa"/>
            <w:tcBorders>
              <w:top w:val="single" w:color="auto" w:sz="4" w:space="0"/>
              <w:left w:val="single" w:color="auto" w:sz="4" w:space="0"/>
              <w:bottom w:val="nil"/>
              <w:right w:val="single" w:color="auto" w:sz="4" w:space="0"/>
            </w:tcBorders>
            <w:shd w:val="clear" w:color="auto" w:fill="FFFFFF"/>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评审标准</w:t>
            </w:r>
          </w:p>
        </w:tc>
      </w:tr>
      <w:tr>
        <w:tblPrEx>
          <w:tblCellMar>
            <w:top w:w="0" w:type="dxa"/>
            <w:left w:w="10" w:type="dxa"/>
            <w:bottom w:w="0" w:type="dxa"/>
            <w:right w:w="10" w:type="dxa"/>
          </w:tblCellMar>
        </w:tblPrEx>
        <w:trPr>
          <w:trHeight w:val="286" w:hRule="atLeast"/>
        </w:trPr>
        <w:tc>
          <w:tcPr>
            <w:tcW w:w="698" w:type="dxa"/>
            <w:tcBorders>
              <w:top w:val="single" w:color="auto" w:sz="4" w:space="0"/>
              <w:left w:val="single" w:color="auto" w:sz="4" w:space="0"/>
              <w:bottom w:val="nil"/>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1</w:t>
            </w:r>
          </w:p>
        </w:tc>
        <w:tc>
          <w:tcPr>
            <w:tcW w:w="1021" w:type="dxa"/>
            <w:tcBorders>
              <w:top w:val="single" w:color="auto" w:sz="4" w:space="0"/>
              <w:left w:val="single" w:color="auto" w:sz="4" w:space="0"/>
              <w:bottom w:val="nil"/>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评审方法</w:t>
            </w:r>
          </w:p>
        </w:tc>
        <w:tc>
          <w:tcPr>
            <w:tcW w:w="2548" w:type="dxa"/>
            <w:tcBorders>
              <w:top w:val="single" w:color="auto" w:sz="4" w:space="0"/>
              <w:left w:val="single" w:color="auto" w:sz="4" w:space="0"/>
              <w:bottom w:val="nil"/>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评审方法</w:t>
            </w:r>
          </w:p>
        </w:tc>
        <w:tc>
          <w:tcPr>
            <w:tcW w:w="5691" w:type="dxa"/>
            <w:tcBorders>
              <w:top w:val="single" w:color="auto" w:sz="4" w:space="0"/>
              <w:left w:val="single" w:color="auto" w:sz="4" w:space="0"/>
              <w:bottom w:val="nil"/>
              <w:right w:val="single" w:color="auto" w:sz="4" w:space="0"/>
            </w:tcBorders>
            <w:shd w:val="clear" w:color="auto" w:fill="FFFFFF"/>
            <w:vAlign w:val="center"/>
          </w:tcPr>
          <w:p>
            <w:pPr>
              <w:shd w:val="clear"/>
              <w:spacing w:line="276"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□最低价法 </w:t>
            </w:r>
          </w:p>
          <w:p>
            <w:pPr>
              <w:shd w:val="clear"/>
              <w:spacing w:line="276" w:lineRule="auto"/>
              <w:ind w:firstLine="420" w:firstLineChars="200"/>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sym w:font="Wingdings 2" w:char="0052"/>
            </w:r>
            <w:r>
              <w:rPr>
                <w:rFonts w:hint="eastAsia" w:ascii="Times New Roman" w:hAnsi="Times New Roman" w:eastAsia="宋体"/>
                <w:color w:val="auto"/>
                <w:szCs w:val="21"/>
                <w:highlight w:val="none"/>
              </w:rPr>
              <w:t>综合评分法</w:t>
            </w:r>
          </w:p>
        </w:tc>
      </w:tr>
      <w:tr>
        <w:tblPrEx>
          <w:tblCellMar>
            <w:top w:w="0" w:type="dxa"/>
            <w:left w:w="10" w:type="dxa"/>
            <w:bottom w:w="0" w:type="dxa"/>
            <w:right w:w="10" w:type="dxa"/>
          </w:tblCellMar>
        </w:tblPrEx>
        <w:trPr>
          <w:trHeight w:val="306" w:hRule="atLeast"/>
        </w:trPr>
        <w:tc>
          <w:tcPr>
            <w:tcW w:w="698" w:type="dxa"/>
            <w:vMerge w:val="restart"/>
            <w:tcBorders>
              <w:top w:val="single" w:color="auto" w:sz="4" w:space="0"/>
              <w:left w:val="single" w:color="auto" w:sz="4" w:space="0"/>
              <w:bottom w:val="nil"/>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 xml:space="preserve">2. 1. </w:t>
            </w:r>
            <w:r>
              <w:rPr>
                <w:rFonts w:hint="eastAsia" w:ascii="Times New Roman" w:hAnsi="Times New Roman" w:eastAsia="宋体"/>
                <w:color w:val="auto"/>
                <w:szCs w:val="21"/>
                <w:highlight w:val="none"/>
              </w:rPr>
              <w:t>1</w:t>
            </w:r>
          </w:p>
        </w:tc>
        <w:tc>
          <w:tcPr>
            <w:tcW w:w="1021" w:type="dxa"/>
            <w:vMerge w:val="restart"/>
            <w:tcBorders>
              <w:top w:val="single" w:color="auto" w:sz="4" w:space="0"/>
              <w:left w:val="single" w:color="auto" w:sz="4" w:space="0"/>
              <w:bottom w:val="nil"/>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形式评审 标准</w:t>
            </w:r>
          </w:p>
        </w:tc>
        <w:tc>
          <w:tcPr>
            <w:tcW w:w="2548" w:type="dxa"/>
            <w:tcBorders>
              <w:top w:val="single" w:color="auto" w:sz="4" w:space="0"/>
              <w:left w:val="single" w:color="auto" w:sz="4" w:space="0"/>
              <w:bottom w:val="nil"/>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供应商名称</w:t>
            </w:r>
          </w:p>
        </w:tc>
        <w:tc>
          <w:tcPr>
            <w:tcW w:w="5691" w:type="dxa"/>
            <w:tcBorders>
              <w:top w:val="single" w:color="auto" w:sz="4" w:space="0"/>
              <w:left w:val="single" w:color="auto" w:sz="4" w:space="0"/>
              <w:bottom w:val="nil"/>
              <w:right w:val="single" w:color="auto" w:sz="4" w:space="0"/>
            </w:tcBorders>
            <w:shd w:val="clear" w:color="auto" w:fill="FFFFFF"/>
            <w:vAlign w:val="center"/>
          </w:tcPr>
          <w:p>
            <w:pPr>
              <w:shd w:val="clear"/>
              <w:spacing w:line="276" w:lineRule="auto"/>
              <w:ind w:firstLine="420" w:firstLineChars="200"/>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与市场监管部门或其他行政机关颁发的可以合法开展业务的执照或证书一致</w:t>
            </w:r>
          </w:p>
        </w:tc>
      </w:tr>
      <w:tr>
        <w:tblPrEx>
          <w:tblCellMar>
            <w:top w:w="0" w:type="dxa"/>
            <w:left w:w="10" w:type="dxa"/>
            <w:bottom w:w="0" w:type="dxa"/>
            <w:right w:w="10" w:type="dxa"/>
          </w:tblCellMar>
        </w:tblPrEx>
        <w:trPr>
          <w:trHeight w:val="166" w:hRule="atLeast"/>
        </w:trPr>
        <w:tc>
          <w:tcPr>
            <w:tcW w:w="698" w:type="dxa"/>
            <w:vMerge w:val="continue"/>
            <w:tcBorders>
              <w:top w:val="single" w:color="auto" w:sz="4" w:space="0"/>
              <w:left w:val="single" w:color="auto" w:sz="4" w:space="0"/>
              <w:bottom w:val="nil"/>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nil"/>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nil"/>
              <w:right w:val="nil"/>
            </w:tcBorders>
            <w:shd w:val="clear" w:color="auto" w:fill="FFFFFF"/>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响应文件签字盖章</w:t>
            </w:r>
          </w:p>
        </w:tc>
        <w:tc>
          <w:tcPr>
            <w:tcW w:w="5691" w:type="dxa"/>
            <w:tcBorders>
              <w:top w:val="single" w:color="auto" w:sz="4" w:space="0"/>
              <w:left w:val="single" w:color="auto" w:sz="4" w:space="0"/>
              <w:bottom w:val="nil"/>
              <w:right w:val="single" w:color="auto" w:sz="4" w:space="0"/>
            </w:tcBorders>
            <w:shd w:val="clear" w:color="auto" w:fill="FFFFFF"/>
          </w:tcPr>
          <w:p>
            <w:pPr>
              <w:shd w:val="clear"/>
              <w:spacing w:line="276" w:lineRule="auto"/>
              <w:ind w:firstLine="420" w:firstLineChars="200"/>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符合第二章第</w:t>
            </w:r>
            <w:r>
              <w:rPr>
                <w:rFonts w:hint="eastAsia" w:ascii="Times New Roman" w:hAnsi="Times New Roman" w:eastAsia="宋体"/>
                <w:color w:val="auto"/>
                <w:szCs w:val="21"/>
                <w:highlight w:val="none"/>
                <w:lang w:bidi="en-US"/>
              </w:rPr>
              <w:t xml:space="preserve">3. 7. </w:t>
            </w:r>
            <w:r>
              <w:rPr>
                <w:rFonts w:hint="eastAsia" w:ascii="Times New Roman" w:hAnsi="Times New Roman" w:eastAsia="宋体"/>
                <w:color w:val="auto"/>
                <w:szCs w:val="21"/>
                <w:highlight w:val="none"/>
              </w:rPr>
              <w:t>2项及第</w:t>
            </w:r>
            <w:r>
              <w:rPr>
                <w:rFonts w:hint="eastAsia" w:ascii="Times New Roman" w:hAnsi="Times New Roman" w:eastAsia="宋体"/>
                <w:color w:val="auto"/>
                <w:szCs w:val="21"/>
                <w:highlight w:val="none"/>
                <w:lang w:bidi="en-US"/>
              </w:rPr>
              <w:t xml:space="preserve">3. 7. </w:t>
            </w:r>
            <w:r>
              <w:rPr>
                <w:rFonts w:hint="eastAsia" w:ascii="Times New Roman" w:hAnsi="Times New Roman" w:eastAsia="宋体"/>
                <w:color w:val="auto"/>
                <w:szCs w:val="21"/>
                <w:highlight w:val="none"/>
              </w:rPr>
              <w:t>3项的规定</w:t>
            </w:r>
          </w:p>
        </w:tc>
      </w:tr>
      <w:tr>
        <w:tblPrEx>
          <w:tblCellMar>
            <w:top w:w="0" w:type="dxa"/>
            <w:left w:w="10" w:type="dxa"/>
            <w:bottom w:w="0" w:type="dxa"/>
            <w:right w:w="10" w:type="dxa"/>
          </w:tblCellMar>
        </w:tblPrEx>
        <w:trPr>
          <w:trHeight w:val="309" w:hRule="atLeast"/>
        </w:trPr>
        <w:tc>
          <w:tcPr>
            <w:tcW w:w="698" w:type="dxa"/>
            <w:vMerge w:val="restart"/>
            <w:tcBorders>
              <w:top w:val="single" w:color="auto" w:sz="4" w:space="0"/>
              <w:left w:val="single" w:color="auto" w:sz="4" w:space="0"/>
              <w:bottom w:val="single" w:color="auto" w:sz="4" w:space="0"/>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eastAsia="en-US" w:bidi="en-US"/>
              </w:rPr>
              <w:t>2. 1.2</w:t>
            </w:r>
          </w:p>
        </w:tc>
        <w:tc>
          <w:tcPr>
            <w:tcW w:w="1021" w:type="dxa"/>
            <w:vMerge w:val="restart"/>
            <w:tcBorders>
              <w:top w:val="single" w:color="auto" w:sz="4" w:space="0"/>
              <w:left w:val="single" w:color="auto" w:sz="4" w:space="0"/>
              <w:bottom w:val="single" w:color="auto" w:sz="4" w:space="0"/>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资格评审 标准</w:t>
            </w:r>
          </w:p>
        </w:tc>
        <w:tc>
          <w:tcPr>
            <w:tcW w:w="2548" w:type="dxa"/>
            <w:tcBorders>
              <w:top w:val="single" w:color="auto" w:sz="4" w:space="0"/>
              <w:left w:val="single" w:color="auto" w:sz="4" w:space="0"/>
              <w:bottom w:val="nil"/>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lang w:val="zh-TW" w:eastAsia="zh-TW" w:bidi="zh-TW"/>
              </w:rPr>
              <w:t>满足《中华人民共和国政府采购法》第二十二条规定</w:t>
            </w:r>
          </w:p>
        </w:tc>
        <w:tc>
          <w:tcPr>
            <w:tcW w:w="5691" w:type="dxa"/>
            <w:tcBorders>
              <w:top w:val="single" w:color="auto" w:sz="4" w:space="0"/>
              <w:left w:val="single" w:color="auto" w:sz="4" w:space="0"/>
              <w:bottom w:val="nil"/>
              <w:right w:val="single" w:color="auto" w:sz="4" w:space="0"/>
            </w:tcBorders>
            <w:shd w:val="clear" w:color="auto" w:fill="FFFFFF"/>
            <w:vAlign w:val="center"/>
          </w:tcPr>
          <w:p>
            <w:pPr>
              <w:shd w:val="clear"/>
              <w:spacing w:line="276" w:lineRule="auto"/>
              <w:ind w:firstLine="420" w:firstLineChars="200"/>
              <w:rPr>
                <w:color w:val="auto"/>
                <w:highlight w:val="none"/>
              </w:rPr>
            </w:pPr>
            <w:r>
              <w:rPr>
                <w:rFonts w:hint="eastAsia"/>
                <w:color w:val="auto"/>
                <w:highlight w:val="none"/>
              </w:rPr>
              <w:t>提供承诺书</w:t>
            </w:r>
          </w:p>
        </w:tc>
      </w:tr>
      <w:tr>
        <w:tblPrEx>
          <w:tblCellMar>
            <w:top w:w="0" w:type="dxa"/>
            <w:left w:w="10" w:type="dxa"/>
            <w:bottom w:w="0" w:type="dxa"/>
            <w:right w:w="10" w:type="dxa"/>
          </w:tblCellMar>
        </w:tblPrEx>
        <w:trPr>
          <w:trHeight w:val="412"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nil"/>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营业执照</w:t>
            </w:r>
          </w:p>
        </w:tc>
        <w:tc>
          <w:tcPr>
            <w:tcW w:w="5691" w:type="dxa"/>
            <w:tcBorders>
              <w:top w:val="single" w:color="auto" w:sz="4" w:space="0"/>
              <w:left w:val="single" w:color="auto" w:sz="4" w:space="0"/>
              <w:bottom w:val="nil"/>
              <w:right w:val="single" w:color="auto" w:sz="4" w:space="0"/>
            </w:tcBorders>
            <w:shd w:val="clear" w:color="auto" w:fill="FFFFFF"/>
            <w:vAlign w:val="center"/>
          </w:tcPr>
          <w:p>
            <w:pPr>
              <w:shd w:val="clear"/>
              <w:spacing w:line="276" w:lineRule="auto"/>
              <w:ind w:firstLine="420" w:firstLineChars="200"/>
              <w:rPr>
                <w:color w:val="auto"/>
                <w:highlight w:val="none"/>
              </w:rPr>
            </w:pPr>
            <w:r>
              <w:rPr>
                <w:rFonts w:hint="eastAsia"/>
                <w:color w:val="auto"/>
                <w:highlight w:val="none"/>
              </w:rPr>
              <w:t>提供营业执照复印件。</w:t>
            </w:r>
          </w:p>
        </w:tc>
      </w:tr>
      <w:tr>
        <w:tblPrEx>
          <w:tblCellMar>
            <w:top w:w="0" w:type="dxa"/>
            <w:left w:w="10" w:type="dxa"/>
            <w:bottom w:w="0" w:type="dxa"/>
            <w:right w:w="10" w:type="dxa"/>
          </w:tblCellMar>
        </w:tblPrEx>
        <w:trPr>
          <w:trHeight w:val="683"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政府采购信誉情况</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spacing w:line="276" w:lineRule="auto"/>
              <w:ind w:firstLine="420" w:firstLineChars="200"/>
              <w:rPr>
                <w:color w:val="auto"/>
                <w:szCs w:val="21"/>
                <w:highlight w:val="none"/>
                <w:lang w:val="zh-TW" w:eastAsia="zh-TW"/>
              </w:rPr>
            </w:pPr>
            <w:r>
              <w:rPr>
                <w:rFonts w:hint="eastAsia"/>
                <w:color w:val="auto"/>
                <w:szCs w:val="21"/>
                <w:highlight w:val="none"/>
                <w:lang w:val="zh-TW" w:eastAsia="zh-TW"/>
              </w:rPr>
              <w:t>20</w:t>
            </w:r>
            <w:r>
              <w:rPr>
                <w:rFonts w:hint="eastAsia"/>
                <w:color w:val="auto"/>
                <w:szCs w:val="21"/>
                <w:highlight w:val="none"/>
              </w:rPr>
              <w:t>20</w:t>
            </w:r>
            <w:r>
              <w:rPr>
                <w:rFonts w:hint="eastAsia"/>
                <w:color w:val="auto"/>
                <w:szCs w:val="21"/>
                <w:highlight w:val="none"/>
                <w:lang w:val="zh-TW" w:eastAsia="zh-TW"/>
              </w:rPr>
              <w:t>年</w:t>
            </w:r>
            <w:r>
              <w:rPr>
                <w:rFonts w:hint="eastAsia"/>
                <w:color w:val="auto"/>
                <w:szCs w:val="21"/>
                <w:highlight w:val="none"/>
              </w:rPr>
              <w:t>1月1日</w:t>
            </w:r>
            <w:r>
              <w:rPr>
                <w:rFonts w:hint="eastAsia"/>
                <w:color w:val="auto"/>
                <w:szCs w:val="21"/>
                <w:highlight w:val="none"/>
                <w:lang w:val="zh-TW" w:eastAsia="zh-TW"/>
              </w:rPr>
              <w:t>至今，</w:t>
            </w:r>
            <w:r>
              <w:rPr>
                <w:rFonts w:hint="eastAsia"/>
                <w:color w:val="auto"/>
                <w:szCs w:val="21"/>
                <w:highlight w:val="none"/>
                <w:lang w:val="zh-TW"/>
              </w:rPr>
              <w:t>供应商</w:t>
            </w:r>
            <w:r>
              <w:rPr>
                <w:rFonts w:hint="eastAsia"/>
                <w:color w:val="auto"/>
                <w:szCs w:val="21"/>
                <w:highlight w:val="none"/>
                <w:lang w:val="zh-TW" w:eastAsia="zh-TW"/>
              </w:rPr>
              <w:t>没有处于被责令停业，投标资格被暂停或取消，财产被接管、冻结、破产等状态，无国家禁止市场准入等情形，未出现重大安全事故等情形，</w:t>
            </w:r>
            <w:r>
              <w:rPr>
                <w:rFonts w:hint="eastAsia"/>
                <w:color w:val="auto"/>
                <w:szCs w:val="21"/>
                <w:highlight w:val="none"/>
                <w:lang w:val="zh-TW"/>
              </w:rPr>
              <w:t>供应商</w:t>
            </w:r>
            <w:r>
              <w:rPr>
                <w:rFonts w:hint="eastAsia"/>
                <w:color w:val="auto"/>
                <w:szCs w:val="21"/>
                <w:highlight w:val="none"/>
                <w:lang w:val="zh-TW" w:eastAsia="zh-TW"/>
              </w:rPr>
              <w:t>信誉良好，无不良行为记录；</w:t>
            </w:r>
          </w:p>
          <w:p>
            <w:pPr>
              <w:shd w:val="clear"/>
              <w:spacing w:line="276" w:lineRule="auto"/>
              <w:ind w:firstLine="420" w:firstLineChars="200"/>
              <w:rPr>
                <w:color w:val="auto"/>
                <w:szCs w:val="21"/>
                <w:highlight w:val="none"/>
                <w:lang w:val="zh-TW" w:eastAsia="zh-TW"/>
              </w:rPr>
            </w:pPr>
            <w:r>
              <w:rPr>
                <w:rFonts w:hint="eastAsia"/>
                <w:color w:val="auto"/>
                <w:szCs w:val="21"/>
                <w:highlight w:val="none"/>
              </w:rPr>
              <w:t>提供承诺书</w:t>
            </w:r>
          </w:p>
        </w:tc>
      </w:tr>
      <w:tr>
        <w:tblPrEx>
          <w:tblCellMar>
            <w:top w:w="0" w:type="dxa"/>
            <w:left w:w="10" w:type="dxa"/>
            <w:bottom w:w="0" w:type="dxa"/>
            <w:right w:w="10" w:type="dxa"/>
          </w:tblCellMar>
        </w:tblPrEx>
        <w:trPr>
          <w:trHeight w:val="683"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信誉情况</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spacing w:line="276" w:lineRule="auto"/>
              <w:ind w:firstLine="420" w:firstLineChars="200"/>
              <w:rPr>
                <w:rFonts w:ascii="宋体" w:hAnsi="宋体" w:eastAsia="宋体" w:cs="宋体"/>
                <w:color w:val="auto"/>
                <w:szCs w:val="21"/>
                <w:highlight w:val="none"/>
                <w:shd w:val="clear" w:color="auto" w:fill="FFFFFF"/>
                <w:lang w:val="zh-TW" w:eastAsia="zh-TW"/>
              </w:rPr>
            </w:pPr>
            <w:r>
              <w:rPr>
                <w:rFonts w:hint="eastAsia" w:ascii="宋体" w:hAnsi="宋体" w:eastAsia="宋体" w:cs="宋体"/>
                <w:color w:val="auto"/>
                <w:szCs w:val="21"/>
                <w:highlight w:val="none"/>
                <w:shd w:val="clear" w:color="auto" w:fill="FFFFFF"/>
              </w:rPr>
              <w:t>供应商未被列入“信用中国”网（www.creditchina.gov.cn）“失信被执行人”、“</w:t>
            </w:r>
            <w:r>
              <w:rPr>
                <w:rFonts w:hint="eastAsia" w:ascii="宋体" w:hAnsi="宋体" w:eastAsia="宋体" w:cs="宋体"/>
                <w:color w:val="auto"/>
                <w:szCs w:val="21"/>
                <w:highlight w:val="none"/>
                <w:shd w:val="clear" w:color="auto" w:fill="FFFFFF"/>
                <w:lang w:eastAsia="zh-CN"/>
              </w:rPr>
              <w:t>重大税收违法失信主体</w:t>
            </w:r>
            <w:r>
              <w:rPr>
                <w:rFonts w:hint="eastAsia" w:ascii="宋体" w:hAnsi="宋体" w:eastAsia="宋体" w:cs="宋体"/>
                <w:color w:val="auto"/>
                <w:szCs w:val="21"/>
                <w:highlight w:val="none"/>
                <w:shd w:val="clear" w:color="auto" w:fill="FFFFFF"/>
              </w:rPr>
              <w:t>”名单；且未被中国政府采购网（www.ccgp.gov.cn）列入“政府采购严重违法失信行为记录名单”。（注：投标截止当天由招标代理查询后提交结果给询比小组）</w:t>
            </w:r>
          </w:p>
        </w:tc>
      </w:tr>
      <w:tr>
        <w:tblPrEx>
          <w:tblCellMar>
            <w:top w:w="0" w:type="dxa"/>
            <w:left w:w="10" w:type="dxa"/>
            <w:bottom w:w="0" w:type="dxa"/>
            <w:right w:w="10" w:type="dxa"/>
          </w:tblCellMar>
        </w:tblPrEx>
        <w:trPr>
          <w:trHeight w:val="819"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关联性承诺</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spacing w:line="276" w:lineRule="auto"/>
              <w:ind w:firstLine="420" w:firstLineChars="200"/>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与采购人存在利害关系可能影响招标公正性的法人、其他组织或者个人，不得参加询比；单位负责人为同一人或者存在控股、管理关系的不同单位，不得同时参加本项目的询比；为本项目提供整体设计、规范编制或者项目管理、监理、检测等服务的供应商，不得再参加本项目询比。</w:t>
            </w:r>
          </w:p>
          <w:p>
            <w:pPr>
              <w:shd w:val="clear"/>
              <w:spacing w:line="276" w:lineRule="auto"/>
              <w:ind w:firstLine="420" w:firstLineChars="200"/>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提供承诺书</w:t>
            </w:r>
          </w:p>
        </w:tc>
      </w:tr>
      <w:tr>
        <w:tblPrEx>
          <w:tblCellMar>
            <w:top w:w="0" w:type="dxa"/>
            <w:left w:w="10" w:type="dxa"/>
            <w:bottom w:w="0" w:type="dxa"/>
            <w:right w:w="10" w:type="dxa"/>
          </w:tblCellMar>
        </w:tblPrEx>
        <w:trPr>
          <w:trHeight w:val="819"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hd w:val="clea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法律、行政法规规定的其他条件</w:t>
            </w:r>
          </w:p>
        </w:tc>
        <w:tc>
          <w:tcPr>
            <w:tcW w:w="5691" w:type="dxa"/>
            <w:tcBorders>
              <w:top w:val="single" w:color="auto" w:sz="4" w:space="0"/>
              <w:left w:val="single" w:color="auto" w:sz="4" w:space="0"/>
              <w:bottom w:val="single" w:color="auto" w:sz="4" w:space="0"/>
              <w:right w:val="single" w:color="auto" w:sz="4" w:space="0"/>
            </w:tcBorders>
            <w:shd w:val="clear" w:color="auto" w:fill="FFFFFF"/>
          </w:tcPr>
          <w:p>
            <w:pPr>
              <w:shd w:val="clear"/>
              <w:spacing w:line="276"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供应商</w:t>
            </w:r>
            <w:r>
              <w:rPr>
                <w:rFonts w:hint="eastAsia" w:ascii="宋体" w:hAnsi="宋体" w:eastAsia="宋体" w:cs="宋体"/>
                <w:color w:val="auto"/>
                <w:szCs w:val="21"/>
                <w:highlight w:val="none"/>
                <w:shd w:val="clear" w:color="auto" w:fill="FFFFFF"/>
              </w:rPr>
              <w:t>如果是代理商或经销商，须提供医疗器械经营许可证/备案，所投产品制造商医疗器械生产许可证（制造商工商注册地在中华人民共和国境外的，不做此要求）、所投产品的医疗器械注册证；</w:t>
            </w:r>
            <w:r>
              <w:rPr>
                <w:rFonts w:hint="eastAsia" w:ascii="宋体" w:hAnsi="宋体" w:eastAsia="宋体" w:cs="宋体"/>
                <w:color w:val="auto"/>
                <w:szCs w:val="21"/>
                <w:highlight w:val="none"/>
                <w:shd w:val="clear" w:color="auto" w:fill="FFFFFF"/>
                <w:lang w:eastAsia="zh-CN"/>
              </w:rPr>
              <w:t>供应商</w:t>
            </w:r>
            <w:r>
              <w:rPr>
                <w:rFonts w:hint="eastAsia" w:ascii="宋体" w:hAnsi="宋体" w:eastAsia="宋体" w:cs="宋体"/>
                <w:color w:val="auto"/>
                <w:szCs w:val="21"/>
                <w:highlight w:val="none"/>
                <w:shd w:val="clear" w:color="auto" w:fill="FFFFFF"/>
              </w:rPr>
              <w:t>如果是制造商，须提供医疗器械生产许可证（制造商工商注册地在中华人民共和国境外的，不做此要求）、所投产品的医疗器械注册证。</w:t>
            </w:r>
          </w:p>
          <w:p>
            <w:pPr>
              <w:shd w:val="clear"/>
              <w:spacing w:line="276"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按照</w:t>
            </w:r>
            <w:r>
              <w:rPr>
                <w:rFonts w:hint="eastAsia" w:ascii="宋体" w:hAnsi="宋体" w:eastAsia="宋体" w:cs="宋体"/>
                <w:color w:val="auto"/>
                <w:szCs w:val="21"/>
                <w:highlight w:val="none"/>
                <w:shd w:val="clear" w:color="auto" w:fill="FFFFFF"/>
                <w:lang w:eastAsia="zh-CN"/>
              </w:rPr>
              <w:t>供应商</w:t>
            </w:r>
            <w:r>
              <w:rPr>
                <w:rFonts w:hint="eastAsia" w:ascii="宋体" w:hAnsi="宋体" w:eastAsia="宋体" w:cs="宋体"/>
                <w:color w:val="auto"/>
                <w:szCs w:val="21"/>
                <w:highlight w:val="none"/>
                <w:shd w:val="clear" w:color="auto" w:fill="FFFFFF"/>
              </w:rPr>
              <w:t>身份审核相关复印件</w:t>
            </w:r>
          </w:p>
        </w:tc>
      </w:tr>
      <w:tr>
        <w:tblPrEx>
          <w:tblCellMar>
            <w:top w:w="0" w:type="dxa"/>
            <w:left w:w="10" w:type="dxa"/>
            <w:bottom w:w="0" w:type="dxa"/>
            <w:right w:w="10" w:type="dxa"/>
          </w:tblCellMar>
        </w:tblPrEx>
        <w:trPr>
          <w:trHeight w:val="819"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hd w:val="clear"/>
              <w:snapToGrid w:val="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进口产品参与投标</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top"/>
          </w:tcPr>
          <w:p>
            <w:pPr>
              <w:shd w:val="clear"/>
              <w:spacing w:line="276"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投标产品若是进口产品，供应商非投标产品制造厂家需提供产品制造厂家对投标产品的授权，或具有授权权限的代理商对投标产品的授权（且需提供该代理商具有有效授权权限的相关证明文件，证明文件需能显示产品制造厂家对投标产品授权链条的完整性）。国产产品不需要。</w:t>
            </w:r>
          </w:p>
          <w:p>
            <w:pPr>
              <w:shd w:val="clear"/>
              <w:spacing w:line="276"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进口产品参与投标的审核进口产品授权书</w:t>
            </w:r>
          </w:p>
        </w:tc>
      </w:tr>
      <w:tr>
        <w:tblPrEx>
          <w:tblCellMar>
            <w:top w:w="0" w:type="dxa"/>
            <w:left w:w="10" w:type="dxa"/>
            <w:bottom w:w="0" w:type="dxa"/>
            <w:right w:w="10" w:type="dxa"/>
          </w:tblCellMar>
        </w:tblPrEx>
        <w:trPr>
          <w:trHeight w:val="2484"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rPr>
              <w:t>其他要求</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1、有下列情形之一的，视为供应商相互串通：</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（1）不同供应商的响应文件由同一单位或者个人编制；</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（2）不同供应商委托同一单位或者个人办理参与询比事宜；</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（3）不同供应商的响应文件载明的项目管理成员或者联系人员为同一人；</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（4）不同供应商的响应文件异常一致或者报价呈规律性差异；</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（5）不同供应商的响应文件相互混装；</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2、有下列情形之一的，属于提供虚假材料谋取成交的行为：</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（1）使用伪造、变造的许可证件；</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（2）提供虚假的财务状况或者业绩；</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（3）提供虚假的项目负责人或者主要技术人员简历、劳动关系证明；</w:t>
            </w:r>
          </w:p>
          <w:p>
            <w:pPr>
              <w:shd w:val="clear"/>
              <w:tabs>
                <w:tab w:val="left" w:pos="1260"/>
                <w:tab w:val="left" w:pos="1620"/>
              </w:tabs>
              <w:adjustRightInd w:val="0"/>
              <w:spacing w:line="360" w:lineRule="auto"/>
              <w:jc w:val="left"/>
              <w:textAlignment w:val="baseline"/>
              <w:rPr>
                <w:color w:val="auto"/>
                <w:szCs w:val="21"/>
                <w:highlight w:val="none"/>
              </w:rPr>
            </w:pPr>
            <w:r>
              <w:rPr>
                <w:rFonts w:hint="eastAsia"/>
                <w:color w:val="auto"/>
                <w:szCs w:val="21"/>
                <w:highlight w:val="none"/>
              </w:rPr>
              <w:t>（4）提供虚假的信用状况；</w:t>
            </w:r>
          </w:p>
          <w:p>
            <w:pPr>
              <w:shd w:val="clear"/>
              <w:tabs>
                <w:tab w:val="left" w:pos="1260"/>
                <w:tab w:val="left" w:pos="1620"/>
              </w:tabs>
              <w:adjustRightInd w:val="0"/>
              <w:spacing w:line="360" w:lineRule="auto"/>
              <w:jc w:val="left"/>
              <w:textAlignment w:val="baseline"/>
              <w:rPr>
                <w:rFonts w:ascii="Times New Roman" w:hAnsi="Times New Roman" w:eastAsia="宋体"/>
                <w:color w:val="auto"/>
                <w:szCs w:val="21"/>
                <w:highlight w:val="none"/>
                <w:lang w:val="zh-TW" w:eastAsia="zh-TW" w:bidi="zh-TW"/>
              </w:rPr>
            </w:pPr>
            <w:r>
              <w:rPr>
                <w:rFonts w:hint="eastAsia"/>
                <w:color w:val="auto"/>
                <w:szCs w:val="21"/>
                <w:highlight w:val="none"/>
              </w:rPr>
              <w:t>（5）其他弄虚作假的行为。</w:t>
            </w:r>
          </w:p>
        </w:tc>
      </w:tr>
      <w:tr>
        <w:tblPrEx>
          <w:tblCellMar>
            <w:top w:w="0" w:type="dxa"/>
            <w:left w:w="10" w:type="dxa"/>
            <w:bottom w:w="0" w:type="dxa"/>
            <w:right w:w="10" w:type="dxa"/>
          </w:tblCellMar>
        </w:tblPrEx>
        <w:trPr>
          <w:trHeight w:val="311" w:hRule="atLeast"/>
        </w:trPr>
        <w:tc>
          <w:tcPr>
            <w:tcW w:w="698"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2.1.3</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响应性评审</w:t>
            </w:r>
          </w:p>
        </w:tc>
        <w:tc>
          <w:tcPr>
            <w:tcW w:w="2548"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投标文件签署盖章</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cs="宋体"/>
                <w:color w:val="auto"/>
                <w:szCs w:val="21"/>
                <w:highlight w:val="none"/>
              </w:rPr>
              <w:t>采购文件</w:t>
            </w:r>
            <w:r>
              <w:rPr>
                <w:rFonts w:hint="eastAsia" w:ascii="宋体" w:hAnsi="宋体" w:eastAsia="宋体" w:cs="宋体"/>
                <w:color w:val="auto"/>
                <w:szCs w:val="21"/>
                <w:highlight w:val="none"/>
              </w:rPr>
              <w:t>要求在规定位置加盖</w:t>
            </w:r>
            <w:r>
              <w:rPr>
                <w:rFonts w:hint="eastAsia" w:ascii="宋体" w:hAnsi="宋体" w:cs="宋体"/>
                <w:color w:val="auto"/>
                <w:szCs w:val="21"/>
                <w:highlight w:val="none"/>
              </w:rPr>
              <w:t>供应商</w:t>
            </w:r>
            <w:r>
              <w:rPr>
                <w:rFonts w:hint="eastAsia" w:ascii="宋体" w:hAnsi="宋体" w:eastAsia="宋体" w:cs="宋体"/>
                <w:color w:val="auto"/>
                <w:szCs w:val="21"/>
                <w:highlight w:val="none"/>
              </w:rPr>
              <w:t>公章和有法定代表人或其授权代表签字加盖人名章的</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投标报价</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投标报价是固定价且未超过预算金额（</w:t>
            </w:r>
            <w:r>
              <w:rPr>
                <w:rFonts w:hint="eastAsia" w:ascii="宋体" w:hAnsi="宋体" w:cs="宋体"/>
                <w:color w:val="auto"/>
                <w:szCs w:val="21"/>
                <w:highlight w:val="none"/>
              </w:rPr>
              <w:t>采购文件</w:t>
            </w:r>
            <w:r>
              <w:rPr>
                <w:rFonts w:hint="eastAsia" w:ascii="宋体" w:hAnsi="宋体" w:eastAsia="宋体" w:cs="宋体"/>
                <w:color w:val="auto"/>
                <w:szCs w:val="21"/>
                <w:highlight w:val="none"/>
              </w:rPr>
              <w:t>有最高限价的，报价未超过最高限价。</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附加条件</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投标文件不含有采购人不能接受的附加条件</w:t>
            </w:r>
          </w:p>
        </w:tc>
      </w:tr>
      <w:tr>
        <w:tblPrEx>
          <w:tblCellMar>
            <w:top w:w="0" w:type="dxa"/>
            <w:left w:w="10" w:type="dxa"/>
            <w:bottom w:w="0" w:type="dxa"/>
            <w:right w:w="10" w:type="dxa"/>
          </w:tblCellMar>
        </w:tblPrEx>
        <w:trPr>
          <w:trHeight w:val="314"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公平竞争</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遵循公平竞争的原则，没有弄虚作假、恶意串通或妨碍其他</w:t>
            </w:r>
            <w:r>
              <w:rPr>
                <w:rFonts w:hint="eastAsia" w:ascii="宋体" w:hAnsi="宋体" w:cs="宋体"/>
                <w:color w:val="auto"/>
                <w:szCs w:val="21"/>
                <w:highlight w:val="none"/>
              </w:rPr>
              <w:t>供应商</w:t>
            </w:r>
            <w:r>
              <w:rPr>
                <w:rFonts w:hint="eastAsia" w:ascii="宋体" w:hAnsi="宋体" w:eastAsia="宋体" w:cs="宋体"/>
                <w:color w:val="auto"/>
                <w:szCs w:val="21"/>
                <w:highlight w:val="none"/>
              </w:rPr>
              <w:t>的竞争行为，损害采购人或者其他</w:t>
            </w:r>
            <w:r>
              <w:rPr>
                <w:rFonts w:hint="eastAsia" w:ascii="宋体" w:hAnsi="宋体" w:cs="宋体"/>
                <w:color w:val="auto"/>
                <w:szCs w:val="21"/>
                <w:highlight w:val="none"/>
              </w:rPr>
              <w:t>供应商</w:t>
            </w:r>
            <w:r>
              <w:rPr>
                <w:rFonts w:hint="eastAsia" w:ascii="宋体" w:hAnsi="宋体" w:eastAsia="宋体" w:cs="宋体"/>
                <w:color w:val="auto"/>
                <w:szCs w:val="21"/>
                <w:highlight w:val="none"/>
              </w:rPr>
              <w:t>的合法权益。</w:t>
            </w:r>
          </w:p>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弄虚作假、串通投标的情形见附注</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报价修正</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报价出现前后不一致时，</w:t>
            </w:r>
            <w:r>
              <w:rPr>
                <w:rFonts w:hint="eastAsia" w:ascii="宋体" w:hAnsi="宋体" w:cs="宋体"/>
                <w:color w:val="auto"/>
                <w:szCs w:val="21"/>
                <w:highlight w:val="none"/>
              </w:rPr>
              <w:t>供应商</w:t>
            </w:r>
            <w:r>
              <w:rPr>
                <w:rFonts w:hint="eastAsia" w:ascii="宋体" w:hAnsi="宋体" w:eastAsia="宋体" w:cs="宋体"/>
                <w:color w:val="auto"/>
                <w:szCs w:val="21"/>
                <w:highlight w:val="none"/>
              </w:rPr>
              <w:t>按照</w:t>
            </w:r>
            <w:r>
              <w:rPr>
                <w:rFonts w:hint="eastAsia" w:ascii="宋体" w:hAnsi="宋体" w:cs="宋体"/>
                <w:color w:val="auto"/>
                <w:szCs w:val="21"/>
                <w:highlight w:val="none"/>
              </w:rPr>
              <w:t>采购文件</w:t>
            </w:r>
            <w:r>
              <w:rPr>
                <w:rFonts w:hint="eastAsia" w:ascii="宋体" w:hAnsi="宋体" w:eastAsia="宋体" w:cs="宋体"/>
                <w:color w:val="auto"/>
                <w:szCs w:val="21"/>
                <w:highlight w:val="none"/>
              </w:rPr>
              <w:t>评标办法要求确认修正后的报价。</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其他无效情形</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法律、法规和</w:t>
            </w:r>
            <w:r>
              <w:rPr>
                <w:rFonts w:hint="eastAsia" w:ascii="宋体" w:hAnsi="宋体" w:cs="宋体"/>
                <w:color w:val="auto"/>
                <w:szCs w:val="21"/>
                <w:highlight w:val="none"/>
              </w:rPr>
              <w:t>采购文件</w:t>
            </w:r>
            <w:r>
              <w:rPr>
                <w:rFonts w:hint="eastAsia" w:ascii="宋体" w:hAnsi="宋体" w:eastAsia="宋体" w:cs="宋体"/>
                <w:color w:val="auto"/>
                <w:szCs w:val="21"/>
                <w:highlight w:val="none"/>
              </w:rPr>
              <w:t>规定的其他无效情形</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投标有效期</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投标有效期满足</w:t>
            </w:r>
            <w:r>
              <w:rPr>
                <w:rFonts w:hint="eastAsia" w:ascii="宋体" w:hAnsi="宋体" w:cs="宋体"/>
                <w:color w:val="auto"/>
                <w:szCs w:val="21"/>
                <w:highlight w:val="none"/>
              </w:rPr>
              <w:t>采购文件</w:t>
            </w:r>
            <w:r>
              <w:rPr>
                <w:rFonts w:hint="eastAsia" w:ascii="宋体" w:hAnsi="宋体" w:eastAsia="宋体" w:cs="宋体"/>
                <w:color w:val="auto"/>
                <w:szCs w:val="21"/>
                <w:highlight w:val="none"/>
              </w:rPr>
              <w:t>要求的</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备选方案</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strike/>
                <w:color w:val="auto"/>
                <w:szCs w:val="21"/>
                <w:highlight w:val="none"/>
              </w:rPr>
            </w:pPr>
            <w:r>
              <w:rPr>
                <w:rFonts w:hint="eastAsia" w:ascii="宋体" w:hAnsi="宋体" w:cs="宋体"/>
                <w:color w:val="auto"/>
                <w:szCs w:val="21"/>
                <w:highlight w:val="none"/>
              </w:rPr>
              <w:t>供应商</w:t>
            </w:r>
            <w:r>
              <w:rPr>
                <w:rFonts w:hint="eastAsia" w:ascii="宋体" w:hAnsi="宋体" w:eastAsia="宋体" w:cs="宋体"/>
                <w:color w:val="auto"/>
                <w:szCs w:val="21"/>
                <w:highlight w:val="none"/>
              </w:rPr>
              <w:t>不得提交两份或者多份内容不同的投标文件，或者在同一份投标文件中对同一招标项目有两个或者多个报价。</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投标内容</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cs="宋体"/>
                <w:color w:val="auto"/>
                <w:szCs w:val="21"/>
                <w:highlight w:val="none"/>
              </w:rPr>
              <w:t>供应商</w:t>
            </w:r>
            <w:r>
              <w:rPr>
                <w:rFonts w:hint="eastAsia" w:ascii="宋体" w:hAnsi="宋体" w:eastAsia="宋体" w:cs="宋体"/>
                <w:color w:val="auto"/>
                <w:szCs w:val="21"/>
                <w:highlight w:val="none"/>
              </w:rPr>
              <w:t>提供的服务无实质性遗漏</w:t>
            </w:r>
          </w:p>
        </w:tc>
      </w:tr>
      <w:tr>
        <w:tblPrEx>
          <w:tblCellMar>
            <w:top w:w="0" w:type="dxa"/>
            <w:left w:w="10" w:type="dxa"/>
            <w:bottom w:w="0" w:type="dxa"/>
            <w:right w:w="10" w:type="dxa"/>
          </w:tblCellMar>
        </w:tblPrEx>
        <w:trPr>
          <w:trHeight w:val="311" w:hRule="atLeast"/>
        </w:trPr>
        <w:tc>
          <w:tcPr>
            <w:tcW w:w="698" w:type="dxa"/>
            <w:vMerge w:val="continue"/>
            <w:tcBorders>
              <w:left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left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是否允许采用分包方式履行合同</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cs="宋体"/>
                <w:color w:val="auto"/>
                <w:szCs w:val="21"/>
                <w:highlight w:val="none"/>
              </w:rPr>
              <w:t>采购文件</w:t>
            </w:r>
            <w:r>
              <w:rPr>
                <w:rFonts w:hint="eastAsia" w:ascii="宋体" w:hAnsi="宋体" w:eastAsia="宋体" w:cs="宋体"/>
                <w:color w:val="auto"/>
                <w:szCs w:val="21"/>
                <w:highlight w:val="none"/>
              </w:rPr>
              <w:t>不允许分包时，</w:t>
            </w:r>
            <w:r>
              <w:rPr>
                <w:rFonts w:hint="eastAsia" w:ascii="宋体" w:hAnsi="宋体" w:cs="宋体"/>
                <w:color w:val="auto"/>
                <w:szCs w:val="21"/>
                <w:highlight w:val="none"/>
              </w:rPr>
              <w:t>供应商</w:t>
            </w:r>
            <w:r>
              <w:rPr>
                <w:rFonts w:hint="eastAsia" w:ascii="宋体" w:hAnsi="宋体" w:eastAsia="宋体" w:cs="宋体"/>
                <w:color w:val="auto"/>
                <w:szCs w:val="21"/>
                <w:highlight w:val="none"/>
              </w:rPr>
              <w:t>未分包</w:t>
            </w:r>
          </w:p>
        </w:tc>
      </w:tr>
      <w:tr>
        <w:tblPrEx>
          <w:tblCellMar>
            <w:top w:w="0" w:type="dxa"/>
            <w:left w:w="10" w:type="dxa"/>
            <w:bottom w:w="0" w:type="dxa"/>
            <w:right w:w="10" w:type="dxa"/>
          </w:tblCellMar>
        </w:tblPrEx>
        <w:trPr>
          <w:trHeight w:val="311" w:hRule="atLeast"/>
        </w:trPr>
        <w:tc>
          <w:tcPr>
            <w:tcW w:w="698" w:type="dxa"/>
            <w:vMerge w:val="continue"/>
            <w:tcBorders>
              <w:left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left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技术响应</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符合“采购需求”要求，标记为“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”的内容无重大负偏差</w:t>
            </w:r>
          </w:p>
        </w:tc>
      </w:tr>
      <w:tr>
        <w:tblPrEx>
          <w:tblCellMar>
            <w:top w:w="0" w:type="dxa"/>
            <w:left w:w="10" w:type="dxa"/>
            <w:bottom w:w="0" w:type="dxa"/>
            <w:right w:w="10" w:type="dxa"/>
          </w:tblCellMar>
        </w:tblPrEx>
        <w:trPr>
          <w:trHeight w:val="311" w:hRule="atLeast"/>
        </w:trPr>
        <w:tc>
          <w:tcPr>
            <w:tcW w:w="698" w:type="dxa"/>
            <w:vMerge w:val="continue"/>
            <w:tcBorders>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val="en-US" w:eastAsia="zh-CN" w:bidi="zh-TW"/>
              </w:rPr>
              <w:t>交货期和交货</w:t>
            </w:r>
            <w:r>
              <w:rPr>
                <w:rFonts w:hint="eastAsia" w:ascii="Times New Roman" w:hAnsi="Times New Roman" w:eastAsia="宋体"/>
                <w:color w:val="auto"/>
                <w:szCs w:val="21"/>
                <w:highlight w:val="none"/>
                <w:lang w:bidi="zh-TW"/>
              </w:rPr>
              <w:t>地点</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满足</w:t>
            </w:r>
            <w:r>
              <w:rPr>
                <w:rFonts w:hint="eastAsia" w:ascii="宋体" w:hAnsi="宋体" w:cs="宋体"/>
                <w:color w:val="auto"/>
                <w:szCs w:val="21"/>
                <w:highlight w:val="none"/>
              </w:rPr>
              <w:t>采购文件</w:t>
            </w:r>
            <w:r>
              <w:rPr>
                <w:rFonts w:hint="eastAsia" w:ascii="宋体" w:hAnsi="宋体" w:eastAsia="宋体" w:cs="宋体"/>
                <w:color w:val="auto"/>
                <w:szCs w:val="21"/>
                <w:highlight w:val="none"/>
              </w:rPr>
              <w:t>要求</w:t>
            </w:r>
          </w:p>
        </w:tc>
      </w:tr>
      <w:tr>
        <w:tblPrEx>
          <w:tblCellMar>
            <w:top w:w="0" w:type="dxa"/>
            <w:left w:w="10" w:type="dxa"/>
            <w:bottom w:w="0" w:type="dxa"/>
            <w:right w:w="10" w:type="dxa"/>
          </w:tblCellMar>
        </w:tblPrEx>
        <w:trPr>
          <w:trHeight w:val="315"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hd w:val="clear"/>
              <w:spacing w:line="276" w:lineRule="auto"/>
              <w:jc w:val="center"/>
              <w:rPr>
                <w:rFonts w:ascii="Times New Roman" w:hAnsi="Times New Roman" w:eastAsia="宋体"/>
                <w:color w:val="auto"/>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hd w:val="clear"/>
              <w:spacing w:line="276" w:lineRule="auto"/>
              <w:jc w:val="center"/>
              <w:rPr>
                <w:rFonts w:ascii="Times New Roman" w:hAnsi="Times New Roman" w:eastAsia="宋体"/>
                <w:color w:val="auto"/>
                <w:szCs w:val="21"/>
                <w:highlight w:val="none"/>
                <w:lang w:bidi="zh-TW"/>
              </w:rPr>
            </w:pPr>
            <w:r>
              <w:rPr>
                <w:rFonts w:hint="eastAsia" w:ascii="Times New Roman" w:hAnsi="Times New Roman" w:eastAsia="宋体"/>
                <w:color w:val="auto"/>
                <w:szCs w:val="21"/>
                <w:highlight w:val="none"/>
                <w:lang w:bidi="zh-TW"/>
              </w:rPr>
              <w:t>付款方式</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ascii="宋体" w:hAnsi="宋体" w:eastAsia="宋体" w:cs="宋体"/>
                <w:color w:val="auto"/>
                <w:szCs w:val="21"/>
                <w:highlight w:val="none"/>
              </w:rPr>
            </w:pPr>
            <w:r>
              <w:rPr>
                <w:rFonts w:hint="eastAsia" w:ascii="宋体" w:hAnsi="宋体" w:cs="宋体"/>
                <w:color w:val="auto"/>
                <w:szCs w:val="21"/>
                <w:highlight w:val="none"/>
              </w:rPr>
              <w:t>采购文件</w:t>
            </w:r>
            <w:r>
              <w:rPr>
                <w:rFonts w:hint="eastAsia" w:ascii="宋体" w:hAnsi="宋体" w:eastAsia="宋体" w:cs="宋体"/>
                <w:color w:val="auto"/>
                <w:szCs w:val="21"/>
                <w:highlight w:val="none"/>
              </w:rPr>
              <w:t>不允许偏差时，投标文件无负偏差。</w:t>
            </w:r>
          </w:p>
        </w:tc>
      </w:tr>
    </w:tbl>
    <w:p>
      <w:pPr>
        <w:pStyle w:val="3"/>
        <w:shd w:val="clear"/>
        <w:spacing w:before="156" w:after="156"/>
        <w:rPr>
          <w:color w:val="auto"/>
          <w:sz w:val="21"/>
          <w:szCs w:val="21"/>
          <w:highlight w:val="none"/>
        </w:rPr>
      </w:pPr>
      <w:bookmarkStart w:id="57" w:name="_Toc7827"/>
      <w:r>
        <w:rPr>
          <w:rFonts w:hint="eastAsia"/>
          <w:color w:val="auto"/>
          <w:sz w:val="21"/>
          <w:szCs w:val="21"/>
          <w:highlight w:val="none"/>
        </w:rPr>
        <w:t>综合评审因素及分值</w:t>
      </w:r>
    </w:p>
    <w:tbl>
      <w:tblPr>
        <w:tblStyle w:val="29"/>
        <w:tblW w:w="103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17"/>
        <w:gridCol w:w="1563"/>
        <w:gridCol w:w="66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9" w:hRule="exact"/>
          <w:tblHeader/>
          <w:jc w:val="center"/>
        </w:trPr>
        <w:tc>
          <w:tcPr>
            <w:tcW w:w="2117" w:type="dxa"/>
            <w:tcBorders>
              <w:top w:val="single" w:color="auto" w:sz="2" w:space="0"/>
              <w:left w:val="single" w:color="auto" w:sz="2" w:space="0"/>
              <w:bottom w:val="single" w:color="auto" w:sz="2" w:space="0"/>
              <w:right w:val="single" w:color="auto" w:sz="2" w:space="0"/>
            </w:tcBorders>
            <w:vAlign w:val="center"/>
          </w:tcPr>
          <w:p>
            <w:pPr>
              <w:shd w:val="clea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条款号</w:t>
            </w:r>
          </w:p>
        </w:tc>
        <w:tc>
          <w:tcPr>
            <w:tcW w:w="1563" w:type="dxa"/>
            <w:tcBorders>
              <w:top w:val="single" w:color="auto" w:sz="2" w:space="0"/>
              <w:left w:val="single" w:color="auto" w:sz="2" w:space="0"/>
              <w:bottom w:val="single" w:color="auto" w:sz="2" w:space="0"/>
              <w:right w:val="single" w:color="auto" w:sz="2" w:space="0"/>
            </w:tcBorders>
            <w:vAlign w:val="center"/>
          </w:tcPr>
          <w:p>
            <w:pPr>
              <w:shd w:val="clea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评分因素</w:t>
            </w:r>
          </w:p>
        </w:tc>
        <w:tc>
          <w:tcPr>
            <w:tcW w:w="6639" w:type="dxa"/>
            <w:tcBorders>
              <w:top w:val="single" w:color="auto" w:sz="2" w:space="0"/>
              <w:left w:val="single" w:color="auto" w:sz="2" w:space="0"/>
              <w:bottom w:val="single" w:color="auto" w:sz="2" w:space="0"/>
              <w:right w:val="single" w:color="auto" w:sz="2" w:space="0"/>
            </w:tcBorders>
            <w:vAlign w:val="center"/>
          </w:tcPr>
          <w:p>
            <w:pPr>
              <w:shd w:val="clea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5" w:hRule="atLeast"/>
          <w:jc w:val="center"/>
        </w:trPr>
        <w:tc>
          <w:tcPr>
            <w:tcW w:w="2117" w:type="dxa"/>
            <w:vMerge w:val="restart"/>
            <w:tcBorders>
              <w:top w:val="single" w:color="auto" w:sz="2" w:space="0"/>
              <w:left w:val="single" w:color="auto" w:sz="2" w:space="0"/>
              <w:right w:val="single" w:color="auto" w:sz="2" w:space="0"/>
            </w:tcBorders>
            <w:vAlign w:val="center"/>
          </w:tcPr>
          <w:p>
            <w:pPr>
              <w:shd w:val="clear"/>
              <w:spacing w:line="360" w:lineRule="auto"/>
              <w:jc w:val="center"/>
              <w:rPr>
                <w:rFonts w:ascii="宋体" w:hAnsi="宋体" w:eastAsia="宋体" w:cs="宋体"/>
                <w:color w:val="auto"/>
                <w:szCs w:val="21"/>
                <w:highlight w:val="none"/>
              </w:rPr>
            </w:pPr>
          </w:p>
          <w:p>
            <w:pPr>
              <w:shd w:val="clea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w:t>
            </w:r>
            <w:r>
              <w:rPr>
                <w:rFonts w:hint="eastAsia" w:ascii="宋体" w:hAnsi="宋体" w:cs="宋体"/>
                <w:color w:val="auto"/>
                <w:szCs w:val="21"/>
                <w:highlight w:val="none"/>
              </w:rPr>
              <w:t>技术部分得分B</w:t>
            </w:r>
          </w:p>
          <w:p>
            <w:pPr>
              <w:shd w:val="clea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【总分100分，权重0.7】</w:t>
            </w:r>
          </w:p>
        </w:tc>
        <w:tc>
          <w:tcPr>
            <w:tcW w:w="1563" w:type="dxa"/>
            <w:vMerge w:val="restart"/>
            <w:tcBorders>
              <w:top w:val="single" w:color="auto" w:sz="2" w:space="0"/>
              <w:left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技术部分-设备参数的响应程度（满分60分）</w:t>
            </w:r>
          </w:p>
        </w:tc>
        <w:tc>
          <w:tcPr>
            <w:tcW w:w="6639" w:type="dxa"/>
            <w:tcBorders>
              <w:top w:val="single" w:color="auto" w:sz="2" w:space="0"/>
              <w:left w:val="single" w:color="auto" w:sz="2" w:space="0"/>
              <w:right w:val="single" w:color="auto" w:sz="2" w:space="0"/>
            </w:tcBorders>
            <w:vAlign w:val="center"/>
          </w:tcPr>
          <w:p>
            <w:pPr>
              <w:shd w:val="clea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招标文件第五章中</w:t>
            </w:r>
            <w:r>
              <w:rPr>
                <w:rFonts w:hint="eastAsia" w:ascii="宋体" w:hAnsi="宋体" w:eastAsia="宋体" w:cs="宋体"/>
                <w:color w:val="auto"/>
                <w:szCs w:val="21"/>
                <w:highlight w:val="none"/>
              </w:rPr>
              <w:t>采购标的需满足的质量、安全、技术规格、物理特性等要求</w:t>
            </w:r>
            <w:r>
              <w:rPr>
                <w:rFonts w:hint="eastAsia" w:ascii="宋体" w:hAnsi="宋体" w:eastAsia="宋体" w:cs="宋体"/>
                <w:bCs/>
                <w:color w:val="auto"/>
                <w:szCs w:val="21"/>
                <w:highlight w:val="none"/>
              </w:rPr>
              <w:t>：带“</w:t>
            </w:r>
            <w:r>
              <w:rPr>
                <w:rFonts w:hint="eastAsia" w:ascii="宋体" w:hAnsi="宋体" w:eastAsia="宋体" w:cs="宋体"/>
                <w:color w:val="auto"/>
                <w:highlight w:val="none"/>
                <w:lang w:bidi="ar"/>
              </w:rPr>
              <w:t>▲</w:t>
            </w:r>
            <w:r>
              <w:rPr>
                <w:rFonts w:hint="eastAsia" w:ascii="宋体" w:hAnsi="宋体" w:eastAsia="宋体" w:cs="宋体"/>
                <w:bCs/>
                <w:color w:val="auto"/>
                <w:szCs w:val="21"/>
                <w:highlight w:val="none"/>
              </w:rPr>
              <w:t>”号的参数为重要参数，无偏离或正偏离得分但不加分，负偏离扣分处理（满分</w:t>
            </w:r>
            <w:r>
              <w:rPr>
                <w:rFonts w:hint="eastAsia" w:ascii="宋体" w:hAnsi="宋体" w:cs="宋体"/>
                <w:bCs/>
                <w:color w:val="auto"/>
                <w:szCs w:val="21"/>
                <w:highlight w:val="none"/>
              </w:rPr>
              <w:t>30</w:t>
            </w:r>
            <w:r>
              <w:rPr>
                <w:rFonts w:hint="eastAsia" w:ascii="宋体" w:hAnsi="宋体" w:eastAsia="宋体" w:cs="宋体"/>
                <w:bCs/>
                <w:color w:val="auto"/>
                <w:szCs w:val="21"/>
                <w:highlight w:val="none"/>
              </w:rPr>
              <w:t>分）：</w:t>
            </w:r>
          </w:p>
          <w:p>
            <w:pPr>
              <w:shd w:val="clea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1、投标文件中对技术服务要求进行响应时提供相应支持材料，包括但不限于授权书、或海关单、或产品产业、或官网截图、或方案说明</w:t>
            </w:r>
            <w:r>
              <w:rPr>
                <w:rFonts w:hint="eastAsia" w:ascii="宋体" w:hAnsi="宋体" w:cs="宋体"/>
                <w:bCs/>
                <w:color w:val="auto"/>
                <w:szCs w:val="21"/>
                <w:highlight w:val="none"/>
              </w:rPr>
              <w:t>、或第三方证明材料</w:t>
            </w:r>
            <w:r>
              <w:rPr>
                <w:rFonts w:hint="eastAsia" w:ascii="宋体" w:hAnsi="宋体" w:eastAsia="宋体" w:cs="宋体"/>
                <w:bCs/>
                <w:color w:val="auto"/>
                <w:szCs w:val="21"/>
                <w:highlight w:val="none"/>
              </w:rPr>
              <w:t>等。如</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仅提供了技术偏离表而未提供相应支持材料，或</w:t>
            </w:r>
            <w:r>
              <w:rPr>
                <w:rFonts w:hint="eastAsia" w:ascii="宋体" w:hAnsi="宋体" w:eastAsia="宋体" w:cs="宋体"/>
                <w:color w:val="auto"/>
                <w:szCs w:val="21"/>
                <w:highlight w:val="none"/>
                <w:shd w:val="clear" w:color="auto" w:fill="FFFFFF"/>
              </w:rPr>
              <w:t>简单复制招标文件内容作为响应的无</w:t>
            </w:r>
            <w:r>
              <w:rPr>
                <w:rFonts w:hint="eastAsia" w:ascii="宋体" w:hAnsi="宋体" w:eastAsia="宋体" w:cs="宋体"/>
                <w:color w:val="auto"/>
                <w:szCs w:val="21"/>
                <w:highlight w:val="none"/>
              </w:rPr>
              <w:t>论是否存在负偏离</w:t>
            </w:r>
            <w:r>
              <w:rPr>
                <w:rFonts w:hint="eastAsia" w:ascii="宋体" w:hAnsi="宋体" w:eastAsia="宋体" w:cs="宋体"/>
                <w:bCs/>
                <w:color w:val="auto"/>
                <w:szCs w:val="21"/>
                <w:highlight w:val="none"/>
              </w:rPr>
              <w:t>均视为负偏离；</w:t>
            </w:r>
          </w:p>
          <w:p>
            <w:pPr>
              <w:shd w:val="clear"/>
              <w:spacing w:line="360" w:lineRule="auto"/>
              <w:rPr>
                <w:color w:val="auto"/>
                <w:highlight w:val="none"/>
              </w:rPr>
            </w:pPr>
            <w:r>
              <w:rPr>
                <w:rFonts w:hint="eastAsia"/>
                <w:color w:val="auto"/>
                <w:highlight w:val="none"/>
              </w:rPr>
              <w:t>第一档次（30分）：对标记为“▲”指标的无负偏离</w:t>
            </w:r>
          </w:p>
          <w:p>
            <w:pPr>
              <w:shd w:val="clear"/>
              <w:spacing w:line="360" w:lineRule="auto"/>
              <w:rPr>
                <w:color w:val="auto"/>
                <w:highlight w:val="none"/>
              </w:rPr>
            </w:pPr>
            <w:r>
              <w:rPr>
                <w:rFonts w:hint="eastAsia"/>
                <w:color w:val="auto"/>
                <w:highlight w:val="none"/>
              </w:rPr>
              <w:t>第二档次（20分）：对标记为“▲”指标的负偏离≤1项</w:t>
            </w:r>
          </w:p>
          <w:p>
            <w:pPr>
              <w:shd w:val="clear"/>
              <w:spacing w:line="360" w:lineRule="auto"/>
              <w:rPr>
                <w:color w:val="auto"/>
                <w:highlight w:val="none"/>
              </w:rPr>
            </w:pPr>
            <w:r>
              <w:rPr>
                <w:rFonts w:hint="eastAsia"/>
                <w:color w:val="auto"/>
                <w:highlight w:val="none"/>
              </w:rPr>
              <w:t>第三档次（12分）：对标记为“▲”指标的负偏离≤2项</w:t>
            </w:r>
          </w:p>
          <w:p>
            <w:pPr>
              <w:shd w:val="clear"/>
              <w:spacing w:line="360" w:lineRule="auto"/>
              <w:rPr>
                <w:color w:val="auto"/>
                <w:highlight w:val="none"/>
              </w:rPr>
            </w:pPr>
            <w:r>
              <w:rPr>
                <w:rFonts w:hint="eastAsia"/>
                <w:color w:val="auto"/>
                <w:highlight w:val="none"/>
              </w:rPr>
              <w:t>第四档次（8分）：对标记为“▲”指标的负偏离≤3项</w:t>
            </w:r>
          </w:p>
          <w:p>
            <w:pPr>
              <w:shd w:val="clear"/>
              <w:spacing w:line="360" w:lineRule="auto"/>
              <w:rPr>
                <w:rFonts w:ascii="宋体" w:hAnsi="宋体" w:eastAsia="宋体" w:cs="宋体"/>
                <w:color w:val="auto"/>
                <w:szCs w:val="21"/>
                <w:highlight w:val="none"/>
                <w:shd w:val="clear" w:color="auto" w:fill="FFFFFF"/>
              </w:rPr>
            </w:pPr>
            <w:r>
              <w:rPr>
                <w:rFonts w:hint="eastAsia"/>
                <w:color w:val="auto"/>
                <w:highlight w:val="none"/>
              </w:rPr>
              <w:t>第五档次（5分）：对标记为“▲”指标的负偏离</w:t>
            </w:r>
            <w:r>
              <w:rPr>
                <w:rFonts w:hint="eastAsia"/>
                <w:color w:val="auto"/>
                <w:highlight w:val="none"/>
                <w:lang w:eastAsia="zh-CN"/>
              </w:rPr>
              <w:t>≥</w:t>
            </w:r>
            <w:r>
              <w:rPr>
                <w:rFonts w:hint="eastAsia"/>
                <w:color w:val="auto"/>
                <w:highlight w:val="none"/>
              </w:rPr>
              <w:t>3项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5" w:hRule="atLeast"/>
          <w:jc w:val="center"/>
        </w:trPr>
        <w:tc>
          <w:tcPr>
            <w:tcW w:w="2117" w:type="dxa"/>
            <w:vMerge w:val="continue"/>
            <w:tcBorders>
              <w:left w:val="single" w:color="auto" w:sz="2" w:space="0"/>
              <w:right w:val="single" w:color="auto" w:sz="2" w:space="0"/>
            </w:tcBorders>
            <w:vAlign w:val="center"/>
          </w:tcPr>
          <w:p>
            <w:pPr>
              <w:shd w:val="clear"/>
              <w:spacing w:line="360" w:lineRule="auto"/>
              <w:jc w:val="center"/>
              <w:rPr>
                <w:rFonts w:ascii="宋体" w:hAnsi="宋体" w:eastAsia="宋体" w:cs="宋体"/>
                <w:color w:val="auto"/>
                <w:szCs w:val="21"/>
                <w:highlight w:val="none"/>
              </w:rPr>
            </w:pPr>
          </w:p>
        </w:tc>
        <w:tc>
          <w:tcPr>
            <w:tcW w:w="1563" w:type="dxa"/>
            <w:vMerge w:val="continue"/>
            <w:tcBorders>
              <w:left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p>
        </w:tc>
        <w:tc>
          <w:tcPr>
            <w:tcW w:w="6639" w:type="dxa"/>
            <w:tcBorders>
              <w:top w:val="single" w:color="auto" w:sz="2" w:space="0"/>
              <w:left w:val="single" w:color="auto" w:sz="2" w:space="0"/>
              <w:right w:val="single" w:color="auto" w:sz="2" w:space="0"/>
            </w:tcBorders>
            <w:vAlign w:val="center"/>
          </w:tcPr>
          <w:p>
            <w:pPr>
              <w:shd w:val="clear"/>
              <w:spacing w:line="360" w:lineRule="auto"/>
              <w:jc w:val="left"/>
              <w:rPr>
                <w:color w:val="auto"/>
                <w:highlight w:val="none"/>
              </w:rPr>
            </w:pPr>
            <w:r>
              <w:rPr>
                <w:rFonts w:hint="eastAsia"/>
                <w:color w:val="auto"/>
                <w:highlight w:val="none"/>
              </w:rPr>
              <w:t>招标文件第五章中采购标的需满足的质量、安全、技术规格、物理特性等要求中非“▲”号的参数为一般参数，无偏离或正偏离得分但不加分，负偏离扣分处理（满分30分）：</w:t>
            </w:r>
          </w:p>
          <w:p>
            <w:pPr>
              <w:shd w:val="clear"/>
              <w:spacing w:line="360" w:lineRule="auto"/>
              <w:jc w:val="left"/>
              <w:rPr>
                <w:color w:val="auto"/>
                <w:highlight w:val="none"/>
              </w:rPr>
            </w:pPr>
            <w:r>
              <w:rPr>
                <w:rFonts w:hint="eastAsia"/>
                <w:color w:val="auto"/>
                <w:highlight w:val="none"/>
              </w:rPr>
              <w:t>1、投标文件中对技术服务要求进行响应时提供相应支持材料，包括但不限于授权书、或海关单、或产品产业、或官网截图、或方案说明、或第三方证明材料等。如</w:t>
            </w:r>
            <w:r>
              <w:rPr>
                <w:rFonts w:hint="eastAsia"/>
                <w:color w:val="auto"/>
                <w:highlight w:val="none"/>
                <w:lang w:eastAsia="zh-CN"/>
              </w:rPr>
              <w:t>供应商</w:t>
            </w:r>
            <w:r>
              <w:rPr>
                <w:rFonts w:hint="eastAsia"/>
                <w:color w:val="auto"/>
                <w:highlight w:val="none"/>
              </w:rPr>
              <w:t>仅提供了技术偏离表而未提供相应支持材料，或简单复制招标文件内容作为响应的无论是否存在负偏离均视为负偏离；</w:t>
            </w:r>
          </w:p>
          <w:p>
            <w:pPr>
              <w:shd w:val="clear"/>
              <w:spacing w:line="360" w:lineRule="auto"/>
              <w:rPr>
                <w:color w:val="auto"/>
                <w:highlight w:val="none"/>
              </w:rPr>
            </w:pPr>
            <w:r>
              <w:rPr>
                <w:rFonts w:hint="eastAsia"/>
                <w:color w:val="auto"/>
                <w:highlight w:val="none"/>
              </w:rPr>
              <w:t>第一档次（30分）：对标记为非“▲”指标的无负偏离</w:t>
            </w:r>
          </w:p>
          <w:p>
            <w:pPr>
              <w:shd w:val="clear"/>
              <w:spacing w:line="360" w:lineRule="auto"/>
              <w:rPr>
                <w:color w:val="auto"/>
                <w:highlight w:val="none"/>
              </w:rPr>
            </w:pPr>
            <w:r>
              <w:rPr>
                <w:rFonts w:hint="eastAsia"/>
                <w:color w:val="auto"/>
                <w:highlight w:val="none"/>
              </w:rPr>
              <w:t>第二档次（20分）：对标记为非“▲”指标的负偏离≤2项</w:t>
            </w:r>
          </w:p>
          <w:p>
            <w:pPr>
              <w:shd w:val="clear"/>
              <w:spacing w:line="360" w:lineRule="auto"/>
              <w:rPr>
                <w:color w:val="auto"/>
                <w:highlight w:val="none"/>
              </w:rPr>
            </w:pPr>
            <w:r>
              <w:rPr>
                <w:rFonts w:hint="eastAsia"/>
                <w:color w:val="auto"/>
                <w:highlight w:val="none"/>
              </w:rPr>
              <w:t>第三档次（12分）：对标记为非“▲”指标的负偏离≤4项</w:t>
            </w:r>
          </w:p>
          <w:p>
            <w:pPr>
              <w:shd w:val="clear"/>
              <w:spacing w:line="360" w:lineRule="auto"/>
              <w:rPr>
                <w:color w:val="auto"/>
                <w:highlight w:val="none"/>
              </w:rPr>
            </w:pPr>
            <w:r>
              <w:rPr>
                <w:rFonts w:hint="eastAsia"/>
                <w:color w:val="auto"/>
                <w:highlight w:val="none"/>
              </w:rPr>
              <w:t>第四档次（8分）：对标记为非“▲”指标的负偏离≤5项</w:t>
            </w:r>
          </w:p>
          <w:p>
            <w:pPr>
              <w:shd w:val="clear"/>
              <w:spacing w:line="360" w:lineRule="auto"/>
              <w:rPr>
                <w:color w:val="auto"/>
                <w:highlight w:val="none"/>
              </w:rPr>
            </w:pPr>
            <w:r>
              <w:rPr>
                <w:rFonts w:hint="eastAsia"/>
                <w:color w:val="auto"/>
                <w:highlight w:val="none"/>
              </w:rPr>
              <w:t>第五档次（5分）：对标记为非“▲”指标的负偏离≤8项</w:t>
            </w:r>
          </w:p>
          <w:p>
            <w:pPr>
              <w:shd w:val="clear"/>
              <w:spacing w:line="360" w:lineRule="auto"/>
              <w:rPr>
                <w:color w:val="auto"/>
                <w:highlight w:val="none"/>
              </w:rPr>
            </w:pPr>
            <w:r>
              <w:rPr>
                <w:rFonts w:hint="eastAsia"/>
                <w:color w:val="auto"/>
                <w:highlight w:val="none"/>
              </w:rPr>
              <w:t>第六档次（1分）：对标记为非“▲”指标的负偏离</w:t>
            </w:r>
            <w:r>
              <w:rPr>
                <w:rFonts w:hint="eastAsia"/>
                <w:color w:val="auto"/>
                <w:highlight w:val="none"/>
                <w:lang w:eastAsia="zh-CN"/>
              </w:rPr>
              <w:t>≥</w:t>
            </w:r>
            <w:r>
              <w:rPr>
                <w:rFonts w:hint="eastAsia"/>
                <w:color w:val="auto"/>
                <w:highlight w:val="none"/>
              </w:rPr>
              <w:t>8项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2117" w:type="dxa"/>
            <w:vMerge w:val="continue"/>
            <w:tcBorders>
              <w:left w:val="single" w:color="auto" w:sz="2" w:space="0"/>
              <w:right w:val="single" w:color="auto" w:sz="2" w:space="0"/>
            </w:tcBorders>
            <w:vAlign w:val="center"/>
          </w:tcPr>
          <w:p>
            <w:pPr>
              <w:shd w:val="clear"/>
              <w:spacing w:line="360" w:lineRule="auto"/>
              <w:jc w:val="center"/>
              <w:rPr>
                <w:rFonts w:ascii="宋体" w:hAnsi="宋体" w:eastAsia="宋体" w:cs="宋体"/>
                <w:color w:val="auto"/>
                <w:szCs w:val="21"/>
                <w:highlight w:val="none"/>
              </w:rPr>
            </w:pPr>
          </w:p>
        </w:tc>
        <w:tc>
          <w:tcPr>
            <w:tcW w:w="1563" w:type="dxa"/>
            <w:tcBorders>
              <w:top w:val="single" w:color="auto" w:sz="2" w:space="0"/>
              <w:left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技术部分-设备可靠性、稳定性（满分10分）</w:t>
            </w:r>
          </w:p>
        </w:tc>
        <w:tc>
          <w:tcPr>
            <w:tcW w:w="6639" w:type="dxa"/>
            <w:tcBorders>
              <w:top w:val="single" w:color="auto" w:sz="2" w:space="0"/>
              <w:left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第一个档次（10分）：设备产品资料完整，性能描述完整、产品优点突出、特性描述可靠性和稳定性优，提供设备质量，性能满足招标文件要求的并提供相关资料；</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第二个档次（8分）：设备产品资料较为完整，性能描述</w:t>
            </w:r>
            <w:r>
              <w:rPr>
                <w:rFonts w:hint="eastAsia" w:ascii="宋体" w:hAnsi="宋体" w:cs="宋体"/>
                <w:color w:val="auto"/>
                <w:szCs w:val="21"/>
                <w:highlight w:val="none"/>
              </w:rPr>
              <w:t>有遗漏</w:t>
            </w:r>
            <w:r>
              <w:rPr>
                <w:rFonts w:hint="eastAsia" w:ascii="宋体" w:hAnsi="宋体" w:eastAsia="宋体" w:cs="宋体"/>
                <w:color w:val="auto"/>
                <w:szCs w:val="21"/>
                <w:highlight w:val="none"/>
              </w:rPr>
              <w:t>，具备可靠性和稳定性，提供设备质量性能基本满足招标文件要求的并提供相关资料；</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第三个档次（6分）：设备性能有描述但是不完整、特性描述可靠性一般，但是资料提供有缺失，未提供设备，投标设备性能基本满足招标文件要求。</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第四个档次（4分）：设备性能描述较差、产品优点不明显或未描述、特性描述可靠性较差，或未提供相关资料复印件，未提供设备，投标设备性能勉强满足招标文件要求。</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第五个档次（1分）：没有提供设备性能资料、性描述或设备可靠性、稳定性没有证明资料支撑难以判断，或者只提供技术响应表的。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2117" w:type="dxa"/>
            <w:vMerge w:val="continue"/>
            <w:tcBorders>
              <w:left w:val="single" w:color="auto" w:sz="2" w:space="0"/>
              <w:right w:val="single" w:color="auto" w:sz="2" w:space="0"/>
            </w:tcBorders>
            <w:vAlign w:val="center"/>
          </w:tcPr>
          <w:p>
            <w:pPr>
              <w:widowControl/>
              <w:shd w:val="clear"/>
              <w:spacing w:line="360" w:lineRule="auto"/>
              <w:rPr>
                <w:rFonts w:ascii="宋体" w:hAnsi="宋体" w:eastAsia="宋体" w:cs="宋体"/>
                <w:color w:val="auto"/>
                <w:szCs w:val="21"/>
                <w:highlight w:val="none"/>
              </w:rPr>
            </w:pPr>
          </w:p>
        </w:tc>
        <w:tc>
          <w:tcPr>
            <w:tcW w:w="1563" w:type="dxa"/>
            <w:tcBorders>
              <w:top w:val="single" w:color="auto" w:sz="2" w:space="0"/>
              <w:left w:val="single" w:color="auto" w:sz="2" w:space="0"/>
              <w:bottom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履约能力-质量保证及承诺（满分10分）</w:t>
            </w:r>
          </w:p>
        </w:tc>
        <w:tc>
          <w:tcPr>
            <w:tcW w:w="6639" w:type="dxa"/>
            <w:tcBorders>
              <w:top w:val="single" w:color="auto" w:sz="2" w:space="0"/>
              <w:left w:val="single" w:color="auto" w:sz="2" w:space="0"/>
              <w:bottom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第一个档次（10分）：质量承诺</w:t>
            </w:r>
            <w:r>
              <w:rPr>
                <w:rFonts w:hint="eastAsia" w:ascii="宋体" w:hAnsi="宋体" w:cs="宋体"/>
                <w:color w:val="auto"/>
                <w:szCs w:val="21"/>
                <w:highlight w:val="none"/>
              </w:rPr>
              <w:t>满足</w:t>
            </w:r>
            <w:r>
              <w:rPr>
                <w:rFonts w:hint="eastAsia" w:ascii="宋体" w:hAnsi="宋体" w:eastAsia="宋体" w:cs="宋体"/>
                <w:color w:val="auto"/>
                <w:szCs w:val="21"/>
                <w:highlight w:val="none"/>
              </w:rPr>
              <w:t>招标文件要求，且有相应的措施内容，完善具体，针对性强，违约内容明确；</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第二个档次（8分）：质量承诺满足招标文件要求，相应的措施内容具体可行，有一定的针对性，有违约内容；</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第三个档次（6分）：质量承诺</w:t>
            </w:r>
            <w:r>
              <w:rPr>
                <w:rFonts w:hint="eastAsia" w:ascii="宋体" w:hAnsi="宋体" w:cs="宋体"/>
                <w:color w:val="auto"/>
                <w:szCs w:val="21"/>
                <w:highlight w:val="none"/>
              </w:rPr>
              <w:t>响应</w:t>
            </w:r>
            <w:r>
              <w:rPr>
                <w:rFonts w:hint="eastAsia" w:ascii="宋体" w:hAnsi="宋体" w:eastAsia="宋体" w:cs="宋体"/>
                <w:color w:val="auto"/>
                <w:szCs w:val="21"/>
                <w:highlight w:val="none"/>
              </w:rPr>
              <w:t>招标文件要求，相应措施基本可行，但缺乏针对性，或者没有违约承诺；</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第四个档次（4分）：质量承诺较差，措施简单，或者没有违约承诺；</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第五个档次（1分）：只有简答质量承诺但没有具体内容或没有相应的措施，也没有违约承诺。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2117" w:type="dxa"/>
            <w:vMerge w:val="continue"/>
            <w:tcBorders>
              <w:left w:val="single" w:color="auto" w:sz="2" w:space="0"/>
              <w:right w:val="single" w:color="auto" w:sz="2" w:space="0"/>
            </w:tcBorders>
            <w:vAlign w:val="center"/>
          </w:tcPr>
          <w:p>
            <w:pPr>
              <w:widowControl/>
              <w:shd w:val="clear"/>
              <w:spacing w:line="360" w:lineRule="auto"/>
              <w:rPr>
                <w:rFonts w:ascii="宋体" w:hAnsi="宋体" w:eastAsia="宋体" w:cs="宋体"/>
                <w:color w:val="auto"/>
                <w:szCs w:val="21"/>
                <w:highlight w:val="none"/>
              </w:rPr>
            </w:pPr>
          </w:p>
        </w:tc>
        <w:tc>
          <w:tcPr>
            <w:tcW w:w="1563" w:type="dxa"/>
            <w:tcBorders>
              <w:top w:val="single" w:color="auto" w:sz="2" w:space="0"/>
              <w:left w:val="single" w:color="auto" w:sz="2" w:space="0"/>
              <w:bottom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履约能力-售后服务能力、</w:t>
            </w:r>
            <w:r>
              <w:rPr>
                <w:rFonts w:hint="eastAsia" w:ascii="宋体" w:hAnsi="宋体" w:eastAsia="宋体" w:cs="宋体"/>
                <w:bCs/>
                <w:color w:val="auto"/>
                <w:szCs w:val="21"/>
                <w:highlight w:val="none"/>
              </w:rPr>
              <w:t>售后服务方案、</w:t>
            </w:r>
            <w:r>
              <w:rPr>
                <w:rFonts w:hint="eastAsia" w:ascii="宋体" w:hAnsi="宋体" w:eastAsia="宋体" w:cs="宋体"/>
                <w:color w:val="auto"/>
                <w:szCs w:val="21"/>
                <w:highlight w:val="none"/>
              </w:rPr>
              <w:t>承诺及保证（满分10分）</w:t>
            </w:r>
          </w:p>
        </w:tc>
        <w:tc>
          <w:tcPr>
            <w:tcW w:w="6639" w:type="dxa"/>
            <w:tcBorders>
              <w:top w:val="single" w:color="auto" w:sz="2" w:space="0"/>
              <w:left w:val="single" w:color="auto" w:sz="2" w:space="0"/>
              <w:bottom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一个档次（10分）：售后服务能力强，有详细的售后服务方案，有质量保证期内产品维护措施（包括解决问题的能力、紧急故障处理预案、备品备件方案），针对性强有详细的技术人员配置、质保期优于招标文件基本条件、有服务响应时间、违约承诺的；</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第二个档次（8分）：</w:t>
            </w:r>
            <w:r>
              <w:rPr>
                <w:rFonts w:hint="eastAsia" w:ascii="宋体" w:hAnsi="宋体" w:eastAsia="宋体" w:cs="宋体"/>
                <w:color w:val="auto"/>
                <w:spacing w:val="-4"/>
                <w:szCs w:val="21"/>
                <w:highlight w:val="none"/>
              </w:rPr>
              <w:t>有售后服务方案，但是质量保证期内产品维护措施（包括解决问题的能力、紧急故障处理预案、备品备件方案）一般，有技术人员配置、服务响应时间、违约承诺、</w:t>
            </w:r>
            <w:r>
              <w:rPr>
                <w:rFonts w:hint="eastAsia" w:ascii="宋体" w:hAnsi="宋体" w:eastAsia="宋体" w:cs="宋体"/>
                <w:color w:val="auto"/>
                <w:szCs w:val="21"/>
                <w:highlight w:val="none"/>
              </w:rPr>
              <w:t>质保期满足招标文件基本条件</w:t>
            </w:r>
            <w:r>
              <w:rPr>
                <w:rFonts w:hint="eastAsia" w:ascii="宋体" w:hAnsi="宋体" w:eastAsia="宋体" w:cs="宋体"/>
                <w:color w:val="auto"/>
                <w:spacing w:val="-4"/>
                <w:szCs w:val="21"/>
                <w:highlight w:val="none"/>
              </w:rPr>
              <w:t>，但是上述内容不完整或有缺失或针对性一般的</w:t>
            </w:r>
            <w:r>
              <w:rPr>
                <w:rFonts w:hint="eastAsia" w:ascii="宋体" w:hAnsi="宋体" w:eastAsia="宋体" w:cs="宋体"/>
                <w:color w:val="auto"/>
                <w:szCs w:val="21"/>
                <w:highlight w:val="none"/>
              </w:rPr>
              <w:t>；</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第三个档次（6分）：</w:t>
            </w:r>
            <w:r>
              <w:rPr>
                <w:rFonts w:hint="eastAsia" w:ascii="宋体" w:hAnsi="宋体" w:eastAsia="宋体" w:cs="宋体"/>
                <w:color w:val="auto"/>
                <w:spacing w:val="-4"/>
                <w:szCs w:val="21"/>
                <w:highlight w:val="none"/>
              </w:rPr>
              <w:t>有售后服务方案，有质量保证期内产品维护措施（包括解决问题的能力、紧急故障处理预案、备品备件方案）有缺失，但是内容简单，或者有技术人员配置、服务响应时间、违约承诺、</w:t>
            </w:r>
            <w:r>
              <w:rPr>
                <w:rFonts w:hint="eastAsia" w:ascii="宋体" w:hAnsi="宋体" w:eastAsia="宋体" w:cs="宋体"/>
                <w:color w:val="auto"/>
                <w:szCs w:val="21"/>
                <w:highlight w:val="none"/>
              </w:rPr>
              <w:t>质保期满足招标文件基本条件</w:t>
            </w:r>
            <w:r>
              <w:rPr>
                <w:rFonts w:hint="eastAsia" w:ascii="宋体" w:hAnsi="宋体" w:eastAsia="宋体" w:cs="宋体"/>
                <w:color w:val="auto"/>
                <w:spacing w:val="-4"/>
                <w:szCs w:val="21"/>
                <w:highlight w:val="none"/>
              </w:rPr>
              <w:t>，但针对性较差。</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第四个档次（4分）：售后服务能力差，</w:t>
            </w:r>
            <w:r>
              <w:rPr>
                <w:rFonts w:hint="eastAsia" w:ascii="宋体" w:hAnsi="宋体" w:eastAsia="宋体" w:cs="宋体"/>
                <w:bCs/>
                <w:color w:val="auto"/>
                <w:szCs w:val="21"/>
                <w:highlight w:val="none"/>
              </w:rPr>
              <w:t>售后服务方案、</w:t>
            </w:r>
            <w:r>
              <w:rPr>
                <w:rFonts w:hint="eastAsia" w:ascii="宋体" w:hAnsi="宋体" w:eastAsia="宋体" w:cs="宋体"/>
                <w:color w:val="auto"/>
                <w:szCs w:val="21"/>
                <w:highlight w:val="none"/>
              </w:rPr>
              <w:t>承诺及保证可行性较差</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第五个档次（1分）：只有简单应答售后服务内容，但没有具体内容或没有相应的措施，也没有</w:t>
            </w:r>
            <w:r>
              <w:rPr>
                <w:rFonts w:hint="eastAsia" w:ascii="宋体" w:hAnsi="宋体" w:eastAsia="宋体" w:cs="宋体"/>
                <w:bCs/>
                <w:color w:val="auto"/>
                <w:szCs w:val="21"/>
                <w:highlight w:val="none"/>
              </w:rPr>
              <w:t>售后服务方案、</w:t>
            </w:r>
            <w:r>
              <w:rPr>
                <w:rFonts w:hint="eastAsia" w:ascii="宋体" w:hAnsi="宋体" w:eastAsia="宋体" w:cs="宋体"/>
                <w:color w:val="auto"/>
                <w:szCs w:val="21"/>
                <w:highlight w:val="none"/>
              </w:rPr>
              <w:t>承诺及保证或没有质保期描述的。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2117" w:type="dxa"/>
            <w:vMerge w:val="continue"/>
            <w:tcBorders>
              <w:left w:val="single" w:color="auto" w:sz="2" w:space="0"/>
              <w:bottom w:val="single" w:color="auto" w:sz="2" w:space="0"/>
              <w:right w:val="single" w:color="auto" w:sz="2" w:space="0"/>
            </w:tcBorders>
            <w:vAlign w:val="center"/>
          </w:tcPr>
          <w:p>
            <w:pPr>
              <w:widowControl/>
              <w:shd w:val="clear"/>
              <w:spacing w:line="360" w:lineRule="auto"/>
              <w:rPr>
                <w:rFonts w:ascii="宋体" w:hAnsi="宋体" w:eastAsia="宋体" w:cs="宋体"/>
                <w:color w:val="auto"/>
                <w:szCs w:val="21"/>
                <w:highlight w:val="none"/>
              </w:rPr>
            </w:pPr>
          </w:p>
        </w:tc>
        <w:tc>
          <w:tcPr>
            <w:tcW w:w="1563" w:type="dxa"/>
            <w:tcBorders>
              <w:top w:val="single" w:color="auto" w:sz="2" w:space="0"/>
              <w:left w:val="single" w:color="auto" w:sz="2" w:space="0"/>
              <w:bottom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供货组织方案、人员培训方案（满分10分）</w:t>
            </w:r>
          </w:p>
        </w:tc>
        <w:tc>
          <w:tcPr>
            <w:tcW w:w="6639" w:type="dxa"/>
            <w:tcBorders>
              <w:top w:val="single" w:color="auto" w:sz="2" w:space="0"/>
              <w:left w:val="single" w:color="auto" w:sz="2" w:space="0"/>
              <w:bottom w:val="single" w:color="auto" w:sz="2" w:space="0"/>
              <w:right w:val="single" w:color="auto" w:sz="2" w:space="0"/>
            </w:tcBorders>
            <w:vAlign w:val="center"/>
          </w:tcPr>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第一个档次（10分）：供货组织方案完整，</w:t>
            </w:r>
            <w:r>
              <w:rPr>
                <w:rFonts w:hint="eastAsia" w:ascii="宋体" w:hAnsi="宋体" w:cs="宋体"/>
                <w:color w:val="auto"/>
                <w:szCs w:val="21"/>
                <w:highlight w:val="none"/>
              </w:rPr>
              <w:t>有明确的供货计划，</w:t>
            </w:r>
            <w:r>
              <w:rPr>
                <w:rFonts w:hint="eastAsia" w:ascii="宋体" w:hAnsi="宋体" w:eastAsia="宋体" w:cs="宋体"/>
                <w:color w:val="auto"/>
                <w:szCs w:val="21"/>
                <w:highlight w:val="none"/>
              </w:rPr>
              <w:t>安装调试措施明确，人员培训方案完整，措施可行性强；</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第二个档次（8分）：有供货组织方案但是针对性一般、或内容有缺失；人员培训方案良好，措施可行性一般，但是基本满足招标文件要求；</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第三个档次（6分）：供货组织方案、安装调试内容、人员培训方案基本满足要求，措施较差，难以满足招标文件要求，交货期满足</w:t>
            </w:r>
            <w:r>
              <w:rPr>
                <w:rFonts w:hint="eastAsia" w:ascii="宋体" w:hAnsi="宋体" w:cs="宋体"/>
                <w:color w:val="auto"/>
                <w:szCs w:val="21"/>
                <w:highlight w:val="none"/>
              </w:rPr>
              <w:t>招标文件要求</w:t>
            </w:r>
            <w:r>
              <w:rPr>
                <w:rFonts w:hint="eastAsia" w:ascii="宋体" w:hAnsi="宋体" w:eastAsia="宋体" w:cs="宋体"/>
                <w:color w:val="auto"/>
                <w:szCs w:val="21"/>
                <w:highlight w:val="none"/>
              </w:rPr>
              <w:t>；</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第四个档次（4分）：供货组织方案、安装调试内容、人员培训方案有但是内容简单，可行性差，交货期满足</w:t>
            </w:r>
            <w:r>
              <w:rPr>
                <w:rFonts w:hint="eastAsia" w:ascii="宋体" w:hAnsi="宋体" w:cs="宋体"/>
                <w:color w:val="auto"/>
                <w:szCs w:val="21"/>
                <w:highlight w:val="none"/>
              </w:rPr>
              <w:t>招标文件要求</w:t>
            </w:r>
            <w:r>
              <w:rPr>
                <w:rFonts w:hint="eastAsia" w:ascii="宋体" w:hAnsi="宋体" w:eastAsia="宋体" w:cs="宋体"/>
                <w:color w:val="auto"/>
                <w:szCs w:val="21"/>
                <w:highlight w:val="none"/>
              </w:rPr>
              <w:t>；</w:t>
            </w:r>
          </w:p>
          <w:p>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第五个档次（1分）：只有简单应答供货组织内容，但没有具体措施，也没有安装调试内容或人员培训方案，交货期满足</w:t>
            </w:r>
            <w:r>
              <w:rPr>
                <w:rFonts w:hint="eastAsia" w:ascii="宋体" w:hAnsi="宋体" w:cs="宋体"/>
                <w:color w:val="auto"/>
                <w:szCs w:val="21"/>
                <w:highlight w:val="none"/>
              </w:rPr>
              <w:t>招标文件要求</w:t>
            </w:r>
            <w:r>
              <w:rPr>
                <w:rFonts w:hint="eastAsia" w:ascii="宋体" w:hAnsi="宋体" w:eastAsia="宋体" w:cs="宋体"/>
                <w:color w:val="auto"/>
                <w:szCs w:val="21"/>
                <w:highlight w:val="none"/>
              </w:rPr>
              <w:t>；</w:t>
            </w:r>
          </w:p>
        </w:tc>
      </w:tr>
    </w:tbl>
    <w:p>
      <w:pPr>
        <w:pStyle w:val="3"/>
        <w:shd w:val="clear"/>
        <w:spacing w:before="156" w:after="156"/>
        <w:rPr>
          <w:color w:val="auto"/>
          <w:sz w:val="21"/>
          <w:szCs w:val="21"/>
          <w:highlight w:val="none"/>
        </w:rPr>
      </w:pPr>
      <w:r>
        <w:rPr>
          <w:rFonts w:hint="eastAsia"/>
          <w:color w:val="auto"/>
          <w:sz w:val="21"/>
          <w:szCs w:val="21"/>
          <w:highlight w:val="none"/>
        </w:rPr>
        <w:t>1评审方法(综合评分法）</w:t>
      </w:r>
      <w:bookmarkEnd w:id="57"/>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本次评审采用综合评分法。评审小组对满足采购文件实质性要求的响应文件，按照本章第3条规定的评分标准进行打分，并按得分由高到低的顺序推荐候选成交供应商。</w:t>
      </w:r>
    </w:p>
    <w:p>
      <w:pPr>
        <w:pStyle w:val="3"/>
        <w:shd w:val="clear"/>
        <w:spacing w:before="156" w:after="156"/>
        <w:rPr>
          <w:color w:val="auto"/>
          <w:sz w:val="21"/>
          <w:szCs w:val="21"/>
          <w:highlight w:val="none"/>
        </w:rPr>
      </w:pPr>
      <w:bookmarkStart w:id="58" w:name="_Toc19494"/>
      <w:r>
        <w:rPr>
          <w:rFonts w:hint="eastAsia"/>
          <w:color w:val="auto"/>
          <w:sz w:val="21"/>
          <w:szCs w:val="21"/>
          <w:highlight w:val="none"/>
        </w:rPr>
        <w:t>2初步评审标准和程序</w:t>
      </w:r>
      <w:bookmarkEnd w:id="58"/>
    </w:p>
    <w:p>
      <w:pPr>
        <w:pStyle w:val="4"/>
        <w:shd w:val="clear"/>
        <w:rPr>
          <w:color w:val="auto"/>
          <w:sz w:val="21"/>
          <w:szCs w:val="21"/>
          <w:highlight w:val="none"/>
        </w:rPr>
      </w:pPr>
      <w:bookmarkStart w:id="59" w:name="_Toc25734"/>
      <w:r>
        <w:rPr>
          <w:rFonts w:hint="eastAsia"/>
          <w:color w:val="auto"/>
          <w:sz w:val="21"/>
          <w:szCs w:val="21"/>
          <w:highlight w:val="none"/>
        </w:rPr>
        <w:t>2.1初步评审标准</w:t>
      </w:r>
      <w:bookmarkEnd w:id="59"/>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2.1.1形式评审标准：见评审办法前附表。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2.1.2资格评审标准：见评审办法前附表。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2.1.3响应性评审标准：见评审办法前附表。</w:t>
      </w:r>
    </w:p>
    <w:p>
      <w:pPr>
        <w:pStyle w:val="4"/>
        <w:shd w:val="clear"/>
        <w:rPr>
          <w:color w:val="auto"/>
          <w:sz w:val="21"/>
          <w:szCs w:val="21"/>
          <w:highlight w:val="none"/>
        </w:rPr>
      </w:pPr>
      <w:bookmarkStart w:id="60" w:name="_Toc23564"/>
      <w:r>
        <w:rPr>
          <w:rFonts w:hint="eastAsia"/>
          <w:color w:val="auto"/>
          <w:sz w:val="21"/>
          <w:szCs w:val="21"/>
          <w:highlight w:val="none"/>
        </w:rPr>
        <w:t>2.2初步评审程序</w:t>
      </w:r>
      <w:bookmarkEnd w:id="60"/>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2.2.2除评审办法前附表另有规定外，评审价格为供应商在响应函中填报的大写含税价格。</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评审价格若超过最高限价(如有），其响应文件将被视为无效。</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响应报价有算术错误及其他错误的，评审小组按以下原则要求供应商对响应报价 进行修正，并要求供应商书面澄清确认。供应商拒不澄清确认的，其响应文件将被视 为无效：</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大写金额与小写金额不一致的，以大写金额为准；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总价金额与单价金额不一致的，以单价金额为准，但单价金额小数点有明显 错误的除外；</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报价表合计报价与分项报价的合计不一致的，以各分项报价的合价累计数为准；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如果分项报价中存在缺漏项，且缺漏项内容不属于实质性偏差的，则视为缺 漏项内容的价格已包含在其他分项报价之中。</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响应报价的算术错误修正不改变评审依据的响应总报价。当修正后的总报价高于 原响应报价时，视同供应商响应报价错误产生少漏计费用，签订合同时由供应商承担， 如评审小组认为供应商无法承受少漏计费用，可以将响应报价作为异常低价处理；当修正后的总报价低于原响应报价时，签订合同时以修正后的报价为准。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2.2.4供应商有串通、弄虚作假、行贿等违法行为的，其响应文件将被视为无效。</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2.2.5特殊情形处理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pStyle w:val="3"/>
        <w:shd w:val="clear"/>
        <w:spacing w:before="156" w:after="156"/>
        <w:rPr>
          <w:color w:val="auto"/>
          <w:sz w:val="21"/>
          <w:szCs w:val="21"/>
          <w:highlight w:val="none"/>
        </w:rPr>
      </w:pPr>
      <w:bookmarkStart w:id="61" w:name="_Toc1973"/>
      <w:r>
        <w:rPr>
          <w:rFonts w:hint="eastAsia"/>
          <w:color w:val="auto"/>
          <w:sz w:val="21"/>
          <w:szCs w:val="21"/>
          <w:highlight w:val="none"/>
        </w:rPr>
        <w:t>3详细评审标准和程序(综合评分法）</w:t>
      </w:r>
      <w:bookmarkEnd w:id="61"/>
    </w:p>
    <w:p>
      <w:pPr>
        <w:pStyle w:val="4"/>
        <w:shd w:val="clear"/>
        <w:rPr>
          <w:color w:val="auto"/>
          <w:sz w:val="21"/>
          <w:szCs w:val="21"/>
          <w:highlight w:val="none"/>
        </w:rPr>
      </w:pPr>
      <w:bookmarkStart w:id="62" w:name="_Toc4476"/>
      <w:r>
        <w:rPr>
          <w:rFonts w:hint="eastAsia"/>
          <w:color w:val="auto"/>
          <w:sz w:val="21"/>
          <w:szCs w:val="21"/>
          <w:highlight w:val="none"/>
        </w:rPr>
        <w:t>3.1分值构成</w:t>
      </w:r>
      <w:bookmarkEnd w:id="62"/>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商务部分：见评审办法前附表；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技术部分：见评审办法前附表；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报价：见评审办法前附表；</w:t>
      </w:r>
    </w:p>
    <w:p>
      <w:pPr>
        <w:pStyle w:val="4"/>
        <w:shd w:val="clear"/>
        <w:rPr>
          <w:color w:val="auto"/>
          <w:sz w:val="21"/>
          <w:szCs w:val="21"/>
          <w:highlight w:val="none"/>
        </w:rPr>
      </w:pPr>
      <w:bookmarkStart w:id="63" w:name="_Toc17299"/>
      <w:r>
        <w:rPr>
          <w:rFonts w:hint="eastAsia"/>
          <w:color w:val="auto"/>
          <w:sz w:val="21"/>
          <w:szCs w:val="21"/>
          <w:highlight w:val="none"/>
        </w:rPr>
        <w:t>3.2评分标准</w:t>
      </w:r>
      <w:bookmarkEnd w:id="63"/>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商务评分标准：见评审办法前附表；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技术评分标准：见评审办法前附表；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报价评分标准：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报价得分可采用如下方法计算：</w:t>
      </w:r>
    </w:p>
    <w:p>
      <w:pPr>
        <w:shd w:val="clear"/>
        <w:spacing w:line="360" w:lineRule="auto"/>
        <w:ind w:firstLine="420" w:firstLineChars="200"/>
        <w:rPr>
          <w:rFonts w:ascii="Times New Roman" w:hAnsi="Times New Roman" w:eastAsia="宋体"/>
          <w:color w:val="auto"/>
          <w:szCs w:val="21"/>
          <w:highlight w:val="none"/>
        </w:rPr>
      </w:pPr>
      <w:bookmarkStart w:id="64" w:name="_Toc7676"/>
      <w:r>
        <w:rPr>
          <w:rFonts w:hint="eastAsia" w:ascii="Times New Roman" w:hAnsi="Times New Roman" w:eastAsia="宋体"/>
          <w:color w:val="auto"/>
          <w:szCs w:val="21"/>
          <w:highlight w:val="none"/>
        </w:rPr>
        <w:t>满足询比文件要求且报价最低的供应商的价格为评审基准价，供应商报价得分等于评审基准价得满分 10分，其他供应商的报价得分计算方法如下：</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报价得分=（评审基准价/投标报价）×100%</w:t>
      </w:r>
    </w:p>
    <w:p>
      <w:pPr>
        <w:shd w:val="clear"/>
        <w:spacing w:line="360" w:lineRule="auto"/>
        <w:ind w:firstLine="420" w:firstLineChars="200"/>
        <w:rPr>
          <w:color w:val="auto"/>
          <w:highlight w:val="none"/>
        </w:rPr>
      </w:pPr>
      <w:r>
        <w:rPr>
          <w:rFonts w:hint="eastAsia" w:ascii="Times New Roman" w:hAnsi="Times New Roman" w:eastAsia="宋体"/>
          <w:color w:val="auto"/>
          <w:szCs w:val="21"/>
          <w:highlight w:val="none"/>
        </w:rPr>
        <w:t>报价得分权重0.3</w:t>
      </w:r>
    </w:p>
    <w:p>
      <w:pPr>
        <w:pStyle w:val="4"/>
        <w:shd w:val="clear"/>
        <w:rPr>
          <w:color w:val="auto"/>
          <w:sz w:val="21"/>
          <w:szCs w:val="21"/>
          <w:highlight w:val="none"/>
        </w:rPr>
      </w:pPr>
      <w:r>
        <w:rPr>
          <w:rFonts w:hint="eastAsia"/>
          <w:color w:val="auto"/>
          <w:sz w:val="21"/>
          <w:szCs w:val="21"/>
          <w:highlight w:val="none"/>
        </w:rPr>
        <w:t>3.4评分</w:t>
      </w:r>
      <w:bookmarkEnd w:id="64"/>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成员按照评分标准独立对供应商的商务、技术和其他因素进行评分。报价评分由评审小组统一计算。各项得分汇总后为该成员给供应商的评分总分。评分分值计算保留小数点后两位，小数点后第三位“四舍五入”。</w:t>
      </w:r>
    </w:p>
    <w:p>
      <w:pPr>
        <w:pStyle w:val="4"/>
        <w:shd w:val="clear"/>
        <w:rPr>
          <w:color w:val="auto"/>
          <w:sz w:val="21"/>
          <w:szCs w:val="21"/>
          <w:highlight w:val="none"/>
        </w:rPr>
      </w:pPr>
      <w:bookmarkStart w:id="65" w:name="_Toc24548"/>
      <w:r>
        <w:rPr>
          <w:rFonts w:hint="eastAsia"/>
          <w:color w:val="auto"/>
          <w:sz w:val="21"/>
          <w:szCs w:val="21"/>
          <w:highlight w:val="none"/>
        </w:rPr>
        <w:t>3.5汇总</w:t>
      </w:r>
      <w:bookmarkEnd w:id="65"/>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评审小组汇总每个成员对供应商的评分总分，每个供应商的评分总分的算术平均值为供应商最终得分。</w:t>
      </w:r>
    </w:p>
    <w:p>
      <w:pPr>
        <w:pStyle w:val="4"/>
        <w:shd w:val="clear"/>
        <w:rPr>
          <w:color w:val="auto"/>
          <w:sz w:val="21"/>
          <w:szCs w:val="21"/>
          <w:highlight w:val="none"/>
        </w:rPr>
      </w:pPr>
      <w:bookmarkStart w:id="66" w:name="_Toc32051"/>
      <w:r>
        <w:rPr>
          <w:rFonts w:hint="eastAsia"/>
          <w:color w:val="auto"/>
          <w:sz w:val="21"/>
          <w:szCs w:val="21"/>
          <w:highlight w:val="none"/>
        </w:rPr>
        <w:t>3.6排序</w:t>
      </w:r>
      <w:bookmarkEnd w:id="66"/>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pStyle w:val="4"/>
        <w:shd w:val="clear"/>
        <w:rPr>
          <w:color w:val="auto"/>
          <w:sz w:val="21"/>
          <w:szCs w:val="21"/>
          <w:highlight w:val="none"/>
        </w:rPr>
      </w:pPr>
      <w:bookmarkStart w:id="67" w:name="_Toc14561"/>
      <w:r>
        <w:rPr>
          <w:rFonts w:hint="eastAsia"/>
          <w:color w:val="auto"/>
          <w:sz w:val="21"/>
          <w:szCs w:val="21"/>
          <w:highlight w:val="none"/>
        </w:rPr>
        <w:t>3.7特殊情形处理</w:t>
      </w:r>
      <w:bookmarkEnd w:id="67"/>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当通过初步评审的供应商数量未超过询比采购公告第1. 6款规定的成交供应商数量、评审小组认为供应商的响应报价合理且物有所值时，不再进行详细评审，直接推荐上述供应商为候选成交供应商。</w:t>
      </w:r>
    </w:p>
    <w:p>
      <w:pPr>
        <w:pStyle w:val="3"/>
        <w:shd w:val="clear"/>
        <w:spacing w:before="156" w:after="156"/>
        <w:rPr>
          <w:color w:val="auto"/>
          <w:sz w:val="21"/>
          <w:szCs w:val="21"/>
          <w:highlight w:val="none"/>
        </w:rPr>
      </w:pPr>
      <w:bookmarkStart w:id="68" w:name="_Toc21751"/>
      <w:r>
        <w:rPr>
          <w:rFonts w:hint="eastAsia"/>
          <w:color w:val="auto"/>
          <w:sz w:val="21"/>
          <w:szCs w:val="21"/>
          <w:highlight w:val="none"/>
        </w:rPr>
        <w:t>4评审结果</w:t>
      </w:r>
      <w:bookmarkEnd w:id="68"/>
    </w:p>
    <w:p>
      <w:pPr>
        <w:pStyle w:val="4"/>
        <w:shd w:val="clear"/>
        <w:rPr>
          <w:color w:val="auto"/>
          <w:sz w:val="21"/>
          <w:szCs w:val="21"/>
          <w:highlight w:val="none"/>
        </w:rPr>
      </w:pPr>
      <w:bookmarkStart w:id="69" w:name="_Toc13693"/>
      <w:r>
        <w:rPr>
          <w:rFonts w:hint="eastAsia"/>
          <w:color w:val="auto"/>
          <w:sz w:val="21"/>
          <w:szCs w:val="21"/>
          <w:highlight w:val="none"/>
        </w:rPr>
        <w:t>4.1提交书面评审报告</w:t>
      </w:r>
      <w:bookmarkEnd w:id="69"/>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评审小组完成评审后，应当向采购人提交书面评审报告。</w:t>
      </w:r>
    </w:p>
    <w:p>
      <w:pPr>
        <w:pStyle w:val="4"/>
        <w:shd w:val="clear"/>
        <w:rPr>
          <w:color w:val="auto"/>
          <w:sz w:val="21"/>
          <w:szCs w:val="21"/>
          <w:highlight w:val="none"/>
        </w:rPr>
      </w:pPr>
      <w:bookmarkStart w:id="70" w:name="_Toc20229"/>
      <w:r>
        <w:rPr>
          <w:rFonts w:hint="eastAsia"/>
          <w:color w:val="auto"/>
          <w:sz w:val="21"/>
          <w:szCs w:val="21"/>
          <w:highlight w:val="none"/>
        </w:rPr>
        <w:t>4.2推荐候选成交供应商排序要求及数量</w:t>
      </w:r>
      <w:bookmarkEnd w:id="70"/>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评审小组应在书面评审报告中按照供应商排列的优先顺序向采购人推荐候选成交供应商。候选成交供应商的排序要求及数量见第二章“供应商须知”。</w:t>
      </w:r>
    </w:p>
    <w:p>
      <w:pPr>
        <w:pStyle w:val="3"/>
        <w:shd w:val="clear"/>
        <w:spacing w:before="156" w:after="156"/>
        <w:rPr>
          <w:color w:val="auto"/>
          <w:sz w:val="21"/>
          <w:szCs w:val="21"/>
          <w:highlight w:val="none"/>
        </w:rPr>
      </w:pPr>
      <w:bookmarkStart w:id="71" w:name="_Toc1234"/>
      <w:r>
        <w:rPr>
          <w:rFonts w:hint="eastAsia"/>
          <w:color w:val="auto"/>
          <w:sz w:val="21"/>
          <w:szCs w:val="21"/>
          <w:highlight w:val="none"/>
        </w:rPr>
        <w:t>5直接转换采购方式评审程序</w:t>
      </w:r>
      <w:bookmarkEnd w:id="71"/>
    </w:p>
    <w:p>
      <w:pPr>
        <w:pStyle w:val="4"/>
        <w:shd w:val="clear"/>
        <w:rPr>
          <w:color w:val="auto"/>
          <w:sz w:val="21"/>
          <w:szCs w:val="21"/>
          <w:highlight w:val="none"/>
        </w:rPr>
      </w:pPr>
      <w:bookmarkStart w:id="72" w:name="_Toc303"/>
      <w:r>
        <w:rPr>
          <w:rFonts w:hint="eastAsia"/>
          <w:color w:val="auto"/>
          <w:sz w:val="21"/>
          <w:szCs w:val="21"/>
          <w:highlight w:val="none"/>
        </w:rPr>
        <w:t>5.1初步评审</w:t>
      </w:r>
      <w:bookmarkEnd w:id="72"/>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5.1. 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5.1.2响应文件的形式或供应商资格不符合采购文件的要求、响应文件未实质性响应 采购文件的要求，或响应文件中有含义不明确、同类问题表述不一致或有明显文字和 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5.1.3只有形式评审和资格评审合格且实质性响应采购文件要求的供应商才可通过初步评审。经供应商澄清、说明和补正后仍未通过初步评审的响应文件将被视为无效，评审小组应告知有关供应商。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5.1.4当通过初步评审的供应商数量大于询比采购公告第1. 6款规定的成交供应商数量时，可以改为参照谈判方式继续评审选择成交供应商。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当通过初步评审的供应商数量等于询比采购公告规定的成交供应商数量时，可以改为参照直接采购方式继续评审选择成交供应商。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当询比采购公告第1.6款选择多家成交供应商，通过初步评审的供应商数量小于约定成交供应商数量且大于等于一家的，可以改为参照直接采购方式 继续评审选择一部分成交供应商，或者终止全部采购，重新组织采购选择全部成交供应商。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初步评审后，当所有响应文件均无效时，应重新组织采购。</w:t>
      </w:r>
    </w:p>
    <w:p>
      <w:pPr>
        <w:pStyle w:val="4"/>
        <w:shd w:val="clear"/>
        <w:rPr>
          <w:color w:val="auto"/>
          <w:sz w:val="21"/>
          <w:szCs w:val="21"/>
          <w:highlight w:val="none"/>
        </w:rPr>
      </w:pPr>
      <w:bookmarkStart w:id="73" w:name="_Toc1025"/>
      <w:r>
        <w:rPr>
          <w:rFonts w:hint="eastAsia"/>
          <w:color w:val="auto"/>
          <w:sz w:val="21"/>
          <w:szCs w:val="21"/>
          <w:highlight w:val="none"/>
        </w:rPr>
        <w:t>5.2转换采购方式</w:t>
      </w:r>
      <w:bookmarkEnd w:id="73"/>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5.2.1参照谈判采购方式评审</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(1)谈判。</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评审小组应按照供应商递交响应文件的顺序或评审小组抽签确定的顺序与通过 初步评审的供应商逐一进行谈判。评审小组可以根据谈判情况决定谈判轮次，并给予所有参加谈判的供应商平等的谈判机会。在谈判过程中，评审小组可根据谈判情况修 改和补充采购文件中的非实质性内容，但不得改变评审标准或可能影响初步评审结果的内容。</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2)供应商的法定代表人(单位负责人）或其授权的代理人应参加谈判。供应商的法定代表人(单位负责人）或其授权的代理人在谈判中作出的承诺构成响应文件的组成部分。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3)谈判结束后，评审小组将要求所有参加谈判的供应商在规定时间内递交最终报价。最终报价应由供应商的法定代表人(单位负责人）或其授权的代理人签字或盖单位章。最终报价是供应商响应文件的组成部分。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(2)公开开启最终报价。</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评审小组将在递交最终报价的截止时间公开开启最终报价，供应商未派代表参加开启会议的，视为默认开启结果。</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(3)详细评审。</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评审小组将按本章第3条规定对响应文件及其最终报价进行详细评审。采用综合 评分法的，评审小组有权对本章第3.2项规定的评审基准价和第3.3 (3)目规定的报 价评分标准进行调整，但评审小组应在谈判开始前向供应商公布，未公布的，视为评审基准价和报价评分标准不作调整；详细评审标准中除报价评审标准外的其他评审标准不作调整。</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通过谈判后，评审小组认为所有供应商的最终报价仍然不合理的，应向采购人提 出终止采购建议。</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(4)编写评审报告。</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评审小组按本章第4. 2款规定推荐候选成交供应商或按本章第5. 2. 1 ( 3)规定提 出终止采购建议，并向采购人提交书面评审报告。</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5.2.2参照直接采购方式评审</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(1)谈判。</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评审小组所有成员集中与供应商进行谈判，供应商的法定代表人(单位负责人）或其授权的代理人应参加谈判。在谈判过程中，评审小组可根据谈判情况修改和补充 采购文件中的非实质性内容，但不得改变可能影响初步评审结果的内容。供应商的法 定代表人(单位负责人或其授权的代理人）在谈判中作出的承诺构成响应文件的组成 部分。评审小组可根据需要，安排多轮谈判。</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(2)详细评审。</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评审小组通过对采购成本、供应能力、风险管控、采购目标等的分析，对供应商 拟提供标的技术、商务进行物有所值综合评价。</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 编写评审报告。</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评审小组根据预期的谈判目标综合谈判纪要编写评审报告，推荐候选成交供应商或提出谈判终止建议。</w:t>
      </w: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sectPr>
          <w:pgSz w:w="11906" w:h="16838"/>
          <w:pgMar w:top="1440" w:right="1080" w:bottom="1440" w:left="1080" w:header="851" w:footer="992" w:gutter="0"/>
          <w:cols w:space="425" w:num="1"/>
          <w:docGrid w:type="lines" w:linePitch="312" w:charSpace="0"/>
        </w:sectPr>
      </w:pPr>
    </w:p>
    <w:p>
      <w:pPr>
        <w:pStyle w:val="2"/>
        <w:shd w:val="clear"/>
        <w:spacing w:before="312" w:after="312"/>
        <w:rPr>
          <w:color w:val="auto"/>
          <w:highlight w:val="none"/>
        </w:rPr>
      </w:pPr>
      <w:bookmarkStart w:id="74" w:name="_Toc24641"/>
      <w:r>
        <w:rPr>
          <w:rFonts w:hint="eastAsia"/>
          <w:color w:val="auto"/>
          <w:highlight w:val="none"/>
        </w:rPr>
        <w:t>第四章  合同条款及格式</w:t>
      </w:r>
      <w:bookmarkEnd w:id="74"/>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（本合同内容仅供参考，甲乙双方可根据国家相关法律法规及本项目的情况另行约定）</w:t>
      </w:r>
    </w:p>
    <w:p>
      <w:pPr>
        <w:shd w:val="clear"/>
        <w:spacing w:line="360" w:lineRule="auto"/>
        <w:ind w:firstLine="420" w:firstLineChars="200"/>
        <w:rPr>
          <w:rFonts w:ascii="宋体" w:hAnsi="宋体"/>
          <w:color w:val="auto"/>
          <w:szCs w:val="21"/>
          <w:highlight w:val="none"/>
          <w:u w:val="single"/>
        </w:rPr>
      </w:pPr>
    </w:p>
    <w:p>
      <w:pPr>
        <w:pStyle w:val="27"/>
        <w:shd w:val="clear"/>
        <w:adjustRightInd w:val="0"/>
        <w:snapToGrid w:val="0"/>
        <w:spacing w:line="560" w:lineRule="exact"/>
        <w:rPr>
          <w:rFonts w:ascii="宋体" w:eastAsia="宋体" w:cs="宋体"/>
          <w:color w:val="auto"/>
          <w:szCs w:val="21"/>
          <w:highlight w:val="none"/>
        </w:rPr>
      </w:pPr>
      <w:r>
        <w:rPr>
          <w:rFonts w:hint="eastAsia" w:ascii="宋体" w:eastAsia="宋体" w:cs="宋体"/>
          <w:color w:val="auto"/>
          <w:szCs w:val="21"/>
          <w:highlight w:val="none"/>
        </w:rPr>
        <w:t>根据申请编号</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为依据的采购结果，甲乙双方本着诚实信用，平等互利的原则，依据中华人民共和国有关法律规定，经协商一致，就甲方向乙方购买以下仪器设备事宜签订本合同。</w:t>
      </w:r>
    </w:p>
    <w:p>
      <w:pPr>
        <w:pStyle w:val="27"/>
        <w:shd w:val="clear"/>
        <w:adjustRightInd w:val="0"/>
        <w:snapToGrid w:val="0"/>
        <w:spacing w:line="560" w:lineRule="exact"/>
        <w:ind w:firstLine="422" w:firstLineChars="200"/>
        <w:rPr>
          <w:rFonts w:ascii="宋体" w:eastAsia="宋体" w:cs="宋体"/>
          <w:color w:val="auto"/>
          <w:szCs w:val="21"/>
          <w:highlight w:val="none"/>
        </w:rPr>
      </w:pPr>
      <w:r>
        <w:rPr>
          <w:rFonts w:hint="eastAsia" w:ascii="宋体" w:eastAsia="宋体" w:cs="宋体"/>
          <w:b/>
          <w:bCs/>
          <w:color w:val="auto"/>
          <w:szCs w:val="21"/>
          <w:highlight w:val="none"/>
        </w:rPr>
        <w:t>第一条、</w:t>
      </w:r>
      <w:r>
        <w:rPr>
          <w:rFonts w:hint="eastAsia" w:ascii="宋体" w:eastAsia="宋体" w:cs="宋体"/>
          <w:color w:val="auto"/>
          <w:szCs w:val="21"/>
          <w:highlight w:val="none"/>
        </w:rPr>
        <w:t>仪器设备</w:t>
      </w:r>
    </w:p>
    <w:p>
      <w:pPr>
        <w:pStyle w:val="27"/>
        <w:shd w:val="clear"/>
        <w:adjustRightInd w:val="0"/>
        <w:snapToGrid w:val="0"/>
        <w:spacing w:line="560" w:lineRule="exact"/>
        <w:ind w:firstLine="420" w:firstLineChars="200"/>
        <w:rPr>
          <w:rFonts w:ascii="宋体" w:eastAsia="宋体" w:cs="宋体"/>
          <w:color w:val="auto"/>
          <w:szCs w:val="21"/>
          <w:highlight w:val="none"/>
        </w:rPr>
      </w:pPr>
      <w:r>
        <w:rPr>
          <w:rFonts w:hint="eastAsia" w:ascii="宋体" w:eastAsia="宋体" w:cs="宋体"/>
          <w:color w:val="auto"/>
          <w:szCs w:val="21"/>
          <w:highlight w:val="none"/>
        </w:rPr>
        <w:t>仪器设备名称、品牌、规格型号、厂家、数量、单价、总价、备注</w:t>
      </w:r>
    </w:p>
    <w:p>
      <w:pPr>
        <w:pStyle w:val="27"/>
        <w:shd w:val="clear"/>
        <w:adjustRightInd w:val="0"/>
        <w:snapToGrid w:val="0"/>
        <w:spacing w:line="560" w:lineRule="exact"/>
        <w:jc w:val="right"/>
        <w:rPr>
          <w:rFonts w:ascii="宋体" w:eastAsia="宋体" w:cs="宋体"/>
          <w:color w:val="auto"/>
          <w:szCs w:val="21"/>
          <w:highlight w:val="none"/>
        </w:rPr>
      </w:pPr>
      <w:r>
        <w:rPr>
          <w:rFonts w:hint="eastAsia" w:ascii="宋体" w:eastAsia="宋体" w:cs="宋体"/>
          <w:color w:val="auto"/>
          <w:szCs w:val="21"/>
          <w:highlight w:val="none"/>
        </w:rPr>
        <w:t>金额单位：人民币元</w:t>
      </w:r>
    </w:p>
    <w:tbl>
      <w:tblPr>
        <w:tblStyle w:val="29"/>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1134"/>
        <w:gridCol w:w="1607"/>
        <w:gridCol w:w="460"/>
        <w:gridCol w:w="426"/>
        <w:gridCol w:w="1417"/>
        <w:gridCol w:w="157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119" w:type="dxa"/>
            <w:vAlign w:val="center"/>
          </w:tcPr>
          <w:p>
            <w:pPr>
              <w:pStyle w:val="27"/>
              <w:shd w:val="clear"/>
              <w:adjustRightInd w:val="0"/>
              <w:snapToGrid w:val="0"/>
              <w:spacing w:line="560" w:lineRule="exact"/>
              <w:jc w:val="center"/>
              <w:rPr>
                <w:rFonts w:ascii="宋体" w:eastAsia="宋体" w:cs="宋体"/>
                <w:color w:val="auto"/>
                <w:szCs w:val="21"/>
                <w:highlight w:val="none"/>
              </w:rPr>
            </w:pPr>
            <w:r>
              <w:rPr>
                <w:rFonts w:hint="eastAsia" w:ascii="宋体" w:eastAsia="宋体" w:cs="宋体"/>
                <w:color w:val="auto"/>
                <w:szCs w:val="21"/>
                <w:highlight w:val="none"/>
              </w:rPr>
              <w:t>设备、仪器名称</w:t>
            </w:r>
          </w:p>
        </w:tc>
        <w:tc>
          <w:tcPr>
            <w:tcW w:w="1134" w:type="dxa"/>
            <w:vAlign w:val="center"/>
          </w:tcPr>
          <w:p>
            <w:pPr>
              <w:pStyle w:val="27"/>
              <w:shd w:val="clear"/>
              <w:adjustRightInd w:val="0"/>
              <w:snapToGrid w:val="0"/>
              <w:spacing w:line="560" w:lineRule="exact"/>
              <w:jc w:val="center"/>
              <w:rPr>
                <w:rFonts w:ascii="宋体" w:eastAsia="宋体" w:cs="宋体"/>
                <w:color w:val="auto"/>
                <w:szCs w:val="21"/>
                <w:highlight w:val="none"/>
              </w:rPr>
            </w:pPr>
            <w:r>
              <w:rPr>
                <w:rFonts w:hint="eastAsia" w:ascii="宋体" w:eastAsia="宋体" w:cs="宋体"/>
                <w:color w:val="auto"/>
                <w:szCs w:val="21"/>
                <w:highlight w:val="none"/>
              </w:rPr>
              <w:t>品牌、生产厂家</w:t>
            </w:r>
          </w:p>
        </w:tc>
        <w:tc>
          <w:tcPr>
            <w:tcW w:w="1607" w:type="dxa"/>
            <w:vAlign w:val="center"/>
          </w:tcPr>
          <w:p>
            <w:pPr>
              <w:pStyle w:val="27"/>
              <w:shd w:val="clear"/>
              <w:adjustRightInd w:val="0"/>
              <w:snapToGrid w:val="0"/>
              <w:spacing w:line="560" w:lineRule="exact"/>
              <w:jc w:val="center"/>
              <w:rPr>
                <w:rFonts w:ascii="宋体" w:eastAsia="宋体" w:cs="宋体"/>
                <w:color w:val="auto"/>
                <w:szCs w:val="21"/>
                <w:highlight w:val="none"/>
              </w:rPr>
            </w:pPr>
            <w:r>
              <w:rPr>
                <w:rFonts w:hint="eastAsia" w:ascii="宋体" w:eastAsia="宋体" w:cs="宋体"/>
                <w:color w:val="auto"/>
                <w:szCs w:val="21"/>
                <w:highlight w:val="none"/>
              </w:rPr>
              <w:t>规格型号</w:t>
            </w:r>
          </w:p>
        </w:tc>
        <w:tc>
          <w:tcPr>
            <w:tcW w:w="460" w:type="dxa"/>
            <w:vAlign w:val="center"/>
          </w:tcPr>
          <w:p>
            <w:pPr>
              <w:pStyle w:val="27"/>
              <w:shd w:val="clear"/>
              <w:adjustRightInd w:val="0"/>
              <w:snapToGrid w:val="0"/>
              <w:spacing w:line="560" w:lineRule="exact"/>
              <w:jc w:val="center"/>
              <w:rPr>
                <w:rFonts w:ascii="宋体" w:eastAsia="宋体" w:cs="宋体"/>
                <w:color w:val="auto"/>
                <w:szCs w:val="21"/>
                <w:highlight w:val="none"/>
              </w:rPr>
            </w:pPr>
            <w:r>
              <w:rPr>
                <w:rFonts w:hint="eastAsia" w:ascii="宋体" w:eastAsia="宋体" w:cs="宋体"/>
                <w:color w:val="auto"/>
                <w:szCs w:val="21"/>
                <w:highlight w:val="none"/>
              </w:rPr>
              <w:t>单位</w:t>
            </w:r>
          </w:p>
        </w:tc>
        <w:tc>
          <w:tcPr>
            <w:tcW w:w="426" w:type="dxa"/>
            <w:vAlign w:val="center"/>
          </w:tcPr>
          <w:p>
            <w:pPr>
              <w:pStyle w:val="27"/>
              <w:shd w:val="clear"/>
              <w:adjustRightInd w:val="0"/>
              <w:snapToGrid w:val="0"/>
              <w:spacing w:line="560" w:lineRule="exact"/>
              <w:jc w:val="center"/>
              <w:rPr>
                <w:rFonts w:ascii="宋体" w:eastAsia="宋体" w:cs="宋体"/>
                <w:color w:val="auto"/>
                <w:szCs w:val="21"/>
                <w:highlight w:val="none"/>
              </w:rPr>
            </w:pPr>
            <w:r>
              <w:rPr>
                <w:rFonts w:hint="eastAsia" w:ascii="宋体" w:eastAsia="宋体" w:cs="宋体"/>
                <w:color w:val="auto"/>
                <w:szCs w:val="21"/>
                <w:highlight w:val="none"/>
              </w:rPr>
              <w:t>数量</w:t>
            </w:r>
          </w:p>
        </w:tc>
        <w:tc>
          <w:tcPr>
            <w:tcW w:w="1417" w:type="dxa"/>
            <w:vAlign w:val="center"/>
          </w:tcPr>
          <w:p>
            <w:pPr>
              <w:pStyle w:val="27"/>
              <w:shd w:val="clear"/>
              <w:adjustRightInd w:val="0"/>
              <w:snapToGrid w:val="0"/>
              <w:spacing w:line="560" w:lineRule="exact"/>
              <w:jc w:val="center"/>
              <w:rPr>
                <w:rFonts w:ascii="宋体" w:eastAsia="宋体" w:cs="宋体"/>
                <w:color w:val="auto"/>
                <w:szCs w:val="21"/>
                <w:highlight w:val="none"/>
              </w:rPr>
            </w:pPr>
            <w:r>
              <w:rPr>
                <w:rFonts w:hint="eastAsia" w:ascii="宋体" w:eastAsia="宋体" w:cs="宋体"/>
                <w:color w:val="auto"/>
                <w:szCs w:val="21"/>
                <w:highlight w:val="none"/>
              </w:rPr>
              <w:t>单价</w:t>
            </w:r>
          </w:p>
        </w:tc>
        <w:tc>
          <w:tcPr>
            <w:tcW w:w="1577" w:type="dxa"/>
            <w:vAlign w:val="center"/>
          </w:tcPr>
          <w:p>
            <w:pPr>
              <w:pStyle w:val="27"/>
              <w:shd w:val="clear"/>
              <w:adjustRightInd w:val="0"/>
              <w:snapToGrid w:val="0"/>
              <w:spacing w:line="560" w:lineRule="exact"/>
              <w:jc w:val="center"/>
              <w:rPr>
                <w:rFonts w:ascii="宋体" w:eastAsia="宋体" w:cs="宋体"/>
                <w:color w:val="auto"/>
                <w:szCs w:val="21"/>
                <w:highlight w:val="none"/>
              </w:rPr>
            </w:pPr>
            <w:r>
              <w:rPr>
                <w:rFonts w:hint="eastAsia" w:ascii="宋体" w:eastAsia="宋体" w:cs="宋体"/>
                <w:color w:val="auto"/>
                <w:szCs w:val="21"/>
                <w:highlight w:val="none"/>
              </w:rPr>
              <w:t>总价</w:t>
            </w:r>
          </w:p>
        </w:tc>
        <w:tc>
          <w:tcPr>
            <w:tcW w:w="1577" w:type="dxa"/>
          </w:tcPr>
          <w:p>
            <w:pPr>
              <w:pStyle w:val="27"/>
              <w:shd w:val="clear"/>
              <w:adjustRightInd w:val="0"/>
              <w:snapToGrid w:val="0"/>
              <w:spacing w:line="560" w:lineRule="exact"/>
              <w:jc w:val="center"/>
              <w:rPr>
                <w:rFonts w:ascii="宋体" w:eastAsia="宋体" w:cs="宋体"/>
                <w:color w:val="auto"/>
                <w:szCs w:val="21"/>
                <w:highlight w:val="none"/>
              </w:rPr>
            </w:pPr>
            <w:r>
              <w:rPr>
                <w:rFonts w:hint="eastAsia" w:asci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9" w:type="dxa"/>
          </w:tcPr>
          <w:p>
            <w:pPr>
              <w:pStyle w:val="27"/>
              <w:shd w:val="clear"/>
              <w:adjustRightInd w:val="0"/>
              <w:snapToGrid w:val="0"/>
              <w:spacing w:line="560" w:lineRule="exact"/>
              <w:jc w:val="center"/>
              <w:rPr>
                <w:rFonts w:ascii="宋体" w:eastAsia="宋体" w:cs="宋体"/>
                <w:color w:val="auto"/>
                <w:szCs w:val="21"/>
                <w:highlight w:val="none"/>
              </w:rPr>
            </w:pPr>
          </w:p>
        </w:tc>
        <w:tc>
          <w:tcPr>
            <w:tcW w:w="1134" w:type="dxa"/>
          </w:tcPr>
          <w:p>
            <w:pPr>
              <w:pStyle w:val="27"/>
              <w:shd w:val="clear"/>
              <w:adjustRightInd w:val="0"/>
              <w:snapToGrid w:val="0"/>
              <w:spacing w:line="560" w:lineRule="exact"/>
              <w:jc w:val="center"/>
              <w:rPr>
                <w:rFonts w:ascii="宋体" w:eastAsia="宋体" w:cs="宋体"/>
                <w:color w:val="auto"/>
                <w:szCs w:val="21"/>
                <w:highlight w:val="none"/>
              </w:rPr>
            </w:pPr>
          </w:p>
        </w:tc>
        <w:tc>
          <w:tcPr>
            <w:tcW w:w="1607" w:type="dxa"/>
          </w:tcPr>
          <w:p>
            <w:pPr>
              <w:pStyle w:val="27"/>
              <w:shd w:val="clear"/>
              <w:adjustRightInd w:val="0"/>
              <w:snapToGrid w:val="0"/>
              <w:spacing w:line="560" w:lineRule="exact"/>
              <w:jc w:val="center"/>
              <w:rPr>
                <w:rFonts w:ascii="宋体" w:eastAsia="宋体" w:cs="宋体"/>
                <w:color w:val="auto"/>
                <w:szCs w:val="21"/>
                <w:highlight w:val="none"/>
              </w:rPr>
            </w:pPr>
          </w:p>
        </w:tc>
        <w:tc>
          <w:tcPr>
            <w:tcW w:w="460" w:type="dxa"/>
          </w:tcPr>
          <w:p>
            <w:pPr>
              <w:pStyle w:val="27"/>
              <w:shd w:val="clear"/>
              <w:adjustRightInd w:val="0"/>
              <w:snapToGrid w:val="0"/>
              <w:spacing w:line="560" w:lineRule="exact"/>
              <w:jc w:val="center"/>
              <w:rPr>
                <w:rFonts w:ascii="宋体" w:eastAsia="宋体" w:cs="宋体"/>
                <w:color w:val="auto"/>
                <w:szCs w:val="21"/>
                <w:highlight w:val="none"/>
              </w:rPr>
            </w:pPr>
          </w:p>
        </w:tc>
        <w:tc>
          <w:tcPr>
            <w:tcW w:w="426" w:type="dxa"/>
          </w:tcPr>
          <w:p>
            <w:pPr>
              <w:pStyle w:val="27"/>
              <w:shd w:val="clear"/>
              <w:adjustRightInd w:val="0"/>
              <w:snapToGrid w:val="0"/>
              <w:spacing w:line="560" w:lineRule="exact"/>
              <w:jc w:val="center"/>
              <w:rPr>
                <w:rFonts w:ascii="宋体" w:eastAsia="宋体" w:cs="宋体"/>
                <w:color w:val="auto"/>
                <w:szCs w:val="21"/>
                <w:highlight w:val="none"/>
              </w:rPr>
            </w:pPr>
          </w:p>
        </w:tc>
        <w:tc>
          <w:tcPr>
            <w:tcW w:w="1417" w:type="dxa"/>
          </w:tcPr>
          <w:p>
            <w:pPr>
              <w:pStyle w:val="27"/>
              <w:shd w:val="clear"/>
              <w:adjustRightInd w:val="0"/>
              <w:snapToGrid w:val="0"/>
              <w:spacing w:line="560" w:lineRule="exact"/>
              <w:jc w:val="center"/>
              <w:rPr>
                <w:rFonts w:ascii="宋体" w:eastAsia="宋体" w:cs="宋体"/>
                <w:color w:val="auto"/>
                <w:szCs w:val="21"/>
                <w:highlight w:val="none"/>
              </w:rPr>
            </w:pPr>
          </w:p>
        </w:tc>
        <w:tc>
          <w:tcPr>
            <w:tcW w:w="1577" w:type="dxa"/>
          </w:tcPr>
          <w:p>
            <w:pPr>
              <w:pStyle w:val="27"/>
              <w:shd w:val="clear"/>
              <w:adjustRightInd w:val="0"/>
              <w:snapToGrid w:val="0"/>
              <w:spacing w:line="560" w:lineRule="exact"/>
              <w:jc w:val="center"/>
              <w:rPr>
                <w:rFonts w:ascii="宋体" w:eastAsia="宋体" w:cs="宋体"/>
                <w:color w:val="auto"/>
                <w:szCs w:val="21"/>
                <w:highlight w:val="none"/>
              </w:rPr>
            </w:pPr>
          </w:p>
        </w:tc>
        <w:tc>
          <w:tcPr>
            <w:tcW w:w="1577" w:type="dxa"/>
          </w:tcPr>
          <w:p>
            <w:pPr>
              <w:pStyle w:val="27"/>
              <w:shd w:val="clear"/>
              <w:adjustRightInd w:val="0"/>
              <w:snapToGrid w:val="0"/>
              <w:spacing w:line="560" w:lineRule="exact"/>
              <w:jc w:val="center"/>
              <w:rPr>
                <w:rFonts w:asci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9" w:type="dxa"/>
          </w:tcPr>
          <w:p>
            <w:pPr>
              <w:pStyle w:val="27"/>
              <w:shd w:val="clear"/>
              <w:adjustRightInd w:val="0"/>
              <w:snapToGrid w:val="0"/>
              <w:spacing w:line="560" w:lineRule="exact"/>
              <w:jc w:val="center"/>
              <w:rPr>
                <w:rFonts w:ascii="宋体" w:eastAsia="宋体" w:cs="宋体"/>
                <w:color w:val="auto"/>
                <w:szCs w:val="21"/>
                <w:highlight w:val="none"/>
              </w:rPr>
            </w:pPr>
          </w:p>
        </w:tc>
        <w:tc>
          <w:tcPr>
            <w:tcW w:w="1134" w:type="dxa"/>
          </w:tcPr>
          <w:p>
            <w:pPr>
              <w:pStyle w:val="27"/>
              <w:shd w:val="clear"/>
              <w:adjustRightInd w:val="0"/>
              <w:snapToGrid w:val="0"/>
              <w:spacing w:line="560" w:lineRule="exact"/>
              <w:jc w:val="center"/>
              <w:rPr>
                <w:rFonts w:ascii="宋体" w:eastAsia="宋体" w:cs="宋体"/>
                <w:color w:val="auto"/>
                <w:szCs w:val="21"/>
                <w:highlight w:val="none"/>
              </w:rPr>
            </w:pPr>
          </w:p>
        </w:tc>
        <w:tc>
          <w:tcPr>
            <w:tcW w:w="1607" w:type="dxa"/>
          </w:tcPr>
          <w:p>
            <w:pPr>
              <w:pStyle w:val="27"/>
              <w:shd w:val="clear"/>
              <w:adjustRightInd w:val="0"/>
              <w:snapToGrid w:val="0"/>
              <w:spacing w:line="560" w:lineRule="exact"/>
              <w:jc w:val="center"/>
              <w:rPr>
                <w:rFonts w:ascii="宋体" w:eastAsia="宋体" w:cs="宋体"/>
                <w:color w:val="auto"/>
                <w:szCs w:val="21"/>
                <w:highlight w:val="none"/>
              </w:rPr>
            </w:pPr>
          </w:p>
        </w:tc>
        <w:tc>
          <w:tcPr>
            <w:tcW w:w="460" w:type="dxa"/>
          </w:tcPr>
          <w:p>
            <w:pPr>
              <w:pStyle w:val="27"/>
              <w:shd w:val="clear"/>
              <w:adjustRightInd w:val="0"/>
              <w:snapToGrid w:val="0"/>
              <w:spacing w:line="560" w:lineRule="exact"/>
              <w:jc w:val="center"/>
              <w:rPr>
                <w:rFonts w:ascii="宋体" w:eastAsia="宋体" w:cs="宋体"/>
                <w:color w:val="auto"/>
                <w:szCs w:val="21"/>
                <w:highlight w:val="none"/>
              </w:rPr>
            </w:pPr>
          </w:p>
        </w:tc>
        <w:tc>
          <w:tcPr>
            <w:tcW w:w="426" w:type="dxa"/>
          </w:tcPr>
          <w:p>
            <w:pPr>
              <w:pStyle w:val="27"/>
              <w:shd w:val="clear"/>
              <w:adjustRightInd w:val="0"/>
              <w:snapToGrid w:val="0"/>
              <w:spacing w:line="560" w:lineRule="exact"/>
              <w:jc w:val="center"/>
              <w:rPr>
                <w:rFonts w:ascii="宋体" w:eastAsia="宋体" w:cs="宋体"/>
                <w:color w:val="auto"/>
                <w:szCs w:val="21"/>
                <w:highlight w:val="none"/>
              </w:rPr>
            </w:pPr>
          </w:p>
        </w:tc>
        <w:tc>
          <w:tcPr>
            <w:tcW w:w="1417" w:type="dxa"/>
          </w:tcPr>
          <w:p>
            <w:pPr>
              <w:pStyle w:val="27"/>
              <w:shd w:val="clear"/>
              <w:adjustRightInd w:val="0"/>
              <w:snapToGrid w:val="0"/>
              <w:spacing w:line="560" w:lineRule="exact"/>
              <w:jc w:val="center"/>
              <w:rPr>
                <w:rFonts w:ascii="宋体" w:eastAsia="宋体" w:cs="宋体"/>
                <w:color w:val="auto"/>
                <w:szCs w:val="21"/>
                <w:highlight w:val="none"/>
              </w:rPr>
            </w:pPr>
          </w:p>
        </w:tc>
        <w:tc>
          <w:tcPr>
            <w:tcW w:w="1577" w:type="dxa"/>
          </w:tcPr>
          <w:p>
            <w:pPr>
              <w:pStyle w:val="27"/>
              <w:shd w:val="clear"/>
              <w:adjustRightInd w:val="0"/>
              <w:snapToGrid w:val="0"/>
              <w:spacing w:line="560" w:lineRule="exact"/>
              <w:jc w:val="center"/>
              <w:rPr>
                <w:rFonts w:ascii="宋体" w:eastAsia="宋体" w:cs="宋体"/>
                <w:color w:val="auto"/>
                <w:szCs w:val="21"/>
                <w:highlight w:val="none"/>
              </w:rPr>
            </w:pPr>
          </w:p>
        </w:tc>
        <w:tc>
          <w:tcPr>
            <w:tcW w:w="1577" w:type="dxa"/>
          </w:tcPr>
          <w:p>
            <w:pPr>
              <w:pStyle w:val="27"/>
              <w:shd w:val="clear"/>
              <w:adjustRightInd w:val="0"/>
              <w:snapToGrid w:val="0"/>
              <w:spacing w:line="560" w:lineRule="exact"/>
              <w:jc w:val="center"/>
              <w:rPr>
                <w:rFonts w:asci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9" w:type="dxa"/>
          </w:tcPr>
          <w:p>
            <w:pPr>
              <w:pStyle w:val="27"/>
              <w:shd w:val="clear"/>
              <w:adjustRightInd w:val="0"/>
              <w:snapToGrid w:val="0"/>
              <w:spacing w:line="560" w:lineRule="exact"/>
              <w:jc w:val="center"/>
              <w:rPr>
                <w:rFonts w:ascii="宋体" w:eastAsia="宋体" w:cs="宋体"/>
                <w:color w:val="auto"/>
                <w:szCs w:val="21"/>
                <w:highlight w:val="none"/>
              </w:rPr>
            </w:pPr>
          </w:p>
        </w:tc>
        <w:tc>
          <w:tcPr>
            <w:tcW w:w="1134" w:type="dxa"/>
          </w:tcPr>
          <w:p>
            <w:pPr>
              <w:pStyle w:val="27"/>
              <w:shd w:val="clear"/>
              <w:adjustRightInd w:val="0"/>
              <w:snapToGrid w:val="0"/>
              <w:spacing w:line="560" w:lineRule="exact"/>
              <w:jc w:val="center"/>
              <w:rPr>
                <w:rFonts w:ascii="宋体" w:eastAsia="宋体" w:cs="宋体"/>
                <w:color w:val="auto"/>
                <w:szCs w:val="21"/>
                <w:highlight w:val="none"/>
              </w:rPr>
            </w:pPr>
          </w:p>
        </w:tc>
        <w:tc>
          <w:tcPr>
            <w:tcW w:w="1607" w:type="dxa"/>
          </w:tcPr>
          <w:p>
            <w:pPr>
              <w:pStyle w:val="27"/>
              <w:shd w:val="clear"/>
              <w:adjustRightInd w:val="0"/>
              <w:snapToGrid w:val="0"/>
              <w:spacing w:line="560" w:lineRule="exact"/>
              <w:jc w:val="center"/>
              <w:rPr>
                <w:rFonts w:ascii="宋体" w:eastAsia="宋体" w:cs="宋体"/>
                <w:color w:val="auto"/>
                <w:szCs w:val="21"/>
                <w:highlight w:val="none"/>
              </w:rPr>
            </w:pPr>
          </w:p>
        </w:tc>
        <w:tc>
          <w:tcPr>
            <w:tcW w:w="460" w:type="dxa"/>
          </w:tcPr>
          <w:p>
            <w:pPr>
              <w:pStyle w:val="27"/>
              <w:shd w:val="clear"/>
              <w:adjustRightInd w:val="0"/>
              <w:snapToGrid w:val="0"/>
              <w:spacing w:line="560" w:lineRule="exact"/>
              <w:jc w:val="center"/>
              <w:rPr>
                <w:rFonts w:ascii="宋体" w:eastAsia="宋体" w:cs="宋体"/>
                <w:color w:val="auto"/>
                <w:szCs w:val="21"/>
                <w:highlight w:val="none"/>
              </w:rPr>
            </w:pPr>
          </w:p>
        </w:tc>
        <w:tc>
          <w:tcPr>
            <w:tcW w:w="426" w:type="dxa"/>
          </w:tcPr>
          <w:p>
            <w:pPr>
              <w:pStyle w:val="27"/>
              <w:shd w:val="clear"/>
              <w:adjustRightInd w:val="0"/>
              <w:snapToGrid w:val="0"/>
              <w:spacing w:line="560" w:lineRule="exact"/>
              <w:jc w:val="center"/>
              <w:rPr>
                <w:rFonts w:ascii="宋体" w:eastAsia="宋体" w:cs="宋体"/>
                <w:color w:val="auto"/>
                <w:szCs w:val="21"/>
                <w:highlight w:val="none"/>
              </w:rPr>
            </w:pPr>
          </w:p>
        </w:tc>
        <w:tc>
          <w:tcPr>
            <w:tcW w:w="1417" w:type="dxa"/>
          </w:tcPr>
          <w:p>
            <w:pPr>
              <w:pStyle w:val="27"/>
              <w:shd w:val="clear"/>
              <w:adjustRightInd w:val="0"/>
              <w:snapToGrid w:val="0"/>
              <w:spacing w:line="560" w:lineRule="exact"/>
              <w:jc w:val="center"/>
              <w:rPr>
                <w:rFonts w:ascii="宋体" w:eastAsia="宋体" w:cs="宋体"/>
                <w:color w:val="auto"/>
                <w:szCs w:val="21"/>
                <w:highlight w:val="none"/>
              </w:rPr>
            </w:pPr>
          </w:p>
        </w:tc>
        <w:tc>
          <w:tcPr>
            <w:tcW w:w="1577" w:type="dxa"/>
          </w:tcPr>
          <w:p>
            <w:pPr>
              <w:pStyle w:val="27"/>
              <w:shd w:val="clear"/>
              <w:adjustRightInd w:val="0"/>
              <w:snapToGrid w:val="0"/>
              <w:spacing w:line="560" w:lineRule="exact"/>
              <w:jc w:val="center"/>
              <w:rPr>
                <w:rFonts w:ascii="宋体" w:eastAsia="宋体" w:cs="宋体"/>
                <w:color w:val="auto"/>
                <w:szCs w:val="21"/>
                <w:highlight w:val="none"/>
              </w:rPr>
            </w:pPr>
          </w:p>
        </w:tc>
        <w:tc>
          <w:tcPr>
            <w:tcW w:w="1577" w:type="dxa"/>
          </w:tcPr>
          <w:p>
            <w:pPr>
              <w:pStyle w:val="27"/>
              <w:shd w:val="clear"/>
              <w:adjustRightInd w:val="0"/>
              <w:snapToGrid w:val="0"/>
              <w:spacing w:line="560" w:lineRule="exact"/>
              <w:jc w:val="center"/>
              <w:rPr>
                <w:rFonts w:asci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9" w:type="dxa"/>
          </w:tcPr>
          <w:p>
            <w:pPr>
              <w:pStyle w:val="27"/>
              <w:shd w:val="clear"/>
              <w:adjustRightInd w:val="0"/>
              <w:snapToGrid w:val="0"/>
              <w:spacing w:line="560" w:lineRule="exact"/>
              <w:jc w:val="center"/>
              <w:rPr>
                <w:rFonts w:ascii="宋体" w:eastAsia="宋体" w:cs="宋体"/>
                <w:color w:val="auto"/>
                <w:szCs w:val="21"/>
                <w:highlight w:val="none"/>
              </w:rPr>
            </w:pPr>
          </w:p>
        </w:tc>
        <w:tc>
          <w:tcPr>
            <w:tcW w:w="1134" w:type="dxa"/>
          </w:tcPr>
          <w:p>
            <w:pPr>
              <w:pStyle w:val="27"/>
              <w:shd w:val="clear"/>
              <w:adjustRightInd w:val="0"/>
              <w:snapToGrid w:val="0"/>
              <w:spacing w:line="560" w:lineRule="exact"/>
              <w:jc w:val="center"/>
              <w:rPr>
                <w:rFonts w:ascii="宋体" w:eastAsia="宋体" w:cs="宋体"/>
                <w:color w:val="auto"/>
                <w:szCs w:val="21"/>
                <w:highlight w:val="none"/>
              </w:rPr>
            </w:pPr>
          </w:p>
        </w:tc>
        <w:tc>
          <w:tcPr>
            <w:tcW w:w="1607" w:type="dxa"/>
          </w:tcPr>
          <w:p>
            <w:pPr>
              <w:pStyle w:val="27"/>
              <w:shd w:val="clear"/>
              <w:adjustRightInd w:val="0"/>
              <w:snapToGrid w:val="0"/>
              <w:spacing w:line="560" w:lineRule="exact"/>
              <w:jc w:val="center"/>
              <w:rPr>
                <w:rFonts w:ascii="宋体" w:eastAsia="宋体" w:cs="宋体"/>
                <w:color w:val="auto"/>
                <w:szCs w:val="21"/>
                <w:highlight w:val="none"/>
              </w:rPr>
            </w:pPr>
          </w:p>
        </w:tc>
        <w:tc>
          <w:tcPr>
            <w:tcW w:w="460" w:type="dxa"/>
          </w:tcPr>
          <w:p>
            <w:pPr>
              <w:pStyle w:val="27"/>
              <w:shd w:val="clear"/>
              <w:adjustRightInd w:val="0"/>
              <w:snapToGrid w:val="0"/>
              <w:spacing w:line="560" w:lineRule="exact"/>
              <w:jc w:val="center"/>
              <w:rPr>
                <w:rFonts w:ascii="宋体" w:eastAsia="宋体" w:cs="宋体"/>
                <w:color w:val="auto"/>
                <w:szCs w:val="21"/>
                <w:highlight w:val="none"/>
              </w:rPr>
            </w:pPr>
          </w:p>
        </w:tc>
        <w:tc>
          <w:tcPr>
            <w:tcW w:w="426" w:type="dxa"/>
          </w:tcPr>
          <w:p>
            <w:pPr>
              <w:pStyle w:val="27"/>
              <w:shd w:val="clear"/>
              <w:adjustRightInd w:val="0"/>
              <w:snapToGrid w:val="0"/>
              <w:spacing w:line="560" w:lineRule="exact"/>
              <w:jc w:val="center"/>
              <w:rPr>
                <w:rFonts w:ascii="宋体" w:eastAsia="宋体" w:cs="宋体"/>
                <w:color w:val="auto"/>
                <w:szCs w:val="21"/>
                <w:highlight w:val="none"/>
              </w:rPr>
            </w:pPr>
          </w:p>
        </w:tc>
        <w:tc>
          <w:tcPr>
            <w:tcW w:w="1417" w:type="dxa"/>
          </w:tcPr>
          <w:p>
            <w:pPr>
              <w:pStyle w:val="27"/>
              <w:shd w:val="clear"/>
              <w:adjustRightInd w:val="0"/>
              <w:snapToGrid w:val="0"/>
              <w:spacing w:line="560" w:lineRule="exact"/>
              <w:jc w:val="center"/>
              <w:rPr>
                <w:rFonts w:ascii="宋体" w:eastAsia="宋体" w:cs="宋体"/>
                <w:color w:val="auto"/>
                <w:szCs w:val="21"/>
                <w:highlight w:val="none"/>
              </w:rPr>
            </w:pPr>
          </w:p>
        </w:tc>
        <w:tc>
          <w:tcPr>
            <w:tcW w:w="1577" w:type="dxa"/>
          </w:tcPr>
          <w:p>
            <w:pPr>
              <w:pStyle w:val="27"/>
              <w:shd w:val="clear"/>
              <w:adjustRightInd w:val="0"/>
              <w:snapToGrid w:val="0"/>
              <w:spacing w:line="560" w:lineRule="exact"/>
              <w:jc w:val="center"/>
              <w:rPr>
                <w:rFonts w:ascii="宋体" w:eastAsia="宋体" w:cs="宋体"/>
                <w:color w:val="auto"/>
                <w:szCs w:val="21"/>
                <w:highlight w:val="none"/>
              </w:rPr>
            </w:pPr>
          </w:p>
        </w:tc>
        <w:tc>
          <w:tcPr>
            <w:tcW w:w="1577" w:type="dxa"/>
          </w:tcPr>
          <w:p>
            <w:pPr>
              <w:pStyle w:val="27"/>
              <w:shd w:val="clear"/>
              <w:adjustRightInd w:val="0"/>
              <w:snapToGrid w:val="0"/>
              <w:spacing w:line="560" w:lineRule="exact"/>
              <w:jc w:val="center"/>
              <w:rPr>
                <w:rFonts w:asci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7" w:type="dxa"/>
            <w:gridSpan w:val="8"/>
          </w:tcPr>
          <w:p>
            <w:pPr>
              <w:pStyle w:val="27"/>
              <w:shd w:val="clear"/>
              <w:adjustRightInd w:val="0"/>
              <w:snapToGrid w:val="0"/>
              <w:spacing w:line="560" w:lineRule="exact"/>
              <w:rPr>
                <w:rFonts w:ascii="宋体" w:eastAsia="宋体" w:cs="宋体"/>
                <w:color w:val="auto"/>
                <w:szCs w:val="21"/>
                <w:highlight w:val="none"/>
              </w:rPr>
            </w:pPr>
            <w:r>
              <w:rPr>
                <w:rFonts w:hint="eastAsia" w:ascii="宋体" w:eastAsia="宋体" w:cs="宋体"/>
                <w:color w:val="auto"/>
                <w:szCs w:val="21"/>
                <w:highlight w:val="none"/>
              </w:rPr>
              <w:t>合  计：（大写）                                （小写：      元）</w:t>
            </w:r>
          </w:p>
        </w:tc>
      </w:tr>
    </w:tbl>
    <w:p>
      <w:pPr>
        <w:shd w:val="clear"/>
        <w:adjustRightInd w:val="0"/>
        <w:snapToGrid w:val="0"/>
        <w:spacing w:line="560" w:lineRule="exact"/>
        <w:ind w:firstLine="422" w:firstLineChars="200"/>
        <w:rPr>
          <w:rFonts w:ascii="宋体" w:hAnsi="宋体" w:eastAsia="宋体" w:cs="宋体"/>
          <w:color w:val="auto"/>
          <w:szCs w:val="21"/>
          <w:highlight w:val="none"/>
          <w:u w:val="singl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配套资料和配套附属设备、配件、必要消耗品等详见乙方投标（或采购）文件。</w:t>
      </w:r>
    </w:p>
    <w:p>
      <w:pPr>
        <w:shd w:val="clear"/>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乙方保证上述仪器设备的配套设备、备品备件（含易损件）、配件消耗品能够长期（不低于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年）向甲方供应。</w:t>
      </w:r>
    </w:p>
    <w:p>
      <w:pPr>
        <w:shd w:val="clear"/>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乙方送货时间、地点</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1、本合同签订后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日内，乙方应按本合同约定将仪器设备（含必要消耗品、配套资料、配套附属设备、配件等）送到甲方指定的地点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2、乙方应当将到货日期至少提前3天书面告知甲方，否则，由此造成的不良后果由乙方自行承担。甲方联系部门：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易门县六街中心卫生院采购科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0877-4951271、18787701934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fldChar w:fldCharType="begin"/>
      </w:r>
      <w:r>
        <w:rPr>
          <w:rFonts w:hint="eastAsia" w:ascii="宋体" w:hAnsi="宋体" w:eastAsia="宋体" w:cs="宋体"/>
          <w:color w:val="auto"/>
          <w:szCs w:val="21"/>
          <w:highlight w:val="none"/>
          <w:u w:val="single"/>
          <w:lang w:val="en-US" w:eastAsia="zh-CN"/>
        </w:rPr>
        <w:instrText xml:space="preserve"> HYPERLINK "mailto:ymljwsy@163.com" </w:instrText>
      </w:r>
      <w:r>
        <w:rPr>
          <w:rFonts w:hint="eastAsia" w:ascii="宋体" w:hAnsi="宋体" w:eastAsia="宋体" w:cs="宋体"/>
          <w:color w:val="auto"/>
          <w:szCs w:val="21"/>
          <w:highlight w:val="none"/>
          <w:u w:val="single"/>
          <w:lang w:val="en-US" w:eastAsia="zh-CN"/>
        </w:rPr>
        <w:fldChar w:fldCharType="separate"/>
      </w:r>
      <w:r>
        <w:rPr>
          <w:rFonts w:hint="eastAsia" w:ascii="宋体" w:hAnsi="宋体" w:eastAsia="宋体" w:cs="宋体"/>
          <w:color w:val="auto"/>
          <w:szCs w:val="21"/>
          <w:highlight w:val="none"/>
          <w:u w:val="single"/>
          <w:lang w:val="en-US" w:eastAsia="zh-CN"/>
        </w:rPr>
        <w:t>ymljwsy@163.com</w:t>
      </w:r>
      <w:r>
        <w:rPr>
          <w:rFonts w:hint="eastAsia" w:ascii="宋体" w:hAnsi="宋体" w:eastAsia="宋体" w:cs="宋体"/>
          <w:color w:val="auto"/>
          <w:szCs w:val="21"/>
          <w:highlight w:val="none"/>
          <w:u w:val="single"/>
          <w:lang w:val="en-US" w:eastAsia="zh-CN"/>
        </w:rPr>
        <w:fldChar w:fldCharType="end"/>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hd w:val="clear"/>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第五条、</w:t>
      </w:r>
      <w:r>
        <w:rPr>
          <w:rFonts w:hint="eastAsia" w:ascii="宋体" w:hAnsi="宋体" w:eastAsia="宋体" w:cs="宋体"/>
          <w:color w:val="auto"/>
          <w:szCs w:val="21"/>
          <w:highlight w:val="none"/>
        </w:rPr>
        <w:t>安装调试</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1、乙方负责所有仪器设备的安装调试。</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2、仪器设备安装、调试必须符合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（注册证号、国家标准、行业标准、或注册产品标准）和甲方的技术要求。 </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3、本合同约定的所有仪器设备安装调试完成时间（即设备送达甲方指定地点并按规范安装调试完毕时间）为到货开箱后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p>
      <w:pPr>
        <w:shd w:val="clear"/>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 xml:space="preserve">验收及验收标准 </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1、设备仪器安装调试完成，操作人员经过培训并正常投入使用（□1  □2个月，备注：50万以下1个月，50万及以上2个月）后，在无任何争议的情况下，乙方可以提出验收申请，由甲方组织验收。验收的基本条件为：设备资料齐全，设备到货齐全，设备功能经过临床验证、达到使用要求，设备无质量问题，以及符合验收的其他基本条件。</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2、验收标准为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3、因验收所产生的费用，由乙方负责（例如检测费、第三方评估等费用）。</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4、设备仪器若自带防护或屏蔽设施，需要乙方或制造商提供云南当地有资质的检测单位出具的防护达标的检测报告。</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5、乙方提供的设备，必须是在到货日期前1年内生产的。</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第七条、货物交接</w:t>
      </w:r>
      <w:r>
        <w:rPr>
          <w:rFonts w:hint="eastAsia" w:ascii="宋体" w:hAnsi="宋体" w:eastAsia="宋体" w:cs="宋体"/>
          <w:color w:val="auto"/>
          <w:szCs w:val="21"/>
          <w:highlight w:val="none"/>
        </w:rPr>
        <w:t>时间</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1、甲乙双方对货物正式交接时间为甲乙双方对验收合格的仪器设备进行交接的时间。</w:t>
      </w:r>
    </w:p>
    <w:p>
      <w:pPr>
        <w:pStyle w:val="9"/>
        <w:shd w:val="clear"/>
        <w:adjustRightInd w:val="0"/>
        <w:snapToGrid w:val="0"/>
        <w:spacing w:line="5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交接时，乙方还应向甲方交付仪器设备的合格证、保修卡、装箱清单、商检部门出具的商检合格证明和海关报关手续及相关资料（包括但不限于操作手册、使用指南、维修手册、安装调试说明书、服务手册等）及配套附属设备、配件、必要消耗品等。</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b/>
          <w:color w:val="auto"/>
          <w:szCs w:val="21"/>
          <w:highlight w:val="none"/>
        </w:rPr>
        <w:t>第八条、</w:t>
      </w:r>
      <w:r>
        <w:rPr>
          <w:rFonts w:hint="eastAsia" w:ascii="宋体" w:hAnsi="宋体" w:eastAsia="宋体" w:cs="宋体"/>
          <w:color w:val="auto"/>
          <w:szCs w:val="21"/>
          <w:highlight w:val="none"/>
        </w:rPr>
        <w:t>技术培训</w:t>
      </w:r>
    </w:p>
    <w:p>
      <w:pPr>
        <w:pStyle w:val="9"/>
        <w:shd w:val="clear"/>
        <w:adjustRightInd w:val="0"/>
        <w:snapToGrid w:val="0"/>
        <w:spacing w:line="5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1、乙方向甲方免费提供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次,每次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天的仪器设备使用现场培训，培训内容包括但不限于设备的调试、使用、一般的维修、维护及保养等。</w:t>
      </w:r>
    </w:p>
    <w:p>
      <w:pPr>
        <w:pStyle w:val="9"/>
        <w:shd w:val="clear"/>
        <w:adjustRightInd w:val="0"/>
        <w:snapToGrid w:val="0"/>
        <w:spacing w:line="5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参加培训的甲乙双方人员食宿自理。</w:t>
      </w:r>
    </w:p>
    <w:p>
      <w:pPr>
        <w:pStyle w:val="18"/>
        <w:shd w:val="clear"/>
        <w:adjustRightInd w:val="0"/>
        <w:snapToGrid w:val="0"/>
        <w:spacing w:line="560" w:lineRule="exact"/>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2、若招标文件对技术培训有特殊要求的，乙方还应出资对甲方技术人员进行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次外地培训，甲方人员交通、食宿及培训等费用由乙方负责。</w:t>
      </w:r>
    </w:p>
    <w:p>
      <w:pPr>
        <w:pStyle w:val="18"/>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每次培训天数为_______天、地点为_____________ 。</w:t>
      </w:r>
    </w:p>
    <w:p>
      <w:pPr>
        <w:shd w:val="clear"/>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合同价款及支付</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1、本合同总价为：</w:t>
      </w:r>
      <w:r>
        <w:rPr>
          <w:rFonts w:hint="eastAsia" w:ascii="宋体" w:hAnsi="宋体" w:eastAsia="宋体" w:cs="宋体"/>
          <w:color w:val="auto"/>
          <w:szCs w:val="21"/>
          <w:highlight w:val="none"/>
          <w:u w:val="single"/>
        </w:rPr>
        <w:t xml:space="preserve">人民币（大写）                              </w:t>
      </w:r>
      <w:r>
        <w:rPr>
          <w:rFonts w:hint="eastAsia" w:ascii="宋体" w:hAnsi="宋体" w:eastAsia="宋体" w:cs="宋体"/>
          <w:color w:val="auto"/>
          <w:szCs w:val="21"/>
          <w:highlight w:val="none"/>
        </w:rPr>
        <w:t>元, （小写）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元。                                          </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以上合同总价除了包括仪器设备的价格外，还包含仪器设备的包装、运输、保险、装卸、仓储、搬运、安装调试、培训、验收、配套资料和配套附属设备、配件、必要消耗品、检测费、第三方评估等费用。    </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2、本合同约定的所有仪器设备安装调试完成并经甲方验收合格后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个月内，乙方须向甲方提供：</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（1）甲方的验收合格报告；</w:t>
      </w:r>
    </w:p>
    <w:p>
      <w:pPr>
        <w:pStyle w:val="16"/>
        <w:shd w:val="clear"/>
        <w:adjustRightInd w:val="0"/>
        <w:snapToGrid w:val="0"/>
        <w:spacing w:line="56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（2）乙方开具的正式发票；</w:t>
      </w:r>
    </w:p>
    <w:p>
      <w:pPr>
        <w:pStyle w:val="16"/>
        <w:shd w:val="clear"/>
        <w:adjustRightInd w:val="0"/>
        <w:snapToGrid w:val="0"/>
        <w:spacing w:line="56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（3）甲方要求的其他资料等。</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向甲方申请支付合同总价款的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，即：人民币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      元整）。</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3、合同总价款的 </w:t>
      </w:r>
      <w:r>
        <w:rPr>
          <w:rFonts w:hint="eastAsia" w:ascii="宋体" w:hAnsi="宋体" w:cs="宋体"/>
          <w:color w:val="auto"/>
          <w:szCs w:val="21"/>
          <w:highlight w:val="none"/>
        </w:rPr>
        <w:t>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作为</w:t>
      </w:r>
      <w:r>
        <w:rPr>
          <w:rFonts w:hint="eastAsia" w:ascii="宋体" w:hAnsi="宋体" w:cs="宋体"/>
          <w:color w:val="auto"/>
          <w:szCs w:val="21"/>
          <w:highlight w:val="none"/>
        </w:rPr>
        <w:t>履约保证金</w:t>
      </w:r>
      <w:r>
        <w:rPr>
          <w:rFonts w:hint="eastAsia" w:ascii="宋体" w:hAnsi="宋体" w:eastAsia="宋体" w:cs="宋体"/>
          <w:color w:val="auto"/>
          <w:szCs w:val="21"/>
          <w:highlight w:val="none"/>
        </w:rPr>
        <w:t>, 即：人民币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元(大写：       元整）。 </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本合同约定的所有仪器设备安装调试完成并经甲方验收合格</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年后，乙方向甲方请求返还</w:t>
      </w:r>
      <w:r>
        <w:rPr>
          <w:rFonts w:hint="eastAsia" w:ascii="宋体" w:hAnsi="宋体" w:cs="宋体"/>
          <w:color w:val="auto"/>
          <w:szCs w:val="21"/>
          <w:highlight w:val="none"/>
        </w:rPr>
        <w:t>履约保证金</w:t>
      </w:r>
      <w:r>
        <w:rPr>
          <w:rFonts w:hint="eastAsia" w:ascii="宋体" w:hAnsi="宋体" w:eastAsia="宋体" w:cs="宋体"/>
          <w:color w:val="auto"/>
          <w:szCs w:val="21"/>
          <w:highlight w:val="none"/>
        </w:rPr>
        <w:t>。在设备仪器质量得到保证的前提下，甲方将</w:t>
      </w:r>
      <w:r>
        <w:rPr>
          <w:rFonts w:hint="eastAsia" w:ascii="宋体" w:hAnsi="宋体" w:cs="宋体"/>
          <w:color w:val="auto"/>
          <w:szCs w:val="21"/>
          <w:highlight w:val="none"/>
        </w:rPr>
        <w:t>履约保证金</w:t>
      </w:r>
      <w:r>
        <w:rPr>
          <w:rFonts w:hint="eastAsia" w:ascii="宋体" w:hAnsi="宋体" w:eastAsia="宋体" w:cs="宋体"/>
          <w:color w:val="auto"/>
          <w:szCs w:val="21"/>
          <w:highlight w:val="none"/>
        </w:rPr>
        <w:t>返还给乙方。</w:t>
      </w:r>
      <w:r>
        <w:rPr>
          <w:rFonts w:hint="eastAsia" w:ascii="宋体" w:hAnsi="宋体" w:cs="宋体"/>
          <w:color w:val="auto"/>
          <w:szCs w:val="21"/>
          <w:highlight w:val="none"/>
        </w:rPr>
        <w:t>履约保证金</w:t>
      </w:r>
      <w:r>
        <w:rPr>
          <w:rFonts w:hint="eastAsia" w:ascii="宋体" w:hAnsi="宋体" w:eastAsia="宋体" w:cs="宋体"/>
          <w:color w:val="auto"/>
          <w:szCs w:val="21"/>
          <w:highlight w:val="none"/>
        </w:rPr>
        <w:t>的返还，并不能解除乙方按合同约定应负的保修责任。</w:t>
      </w:r>
    </w:p>
    <w:p>
      <w:pPr>
        <w:shd w:val="clear"/>
        <w:adjustRightInd w:val="0"/>
        <w:snapToGrid w:val="0"/>
        <w:spacing w:line="560" w:lineRule="exact"/>
        <w:ind w:firstLine="422" w:firstLineChars="200"/>
        <w:rPr>
          <w:rFonts w:ascii="宋体" w:hAnsi="宋体" w:eastAsia="宋体" w:cs="宋体"/>
          <w:b/>
          <w:color w:val="auto"/>
          <w:szCs w:val="21"/>
          <w:highlight w:val="none"/>
        </w:rPr>
      </w:pPr>
      <w:r>
        <w:rPr>
          <w:rFonts w:hint="eastAsia" w:ascii="宋体" w:hAnsi="宋体" w:eastAsia="宋体" w:cs="宋体"/>
          <w:b/>
          <w:bCs/>
          <w:color w:val="auto"/>
          <w:szCs w:val="21"/>
          <w:highlight w:val="none"/>
        </w:rPr>
        <w:t>第十条、质量保证及</w:t>
      </w:r>
      <w:r>
        <w:rPr>
          <w:rFonts w:hint="eastAsia" w:ascii="宋体" w:hAnsi="宋体" w:eastAsia="宋体" w:cs="宋体"/>
          <w:b/>
          <w:color w:val="auto"/>
          <w:szCs w:val="21"/>
          <w:highlight w:val="none"/>
        </w:rPr>
        <w:t>保修</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1、本合同所有仪器设备质保期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年，质保起始日期从设备验收合格之日起算。乙方保证仪器设备在报废前正常运行。</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保证仪器设备在质保期内免费更换或保修，并终身负责维修。具体如下：质保期内，若设备仪器出现质量问题，乙方应当免费更换整机；质保期内，乙方对仪器设备提供全免费保修，包括但不限于:免维修费、免费更换零配件(自然灾害及人为故意损坏除外)；质保期满后，纳入医院统一管理。</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3、仪器设备由乙方提供现场维修，乙方维修人员在收到故障报告后保证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小时内到达现场，一般常规类故障保证在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天内修复，复杂疑难类故障保证在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天内修复，若</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天内不能修复，每超出</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天，质保期顺延</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天。</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4、乙方对仪器设备实行定期（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天一次，每年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次）巡访、维护及保养。</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5、乙方对甲方在使用仪器设备过程中发生的技术问题提供免费技术支持。</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6、乙方维修和技术支持电话：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，联系人：____________。</w:t>
      </w:r>
    </w:p>
    <w:p>
      <w:pPr>
        <w:shd w:val="clear"/>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甲乙双方的权利和义务</w:t>
      </w:r>
    </w:p>
    <w:p>
      <w:pPr>
        <w:numPr>
          <w:ilvl w:val="0"/>
          <w:numId w:val="1"/>
        </w:numPr>
        <w:shd w:val="clear"/>
        <w:adjustRightInd w:val="0"/>
        <w:snapToGrid w:val="0"/>
        <w:spacing w:line="5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甲方的权利和义务</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1、负责合同签订后甲方的组织与协调工作。</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2、负责甲方应提供的仪器设备安装调试所必须的场地和环境。</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3、负责组织成立验收小组对仪器设备进行验收并签署验收报告。</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4、按照合同约定支付货款。</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（二）乙方的权利和义务</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1、乙方保证提供的仪器设备符合采购文件的要求、是全新的、并符合国家标准、行业标准和企业标准；进口的仪器设备具有完整的进口手续(包括但不限于入关证明、商品检验证明等)。</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2、乙方保证提供的仪器设备（若有配套软件的,还包括软件产品）未侵犯第三人知识产权及其他权利。</w:t>
      </w:r>
    </w:p>
    <w:p>
      <w:pPr>
        <w:shd w:val="clear"/>
        <w:adjustRightInd w:val="0"/>
        <w:snapToGrid w:val="0"/>
        <w:spacing w:line="56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3、按照合同约定交付仪器设备。</w:t>
      </w:r>
    </w:p>
    <w:p>
      <w:pPr>
        <w:shd w:val="clear"/>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第十二条、</w:t>
      </w:r>
      <w:r>
        <w:rPr>
          <w:rFonts w:hint="eastAsia" w:ascii="宋体" w:hAnsi="宋体" w:eastAsia="宋体" w:cs="宋体"/>
          <w:color w:val="auto"/>
          <w:szCs w:val="21"/>
          <w:highlight w:val="none"/>
        </w:rPr>
        <w:t>违约责任</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1、乙方违反本合同第四条约定逾期交货,每逾期一日须向甲方支付合同总价款</w:t>
      </w:r>
      <w:r>
        <w:rPr>
          <w:rFonts w:hint="eastAsia" w:ascii="宋体" w:hAnsi="宋体" w:eastAsia="宋体" w:cs="宋体"/>
          <w:color w:val="auto"/>
          <w:szCs w:val="21"/>
          <w:highlight w:val="none"/>
          <w:u w:val="single"/>
        </w:rPr>
        <w:t>日万分之五</w:t>
      </w:r>
      <w:r>
        <w:rPr>
          <w:rFonts w:hint="eastAsia" w:ascii="宋体" w:hAnsi="宋体" w:eastAsia="宋体" w:cs="宋体"/>
          <w:color w:val="auto"/>
          <w:szCs w:val="21"/>
          <w:highlight w:val="none"/>
        </w:rPr>
        <w:t>的违约金。</w:t>
      </w:r>
    </w:p>
    <w:p>
      <w:pPr>
        <w:shd w:val="clear"/>
        <w:adjustRightInd w:val="0"/>
        <w:snapToGrid w:val="0"/>
        <w:spacing w:line="560" w:lineRule="exact"/>
        <w:ind w:left="210" w:leftChars="100"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2、乙方违反本合同其他约定的，向甲方承担合同总价款20%，共计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元的违约责任。</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3、乙方除承担违约责任外,还需赔偿因此给甲方造成的损失。</w:t>
      </w:r>
    </w:p>
    <w:p>
      <w:pPr>
        <w:shd w:val="clear"/>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4、甲方违反本合同第九条约定逾期支付合同款,则根据逾期天数按照中国人民银行同期存款利率支付违约金。</w:t>
      </w:r>
    </w:p>
    <w:p>
      <w:pPr>
        <w:shd w:val="clear"/>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第十三条、</w:t>
      </w:r>
      <w:r>
        <w:rPr>
          <w:rFonts w:hint="eastAsia" w:ascii="宋体" w:hAnsi="宋体" w:eastAsia="宋体" w:cs="宋体"/>
          <w:color w:val="auto"/>
          <w:szCs w:val="21"/>
          <w:highlight w:val="none"/>
        </w:rPr>
        <w:t>甲乙双方在履行合同过程中发生争议应协商解决，协商不成的，向甲方所在地有管辖权的人民法院起诉。</w:t>
      </w:r>
    </w:p>
    <w:p>
      <w:pPr>
        <w:shd w:val="clear"/>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第十四条、</w:t>
      </w:r>
      <w:r>
        <w:rPr>
          <w:rFonts w:hint="eastAsia" w:ascii="宋体" w:hAnsi="宋体" w:eastAsia="宋体" w:cs="宋体"/>
          <w:color w:val="auto"/>
          <w:szCs w:val="21"/>
          <w:highlight w:val="none"/>
        </w:rPr>
        <w:t>中标通知书、采购文件、投标文件、本合同附件属于本合同不可分割的部份。</w:t>
      </w:r>
    </w:p>
    <w:p>
      <w:pPr>
        <w:shd w:val="clear"/>
        <w:tabs>
          <w:tab w:val="left" w:pos="720"/>
        </w:tabs>
        <w:adjustRightInd w:val="0"/>
        <w:snapToGrid w:val="0"/>
        <w:spacing w:line="5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第十五条、</w:t>
      </w: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肆 </w:t>
      </w:r>
      <w:r>
        <w:rPr>
          <w:rFonts w:hint="eastAsia" w:ascii="宋体" w:hAnsi="宋体" w:eastAsia="宋体" w:cs="宋体"/>
          <w:color w:val="auto"/>
          <w:szCs w:val="21"/>
          <w:highlight w:val="none"/>
        </w:rPr>
        <w:t>份，甲方持</w:t>
      </w:r>
      <w:r>
        <w:rPr>
          <w:rFonts w:hint="eastAsia" w:ascii="宋体" w:hAnsi="宋体" w:eastAsia="宋体" w:cs="宋体"/>
          <w:color w:val="auto"/>
          <w:szCs w:val="21"/>
          <w:highlight w:val="none"/>
          <w:u w:val="single"/>
        </w:rPr>
        <w:t xml:space="preserve"> 贰 </w:t>
      </w:r>
      <w:r>
        <w:rPr>
          <w:rFonts w:hint="eastAsia" w:ascii="宋体" w:hAnsi="宋体" w:eastAsia="宋体" w:cs="宋体"/>
          <w:color w:val="auto"/>
          <w:szCs w:val="21"/>
          <w:highlight w:val="none"/>
        </w:rPr>
        <w:t>份，乙方持</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份，招标代理机构持</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w:t>
      </w:r>
    </w:p>
    <w:p>
      <w:pPr>
        <w:shd w:val="clear"/>
        <w:tabs>
          <w:tab w:val="left" w:pos="720"/>
        </w:tabs>
        <w:adjustRightInd w:val="0"/>
        <w:snapToGrid w:val="0"/>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第十六条、本合同经甲乙双方签字盖章后生效。</w:t>
      </w:r>
    </w:p>
    <w:p>
      <w:pPr>
        <w:shd w:val="clear"/>
        <w:tabs>
          <w:tab w:val="left" w:pos="720"/>
        </w:tabs>
        <w:adjustRightInd w:val="0"/>
        <w:snapToGrid w:val="0"/>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以下无正文</w:t>
      </w:r>
    </w:p>
    <w:p>
      <w:pPr>
        <w:shd w:val="clear"/>
        <w:tabs>
          <w:tab w:val="left" w:pos="720"/>
        </w:tabs>
        <w:adjustRightInd w:val="0"/>
        <w:snapToGrid w:val="0"/>
        <w:spacing w:line="560" w:lineRule="exact"/>
        <w:ind w:firstLine="422" w:firstLineChars="200"/>
        <w:rPr>
          <w:rFonts w:ascii="宋体" w:hAnsi="宋体" w:eastAsia="宋体" w:cs="宋体"/>
          <w:b/>
          <w:bCs/>
          <w:color w:val="auto"/>
          <w:szCs w:val="21"/>
          <w:highlight w:val="none"/>
        </w:rPr>
      </w:pPr>
    </w:p>
    <w:p>
      <w:pPr>
        <w:shd w:val="clear"/>
        <w:tabs>
          <w:tab w:val="left" w:pos="720"/>
        </w:tabs>
        <w:adjustRightInd w:val="0"/>
        <w:snapToGrid w:val="0"/>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附件（均需中标供应商鲜章）：</w:t>
      </w:r>
    </w:p>
    <w:p>
      <w:pPr>
        <w:shd w:val="clear"/>
        <w:tabs>
          <w:tab w:val="left" w:pos="720"/>
        </w:tabs>
        <w:adjustRightInd w:val="0"/>
        <w:snapToGrid w:val="0"/>
        <w:spacing w:line="560" w:lineRule="exact"/>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技术参数</w:t>
      </w:r>
    </w:p>
    <w:p>
      <w:pPr>
        <w:shd w:val="clear"/>
        <w:tabs>
          <w:tab w:val="left" w:pos="720"/>
        </w:tabs>
        <w:adjustRightInd w:val="0"/>
        <w:snapToGrid w:val="0"/>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配置清单</w:t>
      </w:r>
    </w:p>
    <w:p>
      <w:pPr>
        <w:shd w:val="clear"/>
        <w:tabs>
          <w:tab w:val="left" w:pos="720"/>
        </w:tabs>
        <w:adjustRightInd w:val="0"/>
        <w:snapToGrid w:val="0"/>
        <w:spacing w:line="560" w:lineRule="exact"/>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医疗器械注册证（若不属于医疗器械的，提供证明材料）</w:t>
      </w:r>
    </w:p>
    <w:p>
      <w:pPr>
        <w:shd w:val="clear"/>
        <w:tabs>
          <w:tab w:val="left" w:pos="720"/>
        </w:tabs>
        <w:adjustRightInd w:val="0"/>
        <w:snapToGrid w:val="0"/>
        <w:spacing w:line="560" w:lineRule="exact"/>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中标通知书</w:t>
      </w:r>
    </w:p>
    <w:p>
      <w:pPr>
        <w:shd w:val="clear"/>
        <w:tabs>
          <w:tab w:val="left" w:pos="720"/>
        </w:tabs>
        <w:adjustRightInd w:val="0"/>
        <w:snapToGrid w:val="0"/>
        <w:spacing w:line="560" w:lineRule="exact"/>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售后服务承诺（中标供应商及厂家各一）</w:t>
      </w: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color w:val="auto"/>
          <w:highlight w:val="none"/>
        </w:rPr>
      </w:pPr>
    </w:p>
    <w:p>
      <w:pPr>
        <w:pStyle w:val="44"/>
        <w:shd w:val="clear"/>
        <w:rPr>
          <w:rFonts w:hAnsi="宋体"/>
          <w:color w:val="auto"/>
          <w:sz w:val="21"/>
          <w:szCs w:val="21"/>
          <w:highlight w:val="none"/>
        </w:rPr>
      </w:pPr>
    </w:p>
    <w:p>
      <w:pPr>
        <w:pStyle w:val="2"/>
        <w:numPr>
          <w:ilvl w:val="0"/>
          <w:numId w:val="2"/>
        </w:numPr>
        <w:shd w:val="clear"/>
        <w:spacing w:before="312" w:after="312"/>
        <w:rPr>
          <w:color w:val="auto"/>
          <w:highlight w:val="none"/>
        </w:rPr>
      </w:pPr>
      <w:r>
        <w:rPr>
          <w:rFonts w:hint="eastAsia"/>
          <w:color w:val="auto"/>
          <w:highlight w:val="none"/>
        </w:rPr>
        <w:t xml:space="preserve"> </w:t>
      </w:r>
      <w:bookmarkStart w:id="75" w:name="_Toc4966"/>
      <w:r>
        <w:rPr>
          <w:rFonts w:hint="eastAsia"/>
          <w:color w:val="auto"/>
          <w:highlight w:val="none"/>
        </w:rPr>
        <w:t>采购需求</w:t>
      </w:r>
      <w:bookmarkEnd w:id="75"/>
    </w:p>
    <w:p>
      <w:pPr>
        <w:shd w:val="clear"/>
        <w:adjustRightInd w:val="0"/>
        <w:snapToGrid w:val="0"/>
        <w:spacing w:line="560" w:lineRule="exact"/>
        <w:ind w:firstLine="422" w:firstLineChars="200"/>
        <w:rPr>
          <w:rFonts w:ascii="宋体" w:hAnsi="宋体" w:eastAsia="宋体" w:cs="宋体"/>
          <w:b/>
          <w:bCs/>
          <w:color w:val="auto"/>
          <w:szCs w:val="21"/>
          <w:highlight w:val="none"/>
        </w:rPr>
      </w:pPr>
      <w:bookmarkStart w:id="76" w:name="_Toc1071"/>
      <w:r>
        <w:rPr>
          <w:rFonts w:hint="eastAsia" w:ascii="宋体" w:hAnsi="宋体" w:eastAsia="宋体" w:cs="宋体"/>
          <w:b/>
          <w:bCs/>
          <w:color w:val="auto"/>
          <w:szCs w:val="21"/>
          <w:highlight w:val="none"/>
        </w:rPr>
        <w:t>一、总则</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1.项目说明</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1.1本章内容是根据采购项目的实际需求制定的。货物必须为合格产品，质量达到国家相关标准、行业标准、地方标准或者其他标准、规范，中标人供货时应当提供有关货物的合格证明材料等。</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1.3进口产品是指通过中国海关报关验放进入中国境内且产自关境外的产品。</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本章中内容如涉及品牌或型号的，采购文件中涉及到的品牌或型号，仅为供应商投标时的参照，不作为中标条件或指定内容。供应商应参照或相当于采购文件中载明的品牌或型号进行投标。本章中标记为“▲”的内容为重要指标，未标记“▲”的内容为一般指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必须按照招标文件的要求做出响应，对此类内容的负偏离将导致扣分，允许正偏离但任何内容正偏离不加分。标记为“■”的内容不得有负偏差，可以正偏离或无偏离，否则按照废标处理。</w:t>
      </w:r>
    </w:p>
    <w:p>
      <w:pPr>
        <w:shd w:val="clear"/>
        <w:adjustRightInd w:val="0"/>
        <w:snapToGrid w:val="0"/>
        <w:spacing w:line="5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二、采购需求</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（一）采购标的执行的国家相关标准、行业标准、地方标准</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（1）采购标的需实现的功能或者目标，以及为落实政府采购政策需满足的要求:遵循中华人民共和国有关法律规定，保障易门县六街中心卫生院正常开展相关医务工作。</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标的需执行的国家相关标准、行业标准、地方标准或者其他标准、规范:根据《中华人民共和国政府采购法》《中华人民共和国政府采购法实施条例》、《政府采购货物和服务招投标管理办法（财政部令第87号）》等有关规定。</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标的需满足的质量、安全、技术规格、物理特性等要求:仪器设备安装、调试必须符合《中华人民共和国医疗器械注册证》、《医疗器械产品注册登记表》相关标准，根据中华人民共和国国务院令第650号《医疗器械监督管理条例》和国家药品监督管理局《医疗器械分类目录》的规定，在《医疗器械分类目录》内的产品必须符合《医疗器械监督管理条例》相关规定，其他不在《医疗器械分类目录》内的必需符合相关医疗卫生行业要求。保证提供的仪器设备符合采购文件的要求、是全新的、并符合国家标准和企业标准；进口的仪器设备具有完整的进口手续(包括但不限于入关证明、商品检验证明等)。保证提供的仪器设备（若有配套软件的,还包括软件产品）未侵犯第三人知识产权及其他权利。</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（4）采购标的的数量、采购项目交付或者实施的时间和地点:详见招标公告</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标的需满足的服务标准、期限、效率等要求:提供仪器设备使用的现场培训，培训内容包括但不限于设备的调试、使用、一般的维修、维护及保养等。保证仪器设备在保修期内免费维修或更换，并终身负责维修。维修人员在收到故障报告后保证24小时内到达现场。对仪器设备实行定期巡访、维护及保养。在使用仪器设备过程中发生的技术问题提供技术支持。</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标的的验收标准:按照合同约定交付仪器设备，需要交付仪器设备的合格证、保修卡、装箱清单、商检部门出具的商检合格证明和海关报关手续及相关资料（包括但不限于操作手册、使用指南、维修手册、安装调试说明书、服务手册等）及配套附属设备、配件、必要消耗品等。</w:t>
      </w:r>
    </w:p>
    <w:p>
      <w:pPr>
        <w:shd w:val="clear"/>
        <w:adjustRightInd w:val="0"/>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（二）采购标的需满足的质量、安全、技术规格、物理特性等要求（下列内容量化评审）</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1、采购清单</w:t>
      </w:r>
    </w:p>
    <w:tbl>
      <w:tblPr>
        <w:tblStyle w:val="30"/>
        <w:tblW w:w="9248"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28"/>
        <w:gridCol w:w="794"/>
        <w:gridCol w:w="1148"/>
        <w:gridCol w:w="2139"/>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设备名称</w:t>
            </w:r>
          </w:p>
        </w:tc>
        <w:tc>
          <w:tcPr>
            <w:tcW w:w="794"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数量</w:t>
            </w:r>
          </w:p>
        </w:tc>
        <w:tc>
          <w:tcPr>
            <w:tcW w:w="114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计量单位</w:t>
            </w:r>
          </w:p>
        </w:tc>
        <w:tc>
          <w:tcPr>
            <w:tcW w:w="2139"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是否允许进口产品参与投标</w:t>
            </w:r>
          </w:p>
        </w:tc>
        <w:tc>
          <w:tcPr>
            <w:tcW w:w="2139"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自动煎药机</w:t>
            </w:r>
          </w:p>
        </w:tc>
        <w:tc>
          <w:tcPr>
            <w:tcW w:w="794"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中医定向透药治疗仪</w:t>
            </w:r>
          </w:p>
        </w:tc>
        <w:tc>
          <w:tcPr>
            <w:tcW w:w="794"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cs="宋体"/>
                <w:color w:val="auto"/>
                <w:kern w:val="0"/>
                <w:sz w:val="24"/>
                <w:highlight w:val="none"/>
                <w:lang w:val="en-US" w:eastAsia="zh-CN"/>
              </w:rPr>
              <w:t>ABS单摇病床</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脚踏凳</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2</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器械车</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台式蒸汽灭菌器</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制氧机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2</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诊断床</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等离子体空气消毒器</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无创呼吸机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手术无影灯</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手术辅助照明灯</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2</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电动吸引器</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除颤监护仪</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裂隙灯显微镜</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光子热疗仪</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牙科治疗机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牙科光固化机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牙科影像板扫描仪</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牙科电动无油空压机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便携式牙科X射线机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2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牙科蒸馏水机</w:t>
            </w:r>
          </w:p>
        </w:tc>
        <w:tc>
          <w:tcPr>
            <w:tcW w:w="794"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148"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台</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r>
              <w:rPr>
                <w:rFonts w:hint="eastAsia" w:ascii="宋体" w:hAnsi="宋体" w:cs="宋体"/>
                <w:color w:val="auto"/>
                <w:spacing w:val="8"/>
                <w:sz w:val="21"/>
                <w:szCs w:val="21"/>
                <w:highlight w:val="none"/>
                <w:shd w:val="clear" w:color="auto" w:fill="FFFFFF"/>
                <w:vertAlign w:val="baseline"/>
                <w:lang w:val="en-US" w:eastAsia="zh-CN"/>
              </w:rPr>
              <w:t>否</w:t>
            </w:r>
          </w:p>
        </w:tc>
        <w:tc>
          <w:tcPr>
            <w:tcW w:w="2139" w:type="dxa"/>
            <w:shd w:val="clear" w:color="auto" w:fill="auto"/>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cs="宋体"/>
                <w:color w:val="auto"/>
                <w:spacing w:val="8"/>
                <w:sz w:val="21"/>
                <w:szCs w:val="21"/>
                <w:highlight w:val="none"/>
                <w:shd w:val="clear" w:color="auto" w:fill="FFFFFF"/>
                <w:vertAlign w:val="baseline"/>
                <w:lang w:val="en-US" w:eastAsia="zh-CN"/>
              </w:rPr>
            </w:pPr>
          </w:p>
        </w:tc>
      </w:tr>
    </w:tbl>
    <w:p>
      <w:pPr>
        <w:numPr>
          <w:ilvl w:val="0"/>
          <w:numId w:val="3"/>
        </w:num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技术参数要求</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自动煎药机</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煎药包装一体化</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20000ML×2煎药容量,同时可煎两个患者的药材,每锅可</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煎1-10副中药</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高硼硅强化玻璃煎药锅,耐高压,耐高温</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煎药文火和武火自动转换，可分别设置大火时间和小火时间。</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包装系统人性化设计,每个数据均设有独立的调节按键,避免按键失误,造成机器故障</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自带功能检测键,故障预警</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包装容量以5ML为单位,50-300ML可调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并可自行校正包装容量，误差率1%</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包装数量:1~250袋可调</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包装自动跟踪检测,无药液自动停止灌装</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符合煎药机行业标准，工艺符合医疗器械管理标准，质量通过ISO9001认证，具有相关检验合格报告。</w:t>
      </w:r>
      <w:r>
        <w:rPr>
          <w:rFonts w:hint="eastAsia" w:ascii="宋体" w:hAnsi="宋体" w:eastAsia="宋体" w:cs="宋体"/>
          <w:color w:val="auto"/>
          <w:sz w:val="21"/>
          <w:szCs w:val="21"/>
          <w:highlight w:val="none"/>
          <w:lang w:val="en-US" w:eastAsia="zh-CN"/>
        </w:rPr>
        <w:t>响应文件中提供复印件。</w:t>
      </w:r>
    </w:p>
    <w:p>
      <w:pPr>
        <w:numPr>
          <w:ilvl w:val="0"/>
          <w:numId w:val="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配置：</w:t>
      </w:r>
    </w:p>
    <w:p>
      <w:pPr>
        <w:numPr>
          <w:ilvl w:val="0"/>
          <w:numId w:val="6"/>
        </w:numPr>
        <w:shd w:val="clear"/>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高硼硅玻璃缸20000ml,  2个</w:t>
      </w:r>
    </w:p>
    <w:p>
      <w:pPr>
        <w:numPr>
          <w:ilvl w:val="0"/>
          <w:numId w:val="6"/>
        </w:numPr>
        <w:shd w:val="clear"/>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不锈钢过滤网桶20000ml    ，2个</w:t>
      </w:r>
    </w:p>
    <w:p>
      <w:pPr>
        <w:numPr>
          <w:ilvl w:val="0"/>
          <w:numId w:val="6"/>
        </w:numPr>
        <w:shd w:val="clear"/>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简易压药器，1个</w:t>
      </w:r>
    </w:p>
    <w:p>
      <w:pPr>
        <w:numPr>
          <w:ilvl w:val="0"/>
          <w:numId w:val="6"/>
        </w:numPr>
        <w:shd w:val="clear"/>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不锈钢药叉，2根</w:t>
      </w:r>
    </w:p>
    <w:p>
      <w:pPr>
        <w:numPr>
          <w:ilvl w:val="0"/>
          <w:numId w:val="6"/>
        </w:numPr>
        <w:shd w:val="clear"/>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不锈钢过滤漏斗，2个</w:t>
      </w:r>
    </w:p>
    <w:p>
      <w:pPr>
        <w:numPr>
          <w:ilvl w:val="0"/>
          <w:numId w:val="6"/>
        </w:numPr>
        <w:shd w:val="clear"/>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说明书，保修卡，合格证，各1个</w:t>
      </w:r>
    </w:p>
    <w:p>
      <w:pPr>
        <w:numPr>
          <w:ilvl w:val="0"/>
          <w:numId w:val="6"/>
        </w:numPr>
        <w:shd w:val="clear"/>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随机包装袋   1组</w:t>
      </w:r>
    </w:p>
    <w:p>
      <w:pPr>
        <w:numPr>
          <w:ilvl w:val="0"/>
          <w:numId w:val="6"/>
        </w:numPr>
        <w:shd w:val="clear"/>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汤剂过滤袋，5个</w:t>
      </w:r>
    </w:p>
    <w:p>
      <w:pPr>
        <w:numPr>
          <w:ilvl w:val="0"/>
          <w:numId w:val="6"/>
        </w:numPr>
        <w:shd w:val="clear"/>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内置包装机，1部</w:t>
      </w:r>
    </w:p>
    <w:p>
      <w:pPr>
        <w:numPr>
          <w:ilvl w:val="0"/>
          <w:numId w:val="0"/>
        </w:numPr>
        <w:shd w:val="clear"/>
        <w:spacing w:line="360" w:lineRule="auto"/>
        <w:rPr>
          <w:rFonts w:hint="eastAsia" w:ascii="宋体" w:hAnsi="宋体" w:eastAsia="宋体" w:cs="宋体"/>
          <w:color w:val="auto"/>
          <w:sz w:val="21"/>
          <w:szCs w:val="21"/>
          <w:highlight w:val="none"/>
        </w:rPr>
      </w:pP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中医定向透药治疗仪</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低频调制频率0～150Hz；</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中频脉冲工作频率4000±10%Hz。</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输出强度0～99共100级步进可调。</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定时时间：设定范围1～60分钟，默认20分钟；</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治疗仪最大输出电流≤80mA（r.m.s）。</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7寸真彩TFT触摸液晶屏，全中文显示，全触控操作。</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实时显示治疗电流和波形。</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输出波形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载波波形为中频脉冲方波；输出波形为低频方波、锯齿波、三角波、棱形波、正弦波</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具备按摩、导入、导入按摩三种治疗模式</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两路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通道输出，可</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同时治疗2人；</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机器含有可控反峰脉冲抑制器在单向输出时能够可靠抑制反峰信号，透药电流可以实时跟踪。</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治疗处方中文显示，</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20组专家治疗处方。</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安全类型：Ⅱ类BF型</w:t>
      </w:r>
    </w:p>
    <w:p>
      <w:pPr>
        <w:numPr>
          <w:ilvl w:val="0"/>
          <w:numId w:val="7"/>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按运行模式分类：连续运行。</w:t>
      </w:r>
    </w:p>
    <w:p>
      <w:pPr>
        <w:numPr>
          <w:ilvl w:val="0"/>
          <w:numId w:val="0"/>
        </w:numPr>
        <w:shd w:val="clear"/>
        <w:spacing w:line="360" w:lineRule="auto"/>
        <w:ind w:left="480" w:leftChars="0"/>
        <w:rPr>
          <w:rFonts w:hint="eastAsia" w:ascii="宋体" w:hAnsi="宋体" w:eastAsia="宋体" w:cs="宋体"/>
          <w:b/>
          <w:bCs/>
          <w:color w:val="auto"/>
          <w:sz w:val="21"/>
          <w:szCs w:val="21"/>
          <w:highlight w:val="none"/>
        </w:rPr>
      </w:pP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ABS单摇病床</w:t>
      </w:r>
    </w:p>
    <w:p>
      <w:pPr>
        <w:numPr>
          <w:ilvl w:val="0"/>
          <w:numId w:val="0"/>
        </w:numPr>
        <w:shd w:val="clear"/>
        <w:spacing w:line="360" w:lineRule="auto"/>
        <w:ind w:left="480" w:leftChars="0"/>
        <w:rPr>
          <w:rFonts w:hint="eastAsia" w:ascii="宋体" w:hAnsi="宋体" w:eastAsia="宋体" w:cs="宋体"/>
          <w:b/>
          <w:bCs/>
          <w:color w:val="auto"/>
          <w:sz w:val="21"/>
          <w:szCs w:val="21"/>
          <w:highlight w:val="none"/>
        </w:rPr>
      </w:pPr>
    </w:p>
    <w:p>
      <w:pPr>
        <w:numPr>
          <w:ilvl w:val="0"/>
          <w:numId w:val="8"/>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手动调节背部调节 75°±5°；铝合金折叠护栏，铝合金立柱结构，床板采用C型钢板冲压成型，床体承重≥150KG</w:t>
      </w:r>
    </w:p>
    <w:p>
      <w:pPr>
        <w:numPr>
          <w:ilvl w:val="0"/>
          <w:numId w:val="8"/>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规格：床体总长≥2050±20 mm，总宽≥</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 xml:space="preserve"> ±20 mm，床面距地高度（不含垫）≤460±20 mm，起背角度75°±5°（手动）。</w:t>
      </w:r>
    </w:p>
    <w:p>
      <w:pPr>
        <w:numPr>
          <w:ilvl w:val="0"/>
          <w:numId w:val="8"/>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床体骨架采用 80*40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允许偏离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冷轧碳素钢管，可承载≥150kg;</w:t>
      </w:r>
    </w:p>
    <w:p>
      <w:pPr>
        <w:numPr>
          <w:ilvl w:val="0"/>
          <w:numId w:val="8"/>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床面：采用C型钢板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防滑。</w:t>
      </w:r>
    </w:p>
    <w:p>
      <w:pPr>
        <w:numPr>
          <w:ilvl w:val="0"/>
          <w:numId w:val="8"/>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床体采用双重磷化+静电粉体涂装处理。床体涂料采用抗菌涂料</w:t>
      </w:r>
      <w:r>
        <w:rPr>
          <w:rFonts w:hint="eastAsia" w:ascii="宋体" w:hAnsi="宋体" w:eastAsia="宋体" w:cs="宋体"/>
          <w:color w:val="auto"/>
          <w:sz w:val="21"/>
          <w:szCs w:val="21"/>
          <w:highlight w:val="none"/>
          <w:lang w:eastAsia="zh-CN"/>
        </w:rPr>
        <w:t>。</w:t>
      </w:r>
    </w:p>
    <w:p>
      <w:pPr>
        <w:numPr>
          <w:ilvl w:val="0"/>
          <w:numId w:val="8"/>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床头床尾</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lang w:val="en-US" w:eastAsia="zh-CN"/>
        </w:rPr>
        <w:t>ABS</w:t>
      </w:r>
      <w:r>
        <w:rPr>
          <w:rFonts w:hint="eastAsia" w:ascii="宋体" w:hAnsi="宋体" w:eastAsia="宋体" w:cs="宋体"/>
          <w:color w:val="auto"/>
          <w:sz w:val="21"/>
          <w:szCs w:val="21"/>
          <w:highlight w:val="none"/>
          <w:lang w:eastAsia="zh-CN"/>
        </w:rPr>
        <w:t>材料，</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对称式快速挂钩座，可快速拆卸，方便床体移动时的拆卸安装。</w:t>
      </w:r>
    </w:p>
    <w:p>
      <w:pPr>
        <w:numPr>
          <w:ilvl w:val="0"/>
          <w:numId w:val="8"/>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双侧设有折叠式铝合金5档护栏，护栏长度≥140mm，护栏高度≥30mm，立柱采用铝合金，上下支架全套ABS模具化，带有锁件，可承受上下≥100mm的拉力或压力等负荷。</w:t>
      </w:r>
    </w:p>
    <w:p>
      <w:pPr>
        <w:numPr>
          <w:ilvl w:val="0"/>
          <w:numId w:val="8"/>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床垫：采用防水布罩可防止液体污染内胆。内胆材料采用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40mm硬质棕丝透气性好，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20mm高密度海棉回弹力良好，床垫的厚度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经防虫处理。</w:t>
      </w:r>
    </w:p>
    <w:p>
      <w:pPr>
        <w:numPr>
          <w:ilvl w:val="0"/>
          <w:numId w:val="0"/>
        </w:numPr>
        <w:shd w:val="clear"/>
        <w:spacing w:line="360" w:lineRule="auto"/>
        <w:rPr>
          <w:rFonts w:hint="eastAsia" w:ascii="宋体" w:hAnsi="宋体" w:eastAsia="宋体" w:cs="宋体"/>
          <w:color w:val="auto"/>
          <w:sz w:val="21"/>
          <w:szCs w:val="21"/>
          <w:highlight w:val="none"/>
        </w:rPr>
      </w:pP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脚踏凳</w:t>
      </w:r>
    </w:p>
    <w:p>
      <w:pPr>
        <w:numPr>
          <w:ilvl w:val="0"/>
          <w:numId w:val="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规格47▲22.5▲23cm（偏离幅度不超过±10%）</w:t>
      </w:r>
    </w:p>
    <w:p>
      <w:pPr>
        <w:numPr>
          <w:ilvl w:val="0"/>
          <w:numId w:val="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材质硅胶防滑垫</w:t>
      </w:r>
    </w:p>
    <w:p>
      <w:pPr>
        <w:numPr>
          <w:ilvl w:val="0"/>
          <w:numId w:val="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板面承重 150KG及以上</w:t>
      </w:r>
    </w:p>
    <w:p>
      <w:pPr>
        <w:numPr>
          <w:ilvl w:val="0"/>
          <w:numId w:val="0"/>
        </w:numPr>
        <w:shd w:val="clear"/>
        <w:spacing w:line="360" w:lineRule="auto"/>
        <w:ind w:leftChars="0"/>
        <w:rPr>
          <w:rFonts w:hint="eastAsia" w:ascii="宋体" w:hAnsi="宋体" w:eastAsia="宋体" w:cs="宋体"/>
          <w:color w:val="auto"/>
          <w:sz w:val="21"/>
          <w:szCs w:val="21"/>
          <w:highlight w:val="none"/>
          <w:lang w:val="en-US" w:eastAsia="zh-CN"/>
        </w:rPr>
      </w:pP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器械车</w:t>
      </w:r>
    </w:p>
    <w:p>
      <w:pPr>
        <w:numPr>
          <w:ilvl w:val="0"/>
          <w:numId w:val="10"/>
        </w:numPr>
        <w:shd w:val="clear"/>
        <w:spacing w:line="360" w:lineRule="auto"/>
        <w:ind w:left="425" w:leftChars="0" w:hanging="425"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用不少于0.5mm优质冷轧钢板制作。</w:t>
      </w:r>
    </w:p>
    <w:p>
      <w:pPr>
        <w:numPr>
          <w:ilvl w:val="0"/>
          <w:numId w:val="10"/>
        </w:numPr>
        <w:shd w:val="clear"/>
        <w:spacing w:line="360" w:lineRule="auto"/>
        <w:ind w:left="425" w:leftChars="0" w:hanging="425"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表面材料：颜色为白亚光喷塑,塑粉采用优质塑粉，喷塑光泽为60%-70%；无毛刺，锐角：焊接牢固，无漏焊、早穿等现象，冲压件表面无裂痕和柜体焊接连成一体。</w:t>
      </w:r>
    </w:p>
    <w:p>
      <w:pPr>
        <w:numPr>
          <w:ilvl w:val="0"/>
          <w:numId w:val="10"/>
        </w:numPr>
        <w:shd w:val="clear"/>
        <w:spacing w:line="360" w:lineRule="auto"/>
        <w:ind w:left="425" w:leftChars="0" w:hanging="425"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规格尺寸: 1200▲550mm（偏离幅度不超过±10%）</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台式蒸汽灭菌器</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产品用途：对于手术、齿科、眼科器械、玻璃器皿、药品、培养基和织物敷料以及食品等耐饱和蒸汽作用的物品提供快速灭菌作用。</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不锈钢内胆，密封盖</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有微电脑控制</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有安全连锁装置</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至少可以BD测试、HELIX测试、真空测试</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LCD液晶显示，触摸式按键</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配有标准测试接口</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敞开式置顶水箱</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至少有自动保护功能：超温保护；超压保护；</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至少有低水位保护，防干烧；安全门锁</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三次脉动预真空</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灭菌结束蜂鸣器提醒，自动停机</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自动排放冷空气，灭菌结束自动排放蒸汽</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内置蒸汽发生器，快速提供饱和蒸汽</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标配内置打印机</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容积：≥23L</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额定工作温度：≥134℃</w:t>
      </w:r>
    </w:p>
    <w:p>
      <w:pPr>
        <w:numPr>
          <w:ilvl w:val="0"/>
          <w:numId w:val="11"/>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灭菌室有效容积mm：≥φ250×452</w:t>
      </w:r>
    </w:p>
    <w:p>
      <w:pPr>
        <w:numPr>
          <w:ilvl w:val="0"/>
          <w:numId w:val="0"/>
        </w:numPr>
        <w:shd w:val="clear"/>
        <w:spacing w:line="360" w:lineRule="auto"/>
        <w:rPr>
          <w:rFonts w:hint="eastAsia" w:ascii="宋体" w:hAnsi="宋体" w:eastAsia="宋体" w:cs="宋体"/>
          <w:color w:val="auto"/>
          <w:sz w:val="21"/>
          <w:szCs w:val="21"/>
          <w:highlight w:val="none"/>
        </w:rPr>
      </w:pP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制氧机</w:t>
      </w:r>
    </w:p>
    <w:p>
      <w:pPr>
        <w:numPr>
          <w:ilvl w:val="0"/>
          <w:numId w:val="12"/>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售后服务要求:整机保修至少1年,压缩机至少3年</w:t>
      </w:r>
    </w:p>
    <w:p>
      <w:pPr>
        <w:numPr>
          <w:ilvl w:val="0"/>
          <w:numId w:val="12"/>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主要原料：UOP分子筛</w:t>
      </w:r>
    </w:p>
    <w:p>
      <w:pPr>
        <w:numPr>
          <w:ilvl w:val="0"/>
          <w:numId w:val="12"/>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噪音：正面44dB(A),整机49dB(A)</w:t>
      </w:r>
    </w:p>
    <w:p>
      <w:pPr>
        <w:numPr>
          <w:ilvl w:val="0"/>
          <w:numId w:val="12"/>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氧气浓度1L/min时,90%</w:t>
      </w:r>
    </w:p>
    <w:p>
      <w:pPr>
        <w:numPr>
          <w:ilvl w:val="0"/>
          <w:numId w:val="0"/>
        </w:numPr>
        <w:shd w:val="clear"/>
        <w:spacing w:line="360" w:lineRule="auto"/>
        <w:rPr>
          <w:rFonts w:hint="eastAsia" w:ascii="宋体" w:hAnsi="宋体" w:eastAsia="宋体" w:cs="宋体"/>
          <w:color w:val="auto"/>
          <w:sz w:val="21"/>
          <w:szCs w:val="21"/>
          <w:highlight w:val="none"/>
        </w:rPr>
      </w:pP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诊断床</w:t>
      </w:r>
    </w:p>
    <w:p>
      <w:pPr>
        <w:numPr>
          <w:ilvl w:val="0"/>
          <w:numId w:val="13"/>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规格：1800*600*650mm，允许偏离</w:t>
      </w:r>
    </w:p>
    <w:p>
      <w:pPr>
        <w:numPr>
          <w:ilvl w:val="0"/>
          <w:numId w:val="13"/>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采用普钢方管焊接成框架，螺丝组装而成。</w:t>
      </w:r>
    </w:p>
    <w:p>
      <w:pPr>
        <w:numPr>
          <w:ilvl w:val="0"/>
          <w:numId w:val="13"/>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中间用不锈钢管横条连接前后脚，加固增加承重力。</w:t>
      </w:r>
    </w:p>
    <w:p>
      <w:pPr>
        <w:numPr>
          <w:ilvl w:val="0"/>
          <w:numId w:val="13"/>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床面用皮革包≥5公分厚海绵，固定在木板上。</w:t>
      </w:r>
    </w:p>
    <w:p>
      <w:pPr>
        <w:numPr>
          <w:ilvl w:val="0"/>
          <w:numId w:val="0"/>
        </w:numPr>
        <w:shd w:val="clear"/>
        <w:spacing w:line="360" w:lineRule="auto"/>
        <w:ind w:leftChars="0"/>
        <w:rPr>
          <w:rFonts w:hint="eastAsia" w:ascii="宋体" w:hAnsi="宋体"/>
          <w:color w:val="auto"/>
          <w:highlight w:val="none"/>
        </w:rPr>
      </w:pP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等离子体空气消毒器</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用途：适用与普通手术室、产房、血液病区、烧伤病区、保护性隔离病区、重症监护病区；消毒供应中心检查包装灭菌区和无菌物品存放区、重症透析中心；检查室、治疗室、感染性疾病诊室等。</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安装方式：移动式</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消毒方法：等离子体+静电吸附</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最大适用体积：100 m³</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额定循环风量：1000 </w:t>
      </w:r>
      <w:r>
        <w:rPr>
          <w:rFonts w:hint="eastAsia" w:ascii="宋体" w:hAnsi="宋体" w:eastAsia="宋体" w:cs="宋体"/>
          <w:color w:val="auto"/>
          <w:sz w:val="21"/>
          <w:szCs w:val="21"/>
          <w:highlight w:val="none"/>
          <w:lang w:val="en-US" w:eastAsia="zh-CN"/>
        </w:rPr>
        <w:t>m³</w:t>
      </w:r>
      <w:r>
        <w:rPr>
          <w:rFonts w:hint="eastAsia" w:ascii="宋体" w:hAnsi="宋体" w:eastAsia="宋体" w:cs="宋体"/>
          <w:color w:val="auto"/>
          <w:sz w:val="21"/>
          <w:szCs w:val="21"/>
          <w:highlight w:val="none"/>
        </w:rPr>
        <w:t>/h</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杀菌区电场强度</w:t>
      </w:r>
      <w:r>
        <w:rPr>
          <w:rFonts w:hint="eastAsia" w:ascii="宋体" w:hAnsi="宋体" w:eastAsia="宋体" w:cs="宋体"/>
          <w:color w:val="auto"/>
          <w:sz w:val="21"/>
          <w:szCs w:val="21"/>
          <w:highlight w:val="none"/>
          <w:lang w:val="en-US" w:eastAsia="zh-CN"/>
        </w:rPr>
        <w:t>不小于</w:t>
      </w:r>
      <w:r>
        <w:rPr>
          <w:rFonts w:hint="eastAsia" w:ascii="宋体" w:hAnsi="宋体" w:eastAsia="宋体" w:cs="宋体"/>
          <w:color w:val="auto"/>
          <w:sz w:val="21"/>
          <w:szCs w:val="21"/>
          <w:highlight w:val="none"/>
        </w:rPr>
        <w:t>8000V，积尘区电场强度</w:t>
      </w:r>
      <w:r>
        <w:rPr>
          <w:rFonts w:hint="eastAsia" w:ascii="宋体" w:hAnsi="宋体" w:eastAsia="宋体" w:cs="宋体"/>
          <w:color w:val="auto"/>
          <w:sz w:val="21"/>
          <w:szCs w:val="21"/>
          <w:highlight w:val="none"/>
          <w:lang w:val="en-US" w:eastAsia="zh-CN"/>
        </w:rPr>
        <w:t>不小于</w:t>
      </w:r>
      <w:r>
        <w:rPr>
          <w:rFonts w:hint="eastAsia" w:ascii="宋体" w:hAnsi="宋体" w:eastAsia="宋体" w:cs="宋体"/>
          <w:color w:val="auto"/>
          <w:sz w:val="21"/>
          <w:szCs w:val="21"/>
          <w:highlight w:val="none"/>
        </w:rPr>
        <w:t>4000V。</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杀菌因子强度：等离子密度分布范围1.01×1018/m³～1.24×1018/m³</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净化效果：设备持续工作1小时，对≥0.5um颗粒物的净化效率≥99.99%；净化后100m³室内空气≥0.5um颗粒物≤352000粒/m³，≥5um颗粒物≤2930粒/m³，达到万级洁净度。</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臭氧残留量检测：环境空气臭氧残留量&lt;0.003mg/m³</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颗粒物洁净空气量CADR值≥466.2 m³/h</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对气雾室白色葡萄球菌一小时的杀灭率大于99.99%，</w:t>
      </w:r>
      <w:r>
        <w:rPr>
          <w:rFonts w:hint="eastAsia" w:ascii="宋体" w:hAnsi="宋体" w:eastAsia="宋体" w:cs="宋体"/>
          <w:color w:val="auto"/>
          <w:sz w:val="21"/>
          <w:szCs w:val="21"/>
          <w:highlight w:val="none"/>
          <w:lang w:val="en-US" w:eastAsia="zh-CN"/>
        </w:rPr>
        <w:t>响应文件中</w:t>
      </w:r>
      <w:r>
        <w:rPr>
          <w:rFonts w:hint="eastAsia" w:ascii="宋体" w:hAnsi="宋体" w:eastAsia="宋体" w:cs="宋体"/>
          <w:color w:val="auto"/>
          <w:sz w:val="21"/>
          <w:szCs w:val="21"/>
          <w:highlight w:val="none"/>
        </w:rPr>
        <w:t>提供检测报告</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设备持续工作1小时，对体积为100 m3室内空气中的自然菌消亡率均大于90%，平均消亡率＞95%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响应文件中</w:t>
      </w:r>
      <w:r>
        <w:rPr>
          <w:rFonts w:hint="eastAsia" w:ascii="宋体" w:hAnsi="宋体" w:eastAsia="宋体" w:cs="宋体"/>
          <w:color w:val="auto"/>
          <w:sz w:val="21"/>
          <w:szCs w:val="21"/>
          <w:highlight w:val="none"/>
        </w:rPr>
        <w:t>提供检测报告</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设备为动态消毒机，可在人机共存的环境中使用，且不生成二次污染。</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等离子寿命：等离子体发生器寿命≥30000 小时。</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外壳采用优质冷轧钢板，结构强度高，阻燃性好，安全性高。</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温湿度监测：通过温湿度传感器可以监测设备周围的摄氏温度和相对湿度情况。 </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颗粒状活性炭滤网，可去除有机气体和异味。</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采用多功能等离子体模块</w:t>
      </w:r>
      <w:r>
        <w:rPr>
          <w:rFonts w:hint="eastAsia" w:ascii="宋体" w:hAnsi="宋体" w:eastAsia="宋体" w:cs="宋体"/>
          <w:color w:val="auto"/>
          <w:sz w:val="21"/>
          <w:szCs w:val="21"/>
          <w:highlight w:val="none"/>
          <w:lang w:eastAsia="zh-CN"/>
        </w:rPr>
        <w:t>。</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多挡风速可调：</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三个挡位，可随意调节。三种工作模式：手动模式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自动模式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定时模式</w:t>
      </w:r>
      <w:r>
        <w:rPr>
          <w:rFonts w:hint="eastAsia" w:ascii="宋体" w:hAnsi="宋体" w:eastAsia="宋体" w:cs="宋体"/>
          <w:color w:val="auto"/>
          <w:sz w:val="21"/>
          <w:szCs w:val="21"/>
          <w:highlight w:val="none"/>
          <w:lang w:eastAsia="zh-CN"/>
        </w:rPr>
        <w:t>。</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采用微电脑全自动控制，可实现预约开机、关机功能。</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6个时间段定时控制功能</w:t>
      </w:r>
      <w:r>
        <w:rPr>
          <w:rFonts w:hint="eastAsia" w:ascii="宋体" w:hAnsi="宋体" w:eastAsia="宋体" w:cs="宋体"/>
          <w:color w:val="auto"/>
          <w:sz w:val="21"/>
          <w:szCs w:val="21"/>
          <w:highlight w:val="none"/>
          <w:lang w:eastAsia="zh-CN"/>
        </w:rPr>
        <w:t>。</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手动、定时、临时多种工作模式方便用户操作。</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程控数量（定时消毒）</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6组。</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数码液晶中文触摸显示屏，远红外线遥控。</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具有至少</w:t>
      </w:r>
      <w:r>
        <w:rPr>
          <w:rFonts w:hint="eastAsia" w:ascii="宋体" w:hAnsi="宋体" w:eastAsia="宋体" w:cs="宋体"/>
          <w:color w:val="auto"/>
          <w:sz w:val="21"/>
          <w:szCs w:val="21"/>
          <w:highlight w:val="none"/>
        </w:rPr>
        <w:t>自动累时维护报警，过滤器清洗自动报警，消毒模块故障报警功能。</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工作时间自动累计功能。</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可以</w:t>
      </w:r>
      <w:r>
        <w:rPr>
          <w:rFonts w:hint="eastAsia" w:ascii="宋体" w:hAnsi="宋体" w:eastAsia="宋体" w:cs="宋体"/>
          <w:color w:val="auto"/>
          <w:sz w:val="21"/>
          <w:szCs w:val="21"/>
          <w:highlight w:val="none"/>
        </w:rPr>
        <w:t>遥控和触控两用：可通过电容式感应触控实现开关机和功能设置。</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噪声 dB（A）： ≤50</w:t>
      </w:r>
    </w:p>
    <w:p>
      <w:pPr>
        <w:numPr>
          <w:ilvl w:val="0"/>
          <w:numId w:val="14"/>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卫生安全评价报告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响应文件中提供复印件。</w:t>
      </w:r>
    </w:p>
    <w:p>
      <w:pPr>
        <w:shd w:val="clear"/>
        <w:bidi w:val="0"/>
        <w:rPr>
          <w:rFonts w:hint="eastAsia"/>
          <w:color w:val="auto"/>
          <w:highlight w:val="none"/>
        </w:rPr>
      </w:pP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无创呼吸机</w:t>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呼吸机类型：电动电控</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用途：睡眠呼吸暂停低通气综合征、严重打鼾，以及呼吸功能不全患者的治疗。</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显示界面：≥3.5英寸LED屏，中文操作系统</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通气模式：至少CPAP、S、S/T、T</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压力范围：4-30cmH2O（±0.5cmH2O）</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压力精度：±0.5cmH2O</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设置参数：目标潮气量关，150mL~1500mL</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吸气压力：4-30cmH2O</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最大吸气压：4-30cmH2O，（在目标潮气量功能开启时可设置）</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最小吸气压：4-29cmH2O（不高于吸气压，在目标潮气量功能开启时可设置）</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呼气压力：4-25cmH2O</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治疗压力：4-20cmH2O（CPAP模式下）</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吸气灵敏度:1-8档</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呼气灵敏度:1-8档</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呼吸频率：3-40次/分钟</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吸气时间：0.3-3.0s</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后备频率：开/关，默认值10</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压力上升时间：至少有1-4档</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呼气减压：至少有患者，关，1-3共3档可调</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手动调压：至少有0-2档，0-2cmH2O（仅CPAP模式下有）</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延时升压：至少有Auto，0-60min，设定分档间隔5min</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湿化器：至少有关，Auto，1-5，共6档可调</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加热管路：至少有关，1-5，共5档可调</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预加热：开、关</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辅助功能：至少有实时监测数据显示，实时波形数据显示、湿化器预加热、湿化器自动挡位调节、耗材提醒、报警日志、自动漏气补偿、待机屏保、工作屏保自动开机、自动关机、延时关机、屏幕背光调节等</w:t>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监测参数：至少有压力、潮气量、呼吸频率、分钟通气量、漏气量、吸气时间、血氧饱和度、脉率、流量</w:t>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波形曲线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压力-时间波形、流速-时间波形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报警提示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至少有</w:t>
      </w:r>
      <w:r>
        <w:rPr>
          <w:rFonts w:hint="eastAsia" w:ascii="宋体" w:hAnsi="宋体" w:eastAsia="宋体" w:cs="宋体"/>
          <w:color w:val="auto"/>
          <w:sz w:val="21"/>
          <w:szCs w:val="21"/>
          <w:highlight w:val="none"/>
        </w:rPr>
        <w:t>供电故障、呼吸机失效、管路脱落、压力高、压力低、呼吸频率低、血氧低、漏气、面罩堵塞、分钟通气量低、电压低、呼吸频率高、湿化器失效、更换空气滤芯、更换面罩、更换管路、SD卡写满、重插SD卡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网络数据BMC+呼吸健康管理云平台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D卡数据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RESmart nPAP 数据分析软件</w:t>
      </w:r>
      <w:r>
        <w:rPr>
          <w:rFonts w:hint="eastAsia" w:ascii="宋体" w:hAnsi="宋体" w:eastAsia="宋体" w:cs="宋体"/>
          <w:color w:val="auto"/>
          <w:sz w:val="21"/>
          <w:szCs w:val="21"/>
          <w:highlight w:val="none"/>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配件</w:t>
      </w:r>
      <w:r>
        <w:rPr>
          <w:rFonts w:hint="eastAsia" w:ascii="宋体" w:hAnsi="宋体" w:eastAsia="宋体" w:cs="宋体"/>
          <w:color w:val="auto"/>
          <w:sz w:val="21"/>
          <w:szCs w:val="21"/>
          <w:highlight w:val="none"/>
          <w:lang w:eastAsia="zh-CN"/>
        </w:rPr>
        <w:t>：</w:t>
      </w:r>
    </w:p>
    <w:p>
      <w:pPr>
        <w:numPr>
          <w:ilvl w:val="0"/>
          <w:numId w:val="16"/>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SD卡：标配</w:t>
      </w:r>
      <w:r>
        <w:rPr>
          <w:rFonts w:hint="eastAsia" w:ascii="宋体" w:hAnsi="宋体" w:eastAsia="宋体" w:cs="宋体"/>
          <w:color w:val="auto"/>
          <w:sz w:val="21"/>
          <w:szCs w:val="21"/>
          <w:highlight w:val="none"/>
          <w:lang w:val="en-US" w:eastAsia="zh-CN"/>
        </w:rPr>
        <w:tab/>
      </w:r>
    </w:p>
    <w:p>
      <w:pPr>
        <w:numPr>
          <w:ilvl w:val="0"/>
          <w:numId w:val="16"/>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SD卡卡槽：标配</w:t>
      </w:r>
      <w:r>
        <w:rPr>
          <w:rFonts w:hint="eastAsia" w:ascii="宋体" w:hAnsi="宋体" w:eastAsia="宋体" w:cs="宋体"/>
          <w:color w:val="auto"/>
          <w:sz w:val="21"/>
          <w:szCs w:val="21"/>
          <w:highlight w:val="none"/>
          <w:lang w:val="en-US" w:eastAsia="zh-CN"/>
        </w:rPr>
        <w:tab/>
      </w:r>
    </w:p>
    <w:p>
      <w:pPr>
        <w:numPr>
          <w:ilvl w:val="0"/>
          <w:numId w:val="16"/>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管路：φ22mm，长度为1.8m</w:t>
      </w:r>
      <w:r>
        <w:rPr>
          <w:rFonts w:hint="eastAsia" w:ascii="宋体" w:hAnsi="宋体" w:eastAsia="宋体" w:cs="宋体"/>
          <w:color w:val="auto"/>
          <w:sz w:val="21"/>
          <w:szCs w:val="21"/>
          <w:highlight w:val="none"/>
          <w:lang w:val="en-US" w:eastAsia="zh-CN"/>
        </w:rPr>
        <w:tab/>
      </w:r>
    </w:p>
    <w:p>
      <w:pPr>
        <w:numPr>
          <w:ilvl w:val="0"/>
          <w:numId w:val="16"/>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加热管路：φ22mm，长度为1.8m</w:t>
      </w:r>
      <w:r>
        <w:rPr>
          <w:rFonts w:hint="eastAsia" w:ascii="宋体" w:hAnsi="宋体" w:eastAsia="宋体" w:cs="宋体"/>
          <w:color w:val="auto"/>
          <w:sz w:val="21"/>
          <w:szCs w:val="21"/>
          <w:highlight w:val="none"/>
          <w:lang w:val="en-US" w:eastAsia="zh-CN"/>
        </w:rPr>
        <w:tab/>
      </w:r>
    </w:p>
    <w:p>
      <w:pPr>
        <w:numPr>
          <w:ilvl w:val="0"/>
          <w:numId w:val="16"/>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指夹式血氧传感器：血氧监测范围0~100%，脉率监测范围30~240BMP，长度为1.8m</w:t>
      </w:r>
      <w:r>
        <w:rPr>
          <w:rFonts w:hint="eastAsia" w:ascii="宋体" w:hAnsi="宋体" w:eastAsia="宋体" w:cs="宋体"/>
          <w:color w:val="auto"/>
          <w:sz w:val="21"/>
          <w:szCs w:val="21"/>
          <w:highlight w:val="none"/>
          <w:lang w:val="en-US" w:eastAsia="zh-CN"/>
        </w:rPr>
        <w:tab/>
      </w:r>
    </w:p>
    <w:p>
      <w:pPr>
        <w:numPr>
          <w:ilvl w:val="0"/>
          <w:numId w:val="16"/>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指套式血氧传感器：血氧监测范围0~100%，脉率监测范围30~240BMP，长度为1.8m</w:t>
      </w:r>
      <w:r>
        <w:rPr>
          <w:rFonts w:hint="eastAsia" w:ascii="宋体" w:hAnsi="宋体" w:eastAsia="宋体" w:cs="宋体"/>
          <w:color w:val="auto"/>
          <w:sz w:val="21"/>
          <w:szCs w:val="21"/>
          <w:highlight w:val="none"/>
          <w:lang w:val="en-US" w:eastAsia="zh-CN"/>
        </w:rPr>
        <w:tab/>
      </w:r>
    </w:p>
    <w:p>
      <w:pPr>
        <w:numPr>
          <w:ilvl w:val="0"/>
          <w:numId w:val="16"/>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缠绕式血氧传感器：血氧监测范围0~100%，脉率监测范围30~240BMP，长度为1.8m</w:t>
      </w:r>
      <w:r>
        <w:rPr>
          <w:rFonts w:hint="eastAsia" w:ascii="宋体" w:hAnsi="宋体" w:eastAsia="宋体" w:cs="宋体"/>
          <w:color w:val="auto"/>
          <w:sz w:val="21"/>
          <w:szCs w:val="21"/>
          <w:highlight w:val="none"/>
          <w:lang w:val="en-US" w:eastAsia="zh-CN"/>
        </w:rPr>
        <w:tab/>
      </w:r>
    </w:p>
    <w:p>
      <w:pPr>
        <w:numPr>
          <w:ilvl w:val="0"/>
          <w:numId w:val="16"/>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PM2.5超细过滤装置：对PM2.5颗粒过滤效果达90%</w:t>
      </w:r>
      <w:r>
        <w:rPr>
          <w:rFonts w:hint="eastAsia" w:ascii="宋体" w:hAnsi="宋体" w:eastAsia="宋体" w:cs="宋体"/>
          <w:color w:val="auto"/>
          <w:sz w:val="21"/>
          <w:szCs w:val="21"/>
          <w:highlight w:val="none"/>
          <w:lang w:val="en-US" w:eastAsia="zh-CN"/>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噪声：≤26dB</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rPr>
        <w:tab/>
      </w:r>
    </w:p>
    <w:p>
      <w:pPr>
        <w:numPr>
          <w:ilvl w:val="0"/>
          <w:numId w:val="15"/>
        </w:numPr>
        <w:shd w:val="clear"/>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防水级别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IP22-防滴漏设备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pPr>
        <w:numPr>
          <w:ilvl w:val="0"/>
          <w:numId w:val="0"/>
        </w:numPr>
        <w:shd w:val="clear"/>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手术无影灯</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照度（相距1M处LUX)：</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140000</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色温（K）：4300±500</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光斑直径（mm）：100—300</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照明深度（mm）：≥1200</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亮度调节：1-100</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演色性指数CRI：≥97%</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色彩还原指数RA：≥97%</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术者头部温升（℃）：≤1</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术野工作区域温升（℃）：≤2</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操作半径（mm）：≥2200</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工作半径（mm）：600—1800</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灯泡平均寿命（h）： ≥1500</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灯泡功率：150W</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主副灯泡切换时间</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≤0.1秒</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最佳安装高度（mm）：2800—3000</w:t>
      </w:r>
    </w:p>
    <w:p>
      <w:pPr>
        <w:numPr>
          <w:ilvl w:val="0"/>
          <w:numId w:val="17"/>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w:t>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底座</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横臂</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平衡臂1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灯头体1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灯头体火炬1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手柄</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1（送1个）</w:t>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灯泡（灯头体使用）（24V/150w进口卤素灯泡）</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内六角扳手</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S=3，S=4，S=5，S=6，S=8</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各1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小平口螺丝刀</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＋字螺丝刀1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合格证1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使用说明书1</w:t>
      </w:r>
      <w:r>
        <w:rPr>
          <w:rFonts w:hint="eastAsia" w:ascii="宋体" w:hAnsi="宋体" w:eastAsia="宋体" w:cs="宋体"/>
          <w:color w:val="auto"/>
          <w:sz w:val="21"/>
          <w:szCs w:val="21"/>
          <w:highlight w:val="none"/>
          <w:lang w:val="en-US" w:eastAsia="zh-CN"/>
        </w:rPr>
        <w:tab/>
      </w:r>
    </w:p>
    <w:p>
      <w:pPr>
        <w:numPr>
          <w:ilvl w:val="0"/>
          <w:numId w:val="18"/>
        </w:numPr>
        <w:shd w:val="clear"/>
        <w:spacing w:line="360" w:lineRule="auto"/>
        <w:ind w:left="0" w:leftChars="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产品保修卡1</w:t>
      </w:r>
      <w:r>
        <w:rPr>
          <w:rFonts w:hint="eastAsia" w:ascii="宋体" w:hAnsi="宋体" w:eastAsia="宋体" w:cs="宋体"/>
          <w:color w:val="auto"/>
          <w:sz w:val="21"/>
          <w:szCs w:val="21"/>
          <w:highlight w:val="none"/>
          <w:lang w:val="en-US" w:eastAsia="zh-CN"/>
        </w:rPr>
        <w:tab/>
      </w:r>
    </w:p>
    <w:p>
      <w:pPr>
        <w:shd w:val="clear"/>
        <w:bidi w:val="0"/>
        <w:rPr>
          <w:rFonts w:hint="eastAsia"/>
          <w:color w:val="auto"/>
          <w:highlight w:val="none"/>
        </w:rPr>
      </w:pP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手术辅助照明灯</w:t>
      </w:r>
    </w:p>
    <w:p>
      <w:pPr>
        <w:numPr>
          <w:ilvl w:val="0"/>
          <w:numId w:val="1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照度：≥15000lx</w:t>
      </w:r>
    </w:p>
    <w:p>
      <w:pPr>
        <w:numPr>
          <w:ilvl w:val="0"/>
          <w:numId w:val="1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色温：5000K±500K</w:t>
      </w:r>
    </w:p>
    <w:p>
      <w:pPr>
        <w:numPr>
          <w:ilvl w:val="0"/>
          <w:numId w:val="1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灯泡额定功率：3.2V/1w</w:t>
      </w:r>
    </w:p>
    <w:p>
      <w:pPr>
        <w:numPr>
          <w:ilvl w:val="0"/>
          <w:numId w:val="1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灯泡LED二级发光管</w:t>
      </w:r>
    </w:p>
    <w:p>
      <w:pPr>
        <w:numPr>
          <w:ilvl w:val="0"/>
          <w:numId w:val="1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光源：≥8个LED光源</w:t>
      </w:r>
    </w:p>
    <w:p>
      <w:pPr>
        <w:numPr>
          <w:ilvl w:val="0"/>
          <w:numId w:val="1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LED照明光源寿命≥30000小时</w:t>
      </w:r>
    </w:p>
    <w:p>
      <w:pPr>
        <w:numPr>
          <w:ilvl w:val="0"/>
          <w:numId w:val="1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灯头材质：铝合金</w:t>
      </w:r>
    </w:p>
    <w:p>
      <w:pPr>
        <w:numPr>
          <w:ilvl w:val="0"/>
          <w:numId w:val="19"/>
        </w:numPr>
        <w:shd w:val="clea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灯柱和底座外罩材质：不锈钢</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电动吸引器</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color w:val="auto"/>
          <w:sz w:val="21"/>
          <w:szCs w:val="21"/>
          <w:highlight w:val="none"/>
          <w:lang w:val="en-US" w:eastAsia="zh-CN"/>
        </w:rPr>
        <w:t>▲极限负压值：≥0.09MPa(680mmHg)　　</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rPr>
        <w:t>负压调节范围：0.02～0.09MPa(150～680mmHg)</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rPr>
        <w:t>抽气速率：≥40L/min</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贮液瓶：2500ml</w:t>
      </w:r>
      <w:r>
        <w:rPr>
          <w:rFonts w:hint="default" w:ascii="宋体" w:hAnsi="宋体" w:eastAsia="宋体" w:cs="宋体"/>
          <w:b w:val="0"/>
          <w:i w:val="0"/>
          <w:caps w:val="0"/>
          <w:color w:val="auto"/>
          <w:spacing w:val="0"/>
          <w:sz w:val="21"/>
          <w:szCs w:val="21"/>
          <w:highlight w:val="none"/>
        </w:rPr>
        <w:t>×</w:t>
      </w:r>
      <w:r>
        <w:rPr>
          <w:rFonts w:hint="eastAsia" w:ascii="宋体" w:hAnsi="宋体" w:eastAsia="宋体" w:cs="宋体"/>
          <w:b w:val="0"/>
          <w:i w:val="0"/>
          <w:caps w:val="0"/>
          <w:color w:val="auto"/>
          <w:spacing w:val="0"/>
          <w:sz w:val="21"/>
          <w:szCs w:val="21"/>
          <w:highlight w:val="none"/>
        </w:rPr>
        <w:t>2只(玻璃)</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噪声:≤60dB(A)</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rPr>
        <w:t>采用大流量无油润滑真空泵，泵体无需日常维护和保养。</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大口径贮液瓶，配上带密封环的瓶塞。</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设有溢流保护装置可以防止液体进入中间管道和泵内。</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采用透明无毒聚氯乙烯吸引软管。</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配备的空气过滤器可以防止负压泵受到污染。</w:t>
      </w:r>
    </w:p>
    <w:p>
      <w:pPr>
        <w:numPr>
          <w:ilvl w:val="0"/>
          <w:numId w:val="2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手动开关和脚踏开关并联连接，任意选用。</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除颤监护仪</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具备手动除颤、心电监护功能。除颤具备自动阻抗补偿功能</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lang w:eastAsia="zh-CN"/>
        </w:rPr>
        <w:t>▲</w:t>
      </w:r>
      <w:r>
        <w:rPr>
          <w:rFonts w:hint="eastAsia" w:ascii="宋体" w:hAnsi="宋体" w:eastAsia="宋体" w:cs="宋体"/>
          <w:b w:val="0"/>
          <w:i w:val="0"/>
          <w:caps w:val="0"/>
          <w:color w:val="auto"/>
          <w:spacing w:val="0"/>
          <w:sz w:val="21"/>
          <w:szCs w:val="21"/>
          <w:highlight w:val="none"/>
        </w:rPr>
        <w:t>同步除颤和手动除颤中，能量分25档以上，可通过体外电极板进行能量选择最小为1J，最大为360J。</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除颤充电迅速，充电至200J&lt;3s，充电至360J&lt;7s。</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体外除颤电极板手柄支持充电、放电、能量选择，具备充电完成指示灯。成人、小儿一体化电极板。</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病人阻抗范围：体外除颤：20~</w:t>
      </w:r>
      <w:r>
        <w:rPr>
          <w:rFonts w:hint="eastAsia" w:ascii="宋体" w:hAnsi="宋体" w:eastAsia="宋体" w:cs="宋体"/>
          <w:b w:val="0"/>
          <w:i w:val="0"/>
          <w:caps w:val="0"/>
          <w:color w:val="auto"/>
          <w:spacing w:val="0"/>
          <w:sz w:val="21"/>
          <w:szCs w:val="21"/>
          <w:highlight w:val="none"/>
          <w:lang w:val="en-US" w:eastAsia="zh-CN"/>
        </w:rPr>
        <w:t>25</w:t>
      </w:r>
      <w:r>
        <w:rPr>
          <w:rFonts w:hint="eastAsia" w:ascii="宋体" w:hAnsi="宋体" w:eastAsia="宋体" w:cs="宋体"/>
          <w:b w:val="0"/>
          <w:i w:val="0"/>
          <w:caps w:val="0"/>
          <w:color w:val="auto"/>
          <w:spacing w:val="0"/>
          <w:sz w:val="21"/>
          <w:szCs w:val="21"/>
          <w:highlight w:val="none"/>
        </w:rPr>
        <w:t>0Ω；体内除颤：15-</w:t>
      </w:r>
      <w:r>
        <w:rPr>
          <w:rFonts w:hint="eastAsia" w:ascii="宋体" w:hAnsi="宋体" w:eastAsia="宋体" w:cs="宋体"/>
          <w:b w:val="0"/>
          <w:i w:val="0"/>
          <w:caps w:val="0"/>
          <w:color w:val="auto"/>
          <w:spacing w:val="0"/>
          <w:sz w:val="21"/>
          <w:szCs w:val="21"/>
          <w:highlight w:val="none"/>
          <w:lang w:val="en-US" w:eastAsia="zh-CN"/>
        </w:rPr>
        <w:t>25</w:t>
      </w:r>
      <w:r>
        <w:rPr>
          <w:rFonts w:hint="eastAsia" w:ascii="宋体" w:hAnsi="宋体" w:eastAsia="宋体" w:cs="宋体"/>
          <w:b w:val="0"/>
          <w:i w:val="0"/>
          <w:caps w:val="0"/>
          <w:color w:val="auto"/>
          <w:spacing w:val="0"/>
          <w:sz w:val="21"/>
          <w:szCs w:val="21"/>
          <w:highlight w:val="none"/>
        </w:rPr>
        <w:t>0Ω。</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lang w:eastAsia="zh-CN"/>
        </w:rPr>
        <w:t>▲</w:t>
      </w:r>
      <w:r>
        <w:rPr>
          <w:rFonts w:hint="eastAsia" w:ascii="宋体" w:hAnsi="宋体" w:eastAsia="宋体" w:cs="宋体"/>
          <w:b w:val="0"/>
          <w:i w:val="0"/>
          <w:caps w:val="0"/>
          <w:color w:val="auto"/>
          <w:spacing w:val="0"/>
          <w:sz w:val="21"/>
          <w:szCs w:val="21"/>
          <w:highlight w:val="none"/>
        </w:rPr>
        <w:t>监护功能具有≥2</w:t>
      </w:r>
      <w:r>
        <w:rPr>
          <w:rFonts w:hint="eastAsia" w:ascii="宋体" w:hAnsi="宋体" w:eastAsia="宋体" w:cs="宋体"/>
          <w:b w:val="0"/>
          <w:i w:val="0"/>
          <w:caps w:val="0"/>
          <w:color w:val="auto"/>
          <w:spacing w:val="0"/>
          <w:sz w:val="21"/>
          <w:szCs w:val="21"/>
          <w:highlight w:val="none"/>
          <w:lang w:val="en-US" w:eastAsia="zh-CN"/>
        </w:rPr>
        <w:t>7</w:t>
      </w:r>
      <w:r>
        <w:rPr>
          <w:rFonts w:hint="eastAsia" w:ascii="宋体" w:hAnsi="宋体" w:eastAsia="宋体" w:cs="宋体"/>
          <w:b w:val="0"/>
          <w:i w:val="0"/>
          <w:caps w:val="0"/>
          <w:color w:val="auto"/>
          <w:spacing w:val="0"/>
          <w:sz w:val="21"/>
          <w:szCs w:val="21"/>
          <w:highlight w:val="none"/>
        </w:rPr>
        <w:t>种心律失常分析。</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lang w:eastAsia="zh-CN"/>
        </w:rPr>
        <w:t>▲</w:t>
      </w:r>
      <w:r>
        <w:rPr>
          <w:rFonts w:hint="eastAsia" w:ascii="宋体" w:hAnsi="宋体" w:eastAsia="宋体" w:cs="宋体"/>
          <w:b w:val="0"/>
          <w:i w:val="0"/>
          <w:caps w:val="0"/>
          <w:color w:val="auto"/>
          <w:spacing w:val="0"/>
          <w:sz w:val="21"/>
          <w:szCs w:val="21"/>
          <w:highlight w:val="none"/>
          <w:lang w:val="en-US" w:eastAsia="zh-CN"/>
        </w:rPr>
        <w:t>支持3导和自动导联心电监测，并</w:t>
      </w:r>
      <w:r>
        <w:rPr>
          <w:rFonts w:hint="eastAsia" w:ascii="宋体" w:hAnsi="宋体" w:eastAsia="宋体" w:cs="宋体"/>
          <w:b w:val="0"/>
          <w:i w:val="0"/>
          <w:caps w:val="0"/>
          <w:color w:val="auto"/>
          <w:spacing w:val="0"/>
          <w:sz w:val="21"/>
          <w:szCs w:val="21"/>
          <w:highlight w:val="none"/>
        </w:rPr>
        <w:t>提供12导联心电静息报告输出功能</w:t>
      </w:r>
      <w:r>
        <w:rPr>
          <w:rFonts w:hint="eastAsia" w:ascii="宋体" w:hAnsi="宋体" w:eastAsia="宋体" w:cs="宋体"/>
          <w:b w:val="0"/>
          <w:i w:val="0"/>
          <w:caps w:val="0"/>
          <w:color w:val="auto"/>
          <w:spacing w:val="0"/>
          <w:sz w:val="21"/>
          <w:szCs w:val="21"/>
          <w:highlight w:val="none"/>
          <w:lang w:eastAsia="zh-CN"/>
        </w:rPr>
        <w:t>。</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lang w:eastAsia="zh-CN"/>
        </w:rPr>
        <w:t>▲</w:t>
      </w:r>
      <w:r>
        <w:rPr>
          <w:rFonts w:hint="eastAsia" w:ascii="宋体" w:hAnsi="宋体" w:eastAsia="宋体" w:cs="宋体"/>
          <w:b w:val="0"/>
          <w:i w:val="0"/>
          <w:caps w:val="0"/>
          <w:color w:val="auto"/>
          <w:spacing w:val="0"/>
          <w:sz w:val="21"/>
          <w:szCs w:val="21"/>
          <w:highlight w:val="none"/>
          <w:lang w:val="en-US" w:eastAsia="zh-CN"/>
        </w:rPr>
        <w:t>配备</w:t>
      </w:r>
      <w:r>
        <w:rPr>
          <w:rFonts w:hint="eastAsia" w:ascii="宋体" w:hAnsi="宋体" w:eastAsia="宋体" w:cs="宋体"/>
          <w:b w:val="0"/>
          <w:i w:val="0"/>
          <w:caps w:val="0"/>
          <w:color w:val="auto"/>
          <w:spacing w:val="0"/>
          <w:sz w:val="21"/>
          <w:szCs w:val="21"/>
          <w:highlight w:val="none"/>
        </w:rPr>
        <w:t>1块电池</w:t>
      </w:r>
      <w:r>
        <w:rPr>
          <w:rFonts w:hint="eastAsia" w:ascii="宋体" w:hAnsi="宋体" w:eastAsia="宋体" w:cs="宋体"/>
          <w:b w:val="0"/>
          <w:i w:val="0"/>
          <w:caps w:val="0"/>
          <w:color w:val="auto"/>
          <w:spacing w:val="0"/>
          <w:sz w:val="21"/>
          <w:szCs w:val="21"/>
          <w:highlight w:val="none"/>
          <w:lang w:eastAsia="zh-CN"/>
        </w:rPr>
        <w:t>，</w:t>
      </w:r>
      <w:r>
        <w:rPr>
          <w:rFonts w:hint="eastAsia" w:ascii="宋体" w:hAnsi="宋体" w:eastAsia="宋体" w:cs="宋体"/>
          <w:b w:val="0"/>
          <w:i w:val="0"/>
          <w:caps w:val="0"/>
          <w:color w:val="auto"/>
          <w:spacing w:val="0"/>
          <w:sz w:val="21"/>
          <w:szCs w:val="21"/>
          <w:highlight w:val="none"/>
          <w:lang w:val="en-US" w:eastAsia="zh-CN"/>
        </w:rPr>
        <w:t>最大</w:t>
      </w:r>
      <w:r>
        <w:rPr>
          <w:rFonts w:hint="eastAsia" w:ascii="宋体" w:hAnsi="宋体" w:eastAsia="宋体" w:cs="宋体"/>
          <w:b w:val="0"/>
          <w:i w:val="0"/>
          <w:caps w:val="0"/>
          <w:color w:val="auto"/>
          <w:spacing w:val="0"/>
          <w:sz w:val="21"/>
          <w:szCs w:val="21"/>
          <w:highlight w:val="none"/>
        </w:rPr>
        <w:t>可支持360J除颤210次，电池体上带有五段LED 电池电量指示装置，用于快速评估电池电量。</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具备生理报警和技术报警功能，并且具有双报警灯，分别显示生理报警和技术报警。</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lang w:eastAsia="zh-CN"/>
        </w:rPr>
        <w:t>▲</w:t>
      </w:r>
      <w:r>
        <w:rPr>
          <w:rFonts w:hint="eastAsia" w:ascii="宋体" w:hAnsi="宋体" w:eastAsia="宋体" w:cs="宋体"/>
          <w:b w:val="0"/>
          <w:i w:val="0"/>
          <w:caps w:val="0"/>
          <w:color w:val="auto"/>
          <w:spacing w:val="0"/>
          <w:sz w:val="21"/>
          <w:szCs w:val="21"/>
          <w:highlight w:val="none"/>
        </w:rPr>
        <w:t>彩色TFT显示屏≥7英寸, 分辨率800×480，可显示≥</w:t>
      </w:r>
      <w:r>
        <w:rPr>
          <w:rFonts w:hint="eastAsia" w:ascii="宋体" w:hAnsi="宋体" w:eastAsia="宋体" w:cs="宋体"/>
          <w:b w:val="0"/>
          <w:i w:val="0"/>
          <w:caps w:val="0"/>
          <w:color w:val="auto"/>
          <w:spacing w:val="0"/>
          <w:sz w:val="21"/>
          <w:szCs w:val="21"/>
          <w:highlight w:val="none"/>
          <w:lang w:val="en-US" w:eastAsia="zh-CN"/>
        </w:rPr>
        <w:t>4</w:t>
      </w:r>
      <w:r>
        <w:rPr>
          <w:rFonts w:hint="eastAsia" w:ascii="宋体" w:hAnsi="宋体" w:eastAsia="宋体" w:cs="宋体"/>
          <w:b w:val="0"/>
          <w:i w:val="0"/>
          <w:caps w:val="0"/>
          <w:color w:val="auto"/>
          <w:spacing w:val="0"/>
          <w:sz w:val="21"/>
          <w:szCs w:val="21"/>
          <w:highlight w:val="none"/>
        </w:rPr>
        <w:t>道监护参数波形，有高对比度显示界面。</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体外除颤监护仪可升级配置50mm记录仪，实时记录时间有3秒、5秒、8秒、16秒、32秒、连续可供选择。</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关机状态下设备可自动运行自检，支持大能量自检（不低于200J）、屏幕、按键检测。</w:t>
      </w:r>
    </w:p>
    <w:p>
      <w:pPr>
        <w:numPr>
          <w:ilvl w:val="0"/>
          <w:numId w:val="21"/>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sz w:val="21"/>
          <w:szCs w:val="21"/>
          <w:highlight w:val="none"/>
        </w:rPr>
        <w:t>防护等级IP</w:t>
      </w:r>
      <w:r>
        <w:rPr>
          <w:rFonts w:hint="eastAsia" w:ascii="宋体" w:hAnsi="宋体" w:eastAsia="宋体" w:cs="宋体"/>
          <w:b w:val="0"/>
          <w:i w:val="0"/>
          <w:caps w:val="0"/>
          <w:color w:val="auto"/>
          <w:spacing w:val="0"/>
          <w:sz w:val="21"/>
          <w:szCs w:val="21"/>
          <w:highlight w:val="none"/>
          <w:lang w:val="en-US" w:eastAsia="zh-CN"/>
        </w:rPr>
        <w:t>55</w:t>
      </w:r>
      <w:r>
        <w:rPr>
          <w:rFonts w:hint="eastAsia" w:ascii="宋体" w:hAnsi="宋体" w:eastAsia="宋体" w:cs="宋体"/>
          <w:b w:val="0"/>
          <w:i w:val="0"/>
          <w:caps w:val="0"/>
          <w:color w:val="auto"/>
          <w:spacing w:val="0"/>
          <w:sz w:val="21"/>
          <w:szCs w:val="21"/>
          <w:highlight w:val="none"/>
        </w:rPr>
        <w:t>。</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裂隙灯显微镜</w:t>
      </w:r>
    </w:p>
    <w:p>
      <w:pPr>
        <w:numPr>
          <w:ilvl w:val="0"/>
          <w:numId w:val="22"/>
        </w:numPr>
        <w:shd w:val="clear"/>
        <w:spacing w:line="360" w:lineRule="auto"/>
        <w:ind w:left="425" w:leftChars="0" w:hanging="425" w:firstLineChars="0"/>
        <w:rPr>
          <w:rFonts w:hint="default" w:ascii="宋体" w:hAnsi="宋体" w:eastAsia="宋体" w:cs="宋体"/>
          <w:b w:val="0"/>
          <w:i w:val="0"/>
          <w:caps w:val="0"/>
          <w:color w:val="auto"/>
          <w:spacing w:val="0"/>
          <w:sz w:val="21"/>
          <w:szCs w:val="21"/>
          <w:highlight w:val="none"/>
          <w:lang w:val="en-US" w:eastAsia="zh-CN"/>
        </w:rPr>
      </w:pPr>
      <w:r>
        <w:rPr>
          <w:rFonts w:hint="default" w:ascii="宋体" w:hAnsi="宋体" w:eastAsia="宋体" w:cs="宋体"/>
          <w:b w:val="0"/>
          <w:i w:val="0"/>
          <w:caps w:val="0"/>
          <w:color w:val="auto"/>
          <w:spacing w:val="0"/>
          <w:sz w:val="21"/>
          <w:szCs w:val="21"/>
          <w:highlight w:val="none"/>
          <w:lang w:val="en-US" w:eastAsia="zh-CN"/>
        </w:rPr>
        <w:t>镜片</w:t>
      </w:r>
      <w:r>
        <w:rPr>
          <w:rFonts w:hint="eastAsia" w:ascii="宋体" w:hAnsi="宋体" w:eastAsia="宋体" w:cs="宋体"/>
          <w:b w:val="0"/>
          <w:i w:val="0"/>
          <w:caps w:val="0"/>
          <w:color w:val="auto"/>
          <w:spacing w:val="0"/>
          <w:sz w:val="21"/>
          <w:szCs w:val="21"/>
          <w:highlight w:val="none"/>
          <w:lang w:val="en-US" w:eastAsia="zh-CN"/>
        </w:rPr>
        <w:t>要</w:t>
      </w:r>
      <w:r>
        <w:rPr>
          <w:rFonts w:hint="default" w:ascii="宋体" w:hAnsi="宋体" w:eastAsia="宋体" w:cs="宋体"/>
          <w:b w:val="0"/>
          <w:i w:val="0"/>
          <w:caps w:val="0"/>
          <w:color w:val="auto"/>
          <w:spacing w:val="0"/>
          <w:sz w:val="21"/>
          <w:szCs w:val="21"/>
          <w:highlight w:val="none"/>
          <w:lang w:val="en-US" w:eastAsia="zh-CN"/>
        </w:rPr>
        <w:t>保证高清晰度和亮度</w:t>
      </w:r>
    </w:p>
    <w:p>
      <w:pPr>
        <w:numPr>
          <w:ilvl w:val="0"/>
          <w:numId w:val="22"/>
        </w:numPr>
        <w:shd w:val="clear"/>
        <w:spacing w:line="360" w:lineRule="auto"/>
        <w:ind w:left="425" w:leftChars="0" w:hanging="425" w:firstLineChars="0"/>
        <w:rPr>
          <w:rFonts w:hint="default" w:ascii="宋体" w:hAnsi="宋体" w:eastAsia="宋体" w:cs="宋体"/>
          <w:b w:val="0"/>
          <w:i w:val="0"/>
          <w:caps w:val="0"/>
          <w:color w:val="auto"/>
          <w:spacing w:val="0"/>
          <w:sz w:val="21"/>
          <w:szCs w:val="21"/>
          <w:highlight w:val="none"/>
          <w:lang w:val="en-US" w:eastAsia="zh-CN"/>
        </w:rPr>
      </w:pPr>
      <w:r>
        <w:rPr>
          <w:rFonts w:hint="default" w:ascii="宋体" w:hAnsi="宋体" w:eastAsia="宋体" w:cs="宋体"/>
          <w:b w:val="0"/>
          <w:i w:val="0"/>
          <w:caps w:val="0"/>
          <w:color w:val="auto"/>
          <w:spacing w:val="0"/>
          <w:sz w:val="21"/>
          <w:szCs w:val="21"/>
          <w:highlight w:val="none"/>
          <w:lang w:val="en-US" w:eastAsia="zh-CN"/>
        </w:rPr>
        <w:t>光斑直径</w:t>
      </w:r>
      <w:r>
        <w:rPr>
          <w:rFonts w:hint="eastAsia" w:ascii="宋体" w:hAnsi="宋体" w:eastAsia="宋体" w:cs="宋体"/>
          <w:b w:val="0"/>
          <w:i w:val="0"/>
          <w:caps w:val="0"/>
          <w:color w:val="auto"/>
          <w:spacing w:val="0"/>
          <w:sz w:val="21"/>
          <w:szCs w:val="21"/>
          <w:highlight w:val="none"/>
          <w:lang w:val="en-US" w:eastAsia="zh-CN"/>
        </w:rPr>
        <w:t>≥</w:t>
      </w:r>
      <w:r>
        <w:rPr>
          <w:rFonts w:hint="default" w:ascii="宋体" w:hAnsi="宋体" w:eastAsia="宋体" w:cs="宋体"/>
          <w:b w:val="0"/>
          <w:i w:val="0"/>
          <w:caps w:val="0"/>
          <w:color w:val="auto"/>
          <w:spacing w:val="0"/>
          <w:sz w:val="21"/>
          <w:szCs w:val="21"/>
          <w:highlight w:val="none"/>
          <w:lang w:val="en-US" w:eastAsia="zh-CN"/>
        </w:rPr>
        <w:t>14毫米；</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改变倍率形式：物镜两档可变</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目镜：10x</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总倍率：10x（φ18mm）、16x（φ14.5mm）</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▲瞳距调节范围：54mm～80mm</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▲屈光度调节：-6D~+6D</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裂隙宽度：0mm～14mm连续可调（在14mm时，呈圆形）</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裂隙高度：1mm～14mm连续可调</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裂隙角度：0～180旋转，垂直到水平方向连续可调</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▲光斑直径：φ14mm、φ9mm、φ5.5mm、φ0.3mm</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滤色片：隔热片、无赤片、钴兰片</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照明灯泡：6V/20W卤钨灯泡</w:t>
      </w:r>
    </w:p>
    <w:p>
      <w:pPr>
        <w:numPr>
          <w:ilvl w:val="0"/>
          <w:numId w:val="22"/>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最大照度：≥15万Lx</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光子热疗仪</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红外光波长：0.8μm～3μm。</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红外光最大额定输出功率：16W±2W。</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红外光治疗头采用铝合金材料。</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红光光谱波长范围：550nm～3000nm。</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红光最大额定输出功率：7W±1.5W。</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红光光源：红光理疗光源，光斑范围大，光功率剂量强，有利于顽疾和大面积褥疮、溃疡等治疗。</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腔内电极外表的剩磁感应强度≥80mT。</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腔内电极电热温度：37℃～46℃可调。</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腔内电极振动：最大旋磁转速（振动频率）：6500rpm～8000rp。</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电极间最大输出电压≤38V。</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电极电流密度≤2mA（r.m.s）/cm2,，开路输出电压峰值：≤500Vp-p。</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电极间基本脉冲波形为矩形波,单个脉冲的能量≤300mJ。</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电灼器最大额定输出功率10W±2W。</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定时范围：0～60min连续可调。</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按防电击类型分类：属于Ⅰ类设备。</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按防电击程度分类：属于B型和BF型应用部分。</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运行模式：连续运行。</w:t>
      </w:r>
    </w:p>
    <w:p>
      <w:pPr>
        <w:numPr>
          <w:ilvl w:val="0"/>
          <w:numId w:val="23"/>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连续工作时间：连续工作时间不少于4小时。</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牙科治疗机</w:t>
      </w:r>
    </w:p>
    <w:p>
      <w:pPr>
        <w:numPr>
          <w:ilvl w:val="0"/>
          <w:numId w:val="24"/>
        </w:numPr>
        <w:shd w:val="clear"/>
        <w:spacing w:line="360" w:lineRule="auto"/>
        <w:ind w:left="425" w:leftChars="0" w:hanging="425"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患者座椅</w:t>
      </w:r>
      <w:r>
        <w:rPr>
          <w:rFonts w:hint="eastAsia" w:ascii="宋体" w:hAnsi="宋体" w:eastAsia="宋体" w:cs="宋体"/>
          <w:b w:val="0"/>
          <w:i w:val="0"/>
          <w:caps w:val="0"/>
          <w:color w:val="auto"/>
          <w:spacing w:val="0"/>
          <w:sz w:val="21"/>
          <w:szCs w:val="21"/>
          <w:highlight w:val="none"/>
          <w:lang w:val="en-US" w:eastAsia="zh-CN"/>
        </w:rPr>
        <w:tab/>
      </w:r>
      <w:r>
        <w:rPr>
          <w:rFonts w:hint="eastAsia" w:ascii="宋体" w:hAnsi="宋体" w:eastAsia="宋体" w:cs="宋体"/>
          <w:b w:val="0"/>
          <w:i w:val="0"/>
          <w:caps w:val="0"/>
          <w:color w:val="auto"/>
          <w:spacing w:val="0"/>
          <w:sz w:val="21"/>
          <w:szCs w:val="21"/>
          <w:highlight w:val="none"/>
          <w:lang w:val="en-US" w:eastAsia="zh-CN"/>
        </w:rPr>
        <w:tab/>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座垫面离地面高度：最低</w:t>
      </w:r>
      <w:r>
        <w:rPr>
          <w:rFonts w:hint="default"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en-US" w:eastAsia="zh-CN"/>
        </w:rPr>
        <w:t>390mm，最高</w:t>
      </w:r>
      <w:r>
        <w:rPr>
          <w:rFonts w:hint="default"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en-US" w:eastAsia="zh-CN"/>
        </w:rPr>
        <w:t>800mm</w:t>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椅位载重量：</w:t>
      </w:r>
      <w:r>
        <w:rPr>
          <w:rFonts w:hint="default"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en-US" w:eastAsia="zh-CN"/>
        </w:rPr>
        <w:t>180KG</w:t>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升降</w:t>
      </w:r>
      <w:r>
        <w:rPr>
          <w:rFonts w:hint="eastAsia" w:ascii="宋体" w:hAnsi="宋体" w:eastAsia="宋体" w:cs="宋体"/>
          <w:b w:val="0"/>
          <w:i w:val="0"/>
          <w:caps w:val="0"/>
          <w:color w:val="auto"/>
          <w:spacing w:val="0"/>
          <w:sz w:val="21"/>
          <w:szCs w:val="21"/>
          <w:highlight w:val="none"/>
          <w:lang w:val="zh-CN" w:eastAsia="zh-CN"/>
        </w:rPr>
        <w:t>和靠背运动具有联动补偿功能，牙椅具有急救位功能。</w:t>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zh-CN" w:eastAsia="zh-CN"/>
        </w:rPr>
        <w:t>椅位具有下降安全保护装置，下降时遇到阻碍物会停止下降，并回升。</w:t>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具有紧急急停开关。</w:t>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牙椅底座上带脚控控制，可控制牙椅的升降及仰卧。</w:t>
      </w:r>
    </w:p>
    <w:p>
      <w:pPr>
        <w:numPr>
          <w:ilvl w:val="0"/>
          <w:numId w:val="24"/>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医师单元</w:t>
      </w:r>
      <w:r>
        <w:rPr>
          <w:rFonts w:hint="eastAsia" w:ascii="宋体" w:hAnsi="宋体" w:eastAsia="宋体" w:cs="宋体"/>
          <w:b w:val="0"/>
          <w:i w:val="0"/>
          <w:caps w:val="0"/>
          <w:color w:val="auto"/>
          <w:spacing w:val="0"/>
          <w:sz w:val="21"/>
          <w:szCs w:val="21"/>
          <w:highlight w:val="none"/>
          <w:lang w:val="en-US" w:eastAsia="zh-CN"/>
        </w:rPr>
        <w:tab/>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zh-CN" w:eastAsia="zh-CN"/>
        </w:rPr>
        <w:t>下挂式手机操作系统</w:t>
      </w:r>
      <w:r>
        <w:rPr>
          <w:rFonts w:hint="eastAsia"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zh-CN" w:eastAsia="zh-CN"/>
        </w:rPr>
        <w:t>手机挂架可内外旋转</w:t>
      </w:r>
      <w:r>
        <w:rPr>
          <w:rFonts w:hint="eastAsia" w:ascii="宋体" w:hAnsi="宋体" w:eastAsia="宋体" w:cs="宋体"/>
          <w:b w:val="0"/>
          <w:i w:val="0"/>
          <w:caps w:val="0"/>
          <w:color w:val="auto"/>
          <w:spacing w:val="0"/>
          <w:sz w:val="21"/>
          <w:szCs w:val="21"/>
          <w:highlight w:val="none"/>
          <w:lang w:val="en-US" w:eastAsia="zh-CN"/>
        </w:rPr>
        <w:t>90</w:t>
      </w:r>
      <w:r>
        <w:rPr>
          <w:rFonts w:hint="default" w:ascii="宋体" w:hAnsi="宋体" w:eastAsia="宋体" w:cs="宋体"/>
          <w:b w:val="0"/>
          <w:i w:val="0"/>
          <w:caps w:val="0"/>
          <w:color w:val="auto"/>
          <w:spacing w:val="0"/>
          <w:sz w:val="21"/>
          <w:szCs w:val="21"/>
          <w:highlight w:val="none"/>
          <w:lang w:val="it-IT" w:eastAsia="zh-CN"/>
        </w:rPr>
        <w:t>°</w:t>
      </w:r>
      <w:r>
        <w:rPr>
          <w:rFonts w:hint="eastAsia" w:ascii="宋体" w:hAnsi="宋体" w:eastAsia="宋体" w:cs="宋体"/>
          <w:b w:val="0"/>
          <w:i w:val="0"/>
          <w:caps w:val="0"/>
          <w:color w:val="auto"/>
          <w:spacing w:val="0"/>
          <w:sz w:val="21"/>
          <w:szCs w:val="21"/>
          <w:highlight w:val="none"/>
          <w:lang w:val="zh-CN" w:eastAsia="zh-CN"/>
        </w:rPr>
        <w:t>，收纳在器械盘下面；挂架可上下</w:t>
      </w:r>
      <w:r>
        <w:rPr>
          <w:rFonts w:hint="eastAsia" w:ascii="宋体" w:hAnsi="宋体" w:eastAsia="宋体" w:cs="宋体"/>
          <w:b w:val="0"/>
          <w:i w:val="0"/>
          <w:caps w:val="0"/>
          <w:color w:val="auto"/>
          <w:spacing w:val="0"/>
          <w:sz w:val="21"/>
          <w:szCs w:val="21"/>
          <w:highlight w:val="none"/>
          <w:lang w:val="en-US" w:eastAsia="zh-CN"/>
        </w:rPr>
        <w:t>45</w:t>
      </w:r>
      <w:r>
        <w:rPr>
          <w:rFonts w:hint="default" w:ascii="宋体" w:hAnsi="宋体" w:eastAsia="宋体" w:cs="宋体"/>
          <w:b w:val="0"/>
          <w:i w:val="0"/>
          <w:caps w:val="0"/>
          <w:color w:val="auto"/>
          <w:spacing w:val="0"/>
          <w:sz w:val="21"/>
          <w:szCs w:val="21"/>
          <w:highlight w:val="none"/>
          <w:lang w:val="it-IT" w:eastAsia="zh-CN"/>
        </w:rPr>
        <w:t>°</w:t>
      </w:r>
      <w:r>
        <w:rPr>
          <w:rFonts w:hint="eastAsia" w:ascii="宋体" w:hAnsi="宋体" w:eastAsia="宋体" w:cs="宋体"/>
          <w:b w:val="0"/>
          <w:i w:val="0"/>
          <w:caps w:val="0"/>
          <w:color w:val="auto"/>
          <w:spacing w:val="0"/>
          <w:sz w:val="21"/>
          <w:szCs w:val="21"/>
          <w:highlight w:val="none"/>
          <w:lang w:val="zh-CN" w:eastAsia="zh-CN"/>
        </w:rPr>
        <w:t>旋转，采用大挂架，方便医生实现盲插操作。</w:t>
      </w:r>
      <w:r>
        <w:rPr>
          <w:rFonts w:hint="eastAsia" w:ascii="宋体" w:hAnsi="宋体" w:eastAsia="宋体" w:cs="宋体"/>
          <w:b w:val="0"/>
          <w:i w:val="0"/>
          <w:caps w:val="0"/>
          <w:color w:val="auto"/>
          <w:spacing w:val="0"/>
          <w:sz w:val="21"/>
          <w:szCs w:val="21"/>
          <w:highlight w:val="none"/>
          <w:lang w:val="en-US" w:eastAsia="zh-CN"/>
        </w:rPr>
        <w:tab/>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zh-CN" w:eastAsia="zh-CN"/>
        </w:rPr>
        <w:t>主控器械盘</w:t>
      </w:r>
      <w:r>
        <w:rPr>
          <w:rFonts w:hint="eastAsia" w:ascii="宋体" w:hAnsi="宋体" w:eastAsia="宋体" w:cs="宋体"/>
          <w:b w:val="0"/>
          <w:i w:val="0"/>
          <w:caps w:val="0"/>
          <w:color w:val="auto"/>
          <w:spacing w:val="0"/>
          <w:sz w:val="21"/>
          <w:szCs w:val="21"/>
          <w:highlight w:val="none"/>
          <w:lang w:val="en-US" w:eastAsia="zh-CN"/>
        </w:rPr>
        <w:t>至少</w:t>
      </w:r>
      <w:r>
        <w:rPr>
          <w:rFonts w:hint="eastAsia" w:ascii="宋体" w:hAnsi="宋体" w:eastAsia="宋体" w:cs="宋体"/>
          <w:b w:val="0"/>
          <w:i w:val="0"/>
          <w:caps w:val="0"/>
          <w:color w:val="auto"/>
          <w:spacing w:val="0"/>
          <w:sz w:val="21"/>
          <w:szCs w:val="21"/>
          <w:highlight w:val="none"/>
          <w:lang w:val="zh-CN" w:eastAsia="zh-CN"/>
        </w:rPr>
        <w:t>具有三个置物盘，均可直接拆卸清洗，主置物盘</w:t>
      </w:r>
      <w:r>
        <w:rPr>
          <w:rFonts w:hint="default"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en-US" w:eastAsia="zh-CN"/>
        </w:rPr>
        <w:t>420</w:t>
      </w:r>
      <w:r>
        <w:rPr>
          <w:rFonts w:hint="default"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en-US" w:eastAsia="zh-CN"/>
        </w:rPr>
        <w:t>270mm</w:t>
      </w:r>
      <w:r>
        <w:rPr>
          <w:rFonts w:hint="eastAsia" w:ascii="宋体" w:hAnsi="宋体" w:eastAsia="宋体" w:cs="宋体"/>
          <w:b w:val="0"/>
          <w:i w:val="0"/>
          <w:caps w:val="0"/>
          <w:color w:val="auto"/>
          <w:spacing w:val="0"/>
          <w:sz w:val="21"/>
          <w:szCs w:val="21"/>
          <w:highlight w:val="none"/>
          <w:lang w:val="zh-CN" w:eastAsia="zh-CN"/>
        </w:rPr>
        <w:t>，</w:t>
      </w:r>
      <w:r>
        <w:rPr>
          <w:rFonts w:hint="eastAsia" w:ascii="宋体" w:hAnsi="宋体" w:eastAsia="宋体" w:cs="宋体"/>
          <w:b w:val="0"/>
          <w:i w:val="0"/>
          <w:caps w:val="0"/>
          <w:color w:val="auto"/>
          <w:spacing w:val="0"/>
          <w:sz w:val="21"/>
          <w:szCs w:val="21"/>
          <w:highlight w:val="none"/>
          <w:lang w:val="en-US" w:eastAsia="zh-CN"/>
        </w:rPr>
        <w:t>两</w:t>
      </w:r>
      <w:r>
        <w:rPr>
          <w:rFonts w:hint="eastAsia" w:ascii="宋体" w:hAnsi="宋体" w:eastAsia="宋体" w:cs="宋体"/>
          <w:b w:val="0"/>
          <w:i w:val="0"/>
          <w:caps w:val="0"/>
          <w:color w:val="auto"/>
          <w:spacing w:val="0"/>
          <w:sz w:val="21"/>
          <w:szCs w:val="21"/>
          <w:highlight w:val="none"/>
          <w:lang w:val="zh-CN" w:eastAsia="zh-CN"/>
        </w:rPr>
        <w:t>个副盘</w:t>
      </w:r>
      <w:r>
        <w:rPr>
          <w:rFonts w:hint="default"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en-US" w:eastAsia="zh-CN"/>
        </w:rPr>
        <w:t>260</w:t>
      </w:r>
      <w:r>
        <w:rPr>
          <w:rFonts w:hint="default"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en-US" w:eastAsia="zh-CN"/>
        </w:rPr>
        <w:t>220 mm。</w:t>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▲活动磁吸式器械盘无需工具可取下清洗消毒。</w:t>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主控面板可设置</w:t>
      </w:r>
      <w:r>
        <w:rPr>
          <w:rFonts w:hint="eastAsia" w:ascii="宋体" w:hAnsi="宋体" w:eastAsia="宋体" w:cs="宋体"/>
          <w:b w:val="0"/>
          <w:i w:val="0"/>
          <w:caps w:val="0"/>
          <w:color w:val="auto"/>
          <w:spacing w:val="0"/>
          <w:sz w:val="21"/>
          <w:szCs w:val="21"/>
          <w:highlight w:val="none"/>
          <w:lang w:val="en-US" w:eastAsia="zh-CN"/>
        </w:rPr>
        <w:t>至少5</w:t>
      </w:r>
      <w:r>
        <w:rPr>
          <w:rFonts w:hint="eastAsia" w:ascii="宋体" w:hAnsi="宋体" w:eastAsia="宋体" w:cs="宋体"/>
          <w:b w:val="0"/>
          <w:i w:val="0"/>
          <w:caps w:val="0"/>
          <w:color w:val="auto"/>
          <w:spacing w:val="0"/>
          <w:sz w:val="21"/>
          <w:szCs w:val="21"/>
          <w:highlight w:val="none"/>
          <w:lang w:val="zh-CN" w:eastAsia="zh-CN"/>
        </w:rPr>
        <w:t>个记忆椅位，冲痰，漱口，加热等按键。</w:t>
      </w:r>
      <w:r>
        <w:rPr>
          <w:rFonts w:hint="eastAsia" w:ascii="宋体" w:hAnsi="宋体" w:eastAsia="宋体" w:cs="宋体"/>
          <w:b w:val="0"/>
          <w:i w:val="0"/>
          <w:caps w:val="0"/>
          <w:color w:val="auto"/>
          <w:spacing w:val="0"/>
          <w:sz w:val="21"/>
          <w:szCs w:val="21"/>
          <w:highlight w:val="none"/>
          <w:lang w:val="en-US" w:eastAsia="zh-CN"/>
        </w:rPr>
        <w:t>主控、副控均具有记忆椅位功能，具有万能键功能，可代替其他所有功能键。</w:t>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牙椅标配一键管路反冲洗消毒功能，同时对手机管路，洁牙机管路，主控和副控三用枪以及簌口水进行消毒，无需通过脚踏控制。</w:t>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▲器械盘左右两侧把手下方均带有双气刹功能。</w:t>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可选配内置</w:t>
      </w:r>
      <w:r>
        <w:rPr>
          <w:rFonts w:hint="eastAsia" w:ascii="宋体" w:hAnsi="宋体" w:eastAsia="宋体" w:cs="宋体"/>
          <w:b w:val="0"/>
          <w:i w:val="0"/>
          <w:caps w:val="0"/>
          <w:color w:val="auto"/>
          <w:spacing w:val="0"/>
          <w:sz w:val="21"/>
          <w:szCs w:val="21"/>
          <w:highlight w:val="none"/>
          <w:lang w:val="da-DK" w:eastAsia="zh-CN"/>
        </w:rPr>
        <w:t>LED</w:t>
      </w:r>
      <w:r>
        <w:rPr>
          <w:rFonts w:hint="eastAsia" w:ascii="宋体" w:hAnsi="宋体" w:eastAsia="宋体" w:cs="宋体"/>
          <w:b w:val="0"/>
          <w:i w:val="0"/>
          <w:caps w:val="0"/>
          <w:color w:val="auto"/>
          <w:spacing w:val="0"/>
          <w:sz w:val="21"/>
          <w:szCs w:val="21"/>
          <w:highlight w:val="none"/>
          <w:lang w:val="zh-CN" w:eastAsia="zh-CN"/>
        </w:rPr>
        <w:t>观片灯，安装在器械盘按键板</w:t>
      </w:r>
      <w:r>
        <w:rPr>
          <w:rFonts w:hint="eastAsia" w:ascii="宋体" w:hAnsi="宋体" w:eastAsia="宋体" w:cs="宋体"/>
          <w:b w:val="0"/>
          <w:i w:val="0"/>
          <w:caps w:val="0"/>
          <w:color w:val="auto"/>
          <w:spacing w:val="0"/>
          <w:sz w:val="21"/>
          <w:szCs w:val="21"/>
          <w:highlight w:val="none"/>
          <w:lang w:val="en-US" w:eastAsia="zh-CN"/>
        </w:rPr>
        <w:t>左侧</w:t>
      </w:r>
      <w:r>
        <w:rPr>
          <w:rFonts w:hint="eastAsia" w:ascii="宋体" w:hAnsi="宋体" w:eastAsia="宋体" w:cs="宋体"/>
          <w:b w:val="0"/>
          <w:i w:val="0"/>
          <w:caps w:val="0"/>
          <w:color w:val="auto"/>
          <w:spacing w:val="0"/>
          <w:sz w:val="21"/>
          <w:szCs w:val="21"/>
          <w:highlight w:val="none"/>
          <w:lang w:val="zh-CN" w:eastAsia="zh-CN"/>
        </w:rPr>
        <w:t>。</w:t>
      </w:r>
    </w:p>
    <w:p>
      <w:pPr>
        <w:numPr>
          <w:ilvl w:val="0"/>
          <w:numId w:val="24"/>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3助手单元</w:t>
      </w:r>
      <w:r>
        <w:rPr>
          <w:rFonts w:hint="eastAsia" w:ascii="宋体" w:hAnsi="宋体" w:eastAsia="宋体" w:cs="宋体"/>
          <w:b w:val="0"/>
          <w:i w:val="0"/>
          <w:caps w:val="0"/>
          <w:color w:val="auto"/>
          <w:spacing w:val="0"/>
          <w:sz w:val="21"/>
          <w:szCs w:val="21"/>
          <w:highlight w:val="none"/>
          <w:lang w:val="en-US" w:eastAsia="zh-CN"/>
        </w:rPr>
        <w:tab/>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zh-CN" w:eastAsia="zh-CN"/>
        </w:rPr>
        <w:t>副控</w:t>
      </w:r>
      <w:r>
        <w:rPr>
          <w:rFonts w:hint="eastAsia" w:ascii="宋体" w:hAnsi="宋体" w:eastAsia="宋体" w:cs="宋体"/>
          <w:b w:val="0"/>
          <w:i w:val="0"/>
          <w:caps w:val="0"/>
          <w:color w:val="auto"/>
          <w:spacing w:val="0"/>
          <w:sz w:val="21"/>
          <w:szCs w:val="21"/>
          <w:highlight w:val="none"/>
          <w:lang w:val="en-US" w:eastAsia="zh-CN"/>
        </w:rPr>
        <w:t>至少</w:t>
      </w:r>
      <w:r>
        <w:rPr>
          <w:rFonts w:hint="eastAsia" w:ascii="宋体" w:hAnsi="宋体" w:eastAsia="宋体" w:cs="宋体"/>
          <w:b w:val="0"/>
          <w:i w:val="0"/>
          <w:caps w:val="0"/>
          <w:color w:val="auto"/>
          <w:spacing w:val="0"/>
          <w:sz w:val="21"/>
          <w:szCs w:val="21"/>
          <w:highlight w:val="none"/>
          <w:lang w:val="zh-CN" w:eastAsia="zh-CN"/>
        </w:rPr>
        <w:t>具有5位挂架装置，</w:t>
      </w:r>
      <w:r>
        <w:rPr>
          <w:rFonts w:hint="eastAsia" w:ascii="宋体" w:hAnsi="宋体" w:eastAsia="宋体" w:cs="宋体"/>
          <w:b w:val="0"/>
          <w:i w:val="0"/>
          <w:caps w:val="0"/>
          <w:color w:val="auto"/>
          <w:spacing w:val="0"/>
          <w:sz w:val="21"/>
          <w:szCs w:val="21"/>
          <w:highlight w:val="none"/>
          <w:lang w:val="en-US" w:eastAsia="zh-CN"/>
        </w:rPr>
        <w:t>可根据需求拓展内窥镜挂架和光固化挂架位</w:t>
      </w:r>
      <w:r>
        <w:rPr>
          <w:rFonts w:hint="eastAsia" w:ascii="宋体" w:hAnsi="宋体" w:eastAsia="宋体" w:cs="宋体"/>
          <w:b w:val="0"/>
          <w:i w:val="0"/>
          <w:caps w:val="0"/>
          <w:color w:val="auto"/>
          <w:spacing w:val="0"/>
          <w:sz w:val="21"/>
          <w:szCs w:val="21"/>
          <w:highlight w:val="none"/>
          <w:lang w:val="zh-CN" w:eastAsia="zh-CN"/>
        </w:rPr>
        <w:t>。</w:t>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副控面板上具</w:t>
      </w:r>
      <w:r>
        <w:rPr>
          <w:rFonts w:hint="eastAsia" w:ascii="宋体" w:hAnsi="宋体" w:eastAsia="宋体" w:cs="宋体"/>
          <w:b w:val="0"/>
          <w:i w:val="0"/>
          <w:caps w:val="0"/>
          <w:color w:val="auto"/>
          <w:spacing w:val="0"/>
          <w:sz w:val="21"/>
          <w:szCs w:val="21"/>
          <w:highlight w:val="none"/>
          <w:lang w:val="zh-CN" w:eastAsia="zh-CN"/>
        </w:rPr>
        <w:t>有</w:t>
      </w:r>
      <w:r>
        <w:rPr>
          <w:rFonts w:hint="eastAsia" w:ascii="宋体" w:hAnsi="宋体" w:eastAsia="宋体" w:cs="宋体"/>
          <w:b w:val="0"/>
          <w:i w:val="0"/>
          <w:caps w:val="0"/>
          <w:color w:val="auto"/>
          <w:spacing w:val="0"/>
          <w:sz w:val="21"/>
          <w:szCs w:val="21"/>
          <w:highlight w:val="none"/>
          <w:lang w:val="en-US" w:eastAsia="zh-CN"/>
        </w:rPr>
        <w:t>SET功能设置</w:t>
      </w:r>
      <w:r>
        <w:rPr>
          <w:rFonts w:hint="eastAsia" w:ascii="宋体" w:hAnsi="宋体" w:eastAsia="宋体" w:cs="宋体"/>
          <w:b w:val="0"/>
          <w:i w:val="0"/>
          <w:caps w:val="0"/>
          <w:color w:val="auto"/>
          <w:spacing w:val="0"/>
          <w:sz w:val="21"/>
          <w:szCs w:val="21"/>
          <w:highlight w:val="none"/>
          <w:lang w:val="zh-CN" w:eastAsia="zh-CN"/>
        </w:rPr>
        <w:t>键、漱口位键，有升降、仰卧、加热、复位键等功能。</w:t>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zh-CN" w:eastAsia="zh-CN"/>
        </w:rPr>
        <w:t>副控</w:t>
      </w:r>
      <w:r>
        <w:rPr>
          <w:rFonts w:hint="eastAsia" w:ascii="宋体" w:hAnsi="宋体" w:eastAsia="宋体" w:cs="宋体"/>
          <w:b w:val="0"/>
          <w:i w:val="0"/>
          <w:caps w:val="0"/>
          <w:color w:val="auto"/>
          <w:spacing w:val="0"/>
          <w:sz w:val="21"/>
          <w:szCs w:val="21"/>
          <w:highlight w:val="none"/>
          <w:lang w:val="en-US" w:eastAsia="zh-CN"/>
        </w:rPr>
        <w:t>配有可插拔式</w:t>
      </w:r>
      <w:r>
        <w:rPr>
          <w:rFonts w:hint="eastAsia" w:ascii="宋体" w:hAnsi="宋体" w:eastAsia="宋体" w:cs="宋体"/>
          <w:b w:val="0"/>
          <w:i w:val="0"/>
          <w:caps w:val="0"/>
          <w:color w:val="auto"/>
          <w:spacing w:val="0"/>
          <w:sz w:val="21"/>
          <w:szCs w:val="21"/>
          <w:highlight w:val="none"/>
          <w:lang w:val="zh-CN" w:eastAsia="zh-CN"/>
        </w:rPr>
        <w:t>强弱</w:t>
      </w:r>
      <w:r>
        <w:rPr>
          <w:rFonts w:hint="eastAsia" w:ascii="宋体" w:hAnsi="宋体" w:eastAsia="宋体" w:cs="宋体"/>
          <w:b w:val="0"/>
          <w:i w:val="0"/>
          <w:caps w:val="0"/>
          <w:color w:val="auto"/>
          <w:spacing w:val="0"/>
          <w:sz w:val="21"/>
          <w:szCs w:val="21"/>
          <w:highlight w:val="none"/>
          <w:lang w:val="en-US" w:eastAsia="zh-CN"/>
        </w:rPr>
        <w:t>吸管</w:t>
      </w:r>
      <w:r>
        <w:rPr>
          <w:rFonts w:hint="eastAsia" w:ascii="宋体" w:hAnsi="宋体" w:eastAsia="宋体" w:cs="宋体"/>
          <w:b w:val="0"/>
          <w:i w:val="0"/>
          <w:caps w:val="0"/>
          <w:color w:val="auto"/>
          <w:spacing w:val="0"/>
          <w:sz w:val="21"/>
          <w:szCs w:val="21"/>
          <w:highlight w:val="none"/>
          <w:lang w:val="zh-CN" w:eastAsia="zh-CN"/>
        </w:rPr>
        <w:t>，配有易于拆卸清洗的过滤系统，具有延时功能，吸唾手柄挂回后会再工作</w:t>
      </w:r>
      <w:r>
        <w:rPr>
          <w:rFonts w:hint="eastAsia" w:ascii="宋体" w:hAnsi="宋体" w:eastAsia="宋体" w:cs="宋体"/>
          <w:b w:val="0"/>
          <w:i w:val="0"/>
          <w:caps w:val="0"/>
          <w:color w:val="auto"/>
          <w:spacing w:val="0"/>
          <w:sz w:val="21"/>
          <w:szCs w:val="21"/>
          <w:highlight w:val="none"/>
          <w:lang w:val="en-US" w:eastAsia="zh-CN"/>
        </w:rPr>
        <w:t>5</w:t>
      </w:r>
      <w:r>
        <w:rPr>
          <w:rFonts w:hint="eastAsia" w:ascii="宋体" w:hAnsi="宋体" w:eastAsia="宋体" w:cs="宋体"/>
          <w:b w:val="0"/>
          <w:i w:val="0"/>
          <w:caps w:val="0"/>
          <w:color w:val="auto"/>
          <w:spacing w:val="0"/>
          <w:sz w:val="21"/>
          <w:szCs w:val="21"/>
          <w:highlight w:val="none"/>
          <w:lang w:val="zh-CN" w:eastAsia="zh-CN"/>
        </w:rPr>
        <w:t>秒，保证强弱吸管道内无污物，防止有异味。</w:t>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治疗机侧箱水气系统与电路系统钢板双侧分离。</w:t>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侧箱采用双侧开门磁吸盖设计；侧箱可以</w:t>
      </w:r>
      <w:r>
        <w:rPr>
          <w:rFonts w:hint="eastAsia" w:ascii="宋体" w:hAnsi="宋体" w:eastAsia="宋体" w:cs="宋体"/>
          <w:b w:val="0"/>
          <w:i w:val="0"/>
          <w:caps w:val="0"/>
          <w:color w:val="auto"/>
          <w:spacing w:val="0"/>
          <w:sz w:val="21"/>
          <w:szCs w:val="21"/>
          <w:highlight w:val="none"/>
          <w:lang w:val="en-US" w:eastAsia="zh-CN"/>
        </w:rPr>
        <w:t>90</w:t>
      </w:r>
      <w:r>
        <w:rPr>
          <w:rFonts w:hint="default" w:ascii="宋体" w:hAnsi="宋体" w:eastAsia="宋体" w:cs="宋体"/>
          <w:b w:val="0"/>
          <w:i w:val="0"/>
          <w:caps w:val="0"/>
          <w:color w:val="auto"/>
          <w:spacing w:val="0"/>
          <w:sz w:val="21"/>
          <w:szCs w:val="21"/>
          <w:highlight w:val="none"/>
          <w:lang w:val="it-IT" w:eastAsia="zh-CN"/>
        </w:rPr>
        <w:t>°</w:t>
      </w:r>
      <w:r>
        <w:rPr>
          <w:rFonts w:hint="eastAsia" w:ascii="宋体" w:hAnsi="宋体" w:eastAsia="宋体" w:cs="宋体"/>
          <w:b w:val="0"/>
          <w:i w:val="0"/>
          <w:caps w:val="0"/>
          <w:color w:val="auto"/>
          <w:spacing w:val="0"/>
          <w:sz w:val="21"/>
          <w:szCs w:val="21"/>
          <w:highlight w:val="none"/>
          <w:lang w:val="zh-CN" w:eastAsia="zh-CN"/>
        </w:rPr>
        <w:t>旋转，方便四手</w:t>
      </w:r>
      <w:r>
        <w:rPr>
          <w:rFonts w:hint="eastAsia" w:ascii="宋体" w:hAnsi="宋体" w:eastAsia="宋体" w:cs="宋体"/>
          <w:b w:val="0"/>
          <w:i w:val="0"/>
          <w:caps w:val="0"/>
          <w:color w:val="auto"/>
          <w:spacing w:val="0"/>
          <w:sz w:val="21"/>
          <w:szCs w:val="21"/>
          <w:highlight w:val="none"/>
          <w:lang w:val="en-US" w:eastAsia="zh-CN"/>
        </w:rPr>
        <w:t>操作</w:t>
      </w:r>
      <w:r>
        <w:rPr>
          <w:rFonts w:hint="eastAsia" w:ascii="宋体" w:hAnsi="宋体" w:eastAsia="宋体" w:cs="宋体"/>
          <w:b w:val="0"/>
          <w:i w:val="0"/>
          <w:caps w:val="0"/>
          <w:color w:val="auto"/>
          <w:spacing w:val="0"/>
          <w:sz w:val="21"/>
          <w:szCs w:val="21"/>
          <w:highlight w:val="none"/>
          <w:lang w:val="zh-CN" w:eastAsia="zh-CN"/>
        </w:rPr>
        <w:t>。</w:t>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一体成型</w:t>
      </w:r>
      <w:r>
        <w:rPr>
          <w:rFonts w:hint="eastAsia" w:ascii="宋体" w:hAnsi="宋体" w:eastAsia="宋体" w:cs="宋体"/>
          <w:b w:val="0"/>
          <w:i w:val="0"/>
          <w:caps w:val="0"/>
          <w:color w:val="auto"/>
          <w:spacing w:val="0"/>
          <w:sz w:val="21"/>
          <w:szCs w:val="21"/>
          <w:highlight w:val="none"/>
          <w:lang w:val="en-US" w:eastAsia="zh-CN"/>
        </w:rPr>
        <w:t>陶瓷</w:t>
      </w:r>
      <w:r>
        <w:rPr>
          <w:rFonts w:hint="eastAsia" w:ascii="宋体" w:hAnsi="宋体" w:eastAsia="宋体" w:cs="宋体"/>
          <w:b w:val="0"/>
          <w:i w:val="0"/>
          <w:caps w:val="0"/>
          <w:color w:val="auto"/>
          <w:spacing w:val="0"/>
          <w:sz w:val="21"/>
          <w:szCs w:val="21"/>
          <w:highlight w:val="none"/>
          <w:lang w:val="zh-CN" w:eastAsia="zh-CN"/>
        </w:rPr>
        <w:t>痰盂，可向内旋转</w:t>
      </w:r>
      <w:r>
        <w:rPr>
          <w:rFonts w:hint="eastAsia" w:ascii="宋体" w:hAnsi="宋体" w:eastAsia="宋体" w:cs="宋体"/>
          <w:b w:val="0"/>
          <w:i w:val="0"/>
          <w:caps w:val="0"/>
          <w:color w:val="auto"/>
          <w:spacing w:val="0"/>
          <w:sz w:val="21"/>
          <w:szCs w:val="21"/>
          <w:highlight w:val="none"/>
          <w:lang w:val="en-US" w:eastAsia="zh-CN"/>
        </w:rPr>
        <w:t>90</w:t>
      </w:r>
      <w:r>
        <w:rPr>
          <w:rFonts w:hint="default" w:ascii="宋体" w:hAnsi="宋体" w:eastAsia="宋体" w:cs="宋体"/>
          <w:b w:val="0"/>
          <w:i w:val="0"/>
          <w:caps w:val="0"/>
          <w:color w:val="auto"/>
          <w:spacing w:val="0"/>
          <w:sz w:val="21"/>
          <w:szCs w:val="21"/>
          <w:highlight w:val="none"/>
          <w:lang w:val="it-IT" w:eastAsia="zh-CN"/>
        </w:rPr>
        <w:t>°</w:t>
      </w:r>
      <w:r>
        <w:rPr>
          <w:rFonts w:hint="eastAsia" w:ascii="宋体" w:hAnsi="宋体" w:eastAsia="宋体" w:cs="宋体"/>
          <w:b w:val="0"/>
          <w:i w:val="0"/>
          <w:caps w:val="0"/>
          <w:color w:val="auto"/>
          <w:spacing w:val="0"/>
          <w:sz w:val="21"/>
          <w:szCs w:val="21"/>
          <w:highlight w:val="none"/>
          <w:lang w:val="zh-CN" w:eastAsia="zh-CN"/>
        </w:rPr>
        <w:t>，无需工具，即可取下清洁和消毒。</w:t>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侧箱与牙椅连接臂可以实现</w:t>
      </w:r>
      <w:r>
        <w:rPr>
          <w:rFonts w:hint="eastAsia" w:ascii="宋体" w:hAnsi="宋体" w:eastAsia="宋体" w:cs="宋体"/>
          <w:b w:val="0"/>
          <w:i w:val="0"/>
          <w:caps w:val="0"/>
          <w:color w:val="auto"/>
          <w:spacing w:val="0"/>
          <w:sz w:val="21"/>
          <w:szCs w:val="21"/>
          <w:highlight w:val="none"/>
          <w:lang w:val="en-US" w:eastAsia="zh-CN"/>
        </w:rPr>
        <w:t>180</w:t>
      </w:r>
      <w:r>
        <w:rPr>
          <w:rFonts w:hint="default" w:ascii="宋体" w:hAnsi="宋体" w:eastAsia="宋体" w:cs="宋体"/>
          <w:b w:val="0"/>
          <w:i w:val="0"/>
          <w:caps w:val="0"/>
          <w:color w:val="auto"/>
          <w:spacing w:val="0"/>
          <w:sz w:val="21"/>
          <w:szCs w:val="21"/>
          <w:highlight w:val="none"/>
          <w:lang w:val="it-IT" w:eastAsia="zh-CN"/>
        </w:rPr>
        <w:t>°</w:t>
      </w:r>
      <w:r>
        <w:rPr>
          <w:rFonts w:hint="eastAsia" w:ascii="宋体" w:hAnsi="宋体" w:eastAsia="宋体" w:cs="宋体"/>
          <w:b w:val="0"/>
          <w:i w:val="0"/>
          <w:caps w:val="0"/>
          <w:color w:val="auto"/>
          <w:spacing w:val="0"/>
          <w:sz w:val="21"/>
          <w:szCs w:val="21"/>
          <w:highlight w:val="none"/>
          <w:lang w:val="zh-CN" w:eastAsia="zh-CN"/>
        </w:rPr>
        <w:t>旋转，方便侧箱转到牙椅的左、右侧以及前方，方便安装，进窄门不用拆侧箱。</w:t>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副控标配三用枪，并且三用枪可以实现恒温供水。</w:t>
      </w:r>
    </w:p>
    <w:p>
      <w:pPr>
        <w:numPr>
          <w:ilvl w:val="0"/>
          <w:numId w:val="24"/>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口腔灯</w:t>
      </w:r>
      <w:r>
        <w:rPr>
          <w:rFonts w:hint="eastAsia" w:ascii="宋体" w:hAnsi="宋体" w:eastAsia="宋体" w:cs="宋体"/>
          <w:b w:val="0"/>
          <w:i w:val="0"/>
          <w:caps w:val="0"/>
          <w:color w:val="auto"/>
          <w:spacing w:val="0"/>
          <w:sz w:val="21"/>
          <w:szCs w:val="21"/>
          <w:highlight w:val="none"/>
          <w:lang w:val="en-US" w:eastAsia="zh-CN"/>
        </w:rPr>
        <w:tab/>
      </w:r>
    </w:p>
    <w:p>
      <w:pPr>
        <w:numPr>
          <w:ilvl w:val="1"/>
          <w:numId w:val="24"/>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采用LED光源，具有白色、黄色和黄白混色三种光源可选择，可防止光固化树脂提前固化，可感应式控制防止交叉感染。</w:t>
      </w:r>
    </w:p>
    <w:p>
      <w:pPr>
        <w:numPr>
          <w:ilvl w:val="0"/>
          <w:numId w:val="24"/>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en-US" w:eastAsia="zh-CN"/>
        </w:rPr>
        <w:t>脚踏</w:t>
      </w:r>
      <w:r>
        <w:rPr>
          <w:rFonts w:hint="eastAsia" w:ascii="宋体" w:hAnsi="宋体" w:eastAsia="宋体" w:cs="宋体"/>
          <w:b w:val="0"/>
          <w:i w:val="0"/>
          <w:caps w:val="0"/>
          <w:color w:val="auto"/>
          <w:spacing w:val="0"/>
          <w:sz w:val="21"/>
          <w:szCs w:val="21"/>
          <w:highlight w:val="none"/>
          <w:lang w:val="en-US" w:eastAsia="zh-CN"/>
        </w:rPr>
        <w:tab/>
      </w:r>
    </w:p>
    <w:p>
      <w:pPr>
        <w:numPr>
          <w:ilvl w:val="1"/>
          <w:numId w:val="24"/>
        </w:numPr>
        <w:shd w:val="clear"/>
        <w:spacing w:line="360" w:lineRule="auto"/>
        <w:ind w:left="840" w:leftChars="0" w:hanging="420"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脚开关带手机冷却吹屑功能，手机在操作过程中无需换三用枪，具有吹气功能。</w:t>
      </w:r>
      <w:r>
        <w:rPr>
          <w:rFonts w:hint="eastAsia" w:ascii="宋体" w:hAnsi="宋体" w:eastAsia="宋体" w:cs="宋体"/>
          <w:b w:val="0"/>
          <w:i w:val="0"/>
          <w:caps w:val="0"/>
          <w:color w:val="auto"/>
          <w:spacing w:val="0"/>
          <w:sz w:val="21"/>
          <w:szCs w:val="21"/>
          <w:highlight w:val="none"/>
          <w:lang w:val="en-US" w:eastAsia="zh-CN"/>
        </w:rPr>
        <w:tab/>
      </w:r>
    </w:p>
    <w:p>
      <w:pPr>
        <w:numPr>
          <w:ilvl w:val="0"/>
          <w:numId w:val="24"/>
        </w:numPr>
        <w:shd w:val="clear"/>
        <w:spacing w:line="360" w:lineRule="auto"/>
        <w:ind w:left="425" w:leftChars="0" w:hanging="425" w:firstLineChars="0"/>
        <w:rPr>
          <w:rFonts w:hint="default"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b w:val="0"/>
          <w:i w:val="0"/>
          <w:caps w:val="0"/>
          <w:color w:val="auto"/>
          <w:spacing w:val="0"/>
          <w:sz w:val="21"/>
          <w:szCs w:val="21"/>
          <w:highlight w:val="none"/>
          <w:lang w:val="zh-CN" w:eastAsia="zh-CN"/>
        </w:rPr>
        <w:t>设备使用</w:t>
      </w:r>
      <w:r>
        <w:rPr>
          <w:rFonts w:hint="eastAsia" w:ascii="宋体" w:hAnsi="宋体" w:eastAsia="宋体" w:cs="宋体"/>
          <w:b w:val="0"/>
          <w:i w:val="0"/>
          <w:caps w:val="0"/>
          <w:color w:val="auto"/>
          <w:spacing w:val="0"/>
          <w:sz w:val="21"/>
          <w:szCs w:val="21"/>
          <w:highlight w:val="none"/>
          <w:lang w:val="en-US" w:eastAsia="zh-CN"/>
        </w:rPr>
        <w:t>年限</w:t>
      </w:r>
      <w:r>
        <w:rPr>
          <w:rFonts w:hint="eastAsia" w:ascii="宋体" w:hAnsi="宋体" w:eastAsia="宋体" w:cs="宋体"/>
          <w:b w:val="0"/>
          <w:i w:val="0"/>
          <w:caps w:val="0"/>
          <w:color w:val="auto"/>
          <w:spacing w:val="0"/>
          <w:sz w:val="21"/>
          <w:szCs w:val="21"/>
          <w:highlight w:val="none"/>
          <w:lang w:val="zh-CN" w:eastAsia="zh-CN"/>
        </w:rPr>
        <w:t>：</w:t>
      </w:r>
      <w:r>
        <w:rPr>
          <w:rFonts w:hint="default"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en-US" w:eastAsia="zh-CN"/>
        </w:rPr>
        <w:t>1</w:t>
      </w:r>
      <w:r>
        <w:rPr>
          <w:rFonts w:hint="default" w:ascii="宋体" w:hAnsi="宋体" w:eastAsia="宋体" w:cs="宋体"/>
          <w:b w:val="0"/>
          <w:i w:val="0"/>
          <w:caps w:val="0"/>
          <w:color w:val="auto"/>
          <w:spacing w:val="0"/>
          <w:sz w:val="21"/>
          <w:szCs w:val="21"/>
          <w:highlight w:val="none"/>
          <w:lang w:val="en-US" w:eastAsia="zh-CN"/>
        </w:rPr>
        <w:t>5</w:t>
      </w:r>
      <w:r>
        <w:rPr>
          <w:rFonts w:hint="eastAsia" w:ascii="宋体" w:hAnsi="宋体" w:eastAsia="宋体" w:cs="宋体"/>
          <w:b w:val="0"/>
          <w:i w:val="0"/>
          <w:caps w:val="0"/>
          <w:color w:val="auto"/>
          <w:spacing w:val="0"/>
          <w:sz w:val="21"/>
          <w:szCs w:val="21"/>
          <w:highlight w:val="none"/>
          <w:lang w:val="en-US" w:eastAsia="zh-CN"/>
        </w:rPr>
        <w:t>年</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牙科光固化机</w:t>
      </w:r>
    </w:p>
    <w:p>
      <w:pPr>
        <w:numPr>
          <w:ilvl w:val="0"/>
          <w:numId w:val="25"/>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至少</w:t>
      </w:r>
      <w:r>
        <w:rPr>
          <w:rFonts w:hint="eastAsia" w:ascii="宋体" w:hAnsi="宋体" w:eastAsia="宋体" w:cs="宋体"/>
          <w:b w:val="0"/>
          <w:i w:val="0"/>
          <w:caps w:val="0"/>
          <w:color w:val="auto"/>
          <w:spacing w:val="0"/>
          <w:sz w:val="21"/>
          <w:szCs w:val="21"/>
          <w:highlight w:val="none"/>
          <w:lang w:val="zh-CN" w:eastAsia="zh-CN"/>
        </w:rPr>
        <w:t xml:space="preserve">两种工作模式：标准模式，高光强模式。 </w:t>
      </w:r>
    </w:p>
    <w:p>
      <w:pPr>
        <w:numPr>
          <w:ilvl w:val="0"/>
          <w:numId w:val="25"/>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时间设定</w:t>
      </w:r>
      <w:r>
        <w:rPr>
          <w:rFonts w:hint="eastAsia" w:ascii="宋体" w:hAnsi="宋体" w:eastAsia="宋体" w:cs="宋体"/>
          <w:b w:val="0"/>
          <w:i w:val="0"/>
          <w:caps w:val="0"/>
          <w:color w:val="auto"/>
          <w:spacing w:val="0"/>
          <w:sz w:val="21"/>
          <w:szCs w:val="21"/>
          <w:highlight w:val="none"/>
          <w:lang w:val="en-US" w:eastAsia="zh-CN"/>
        </w:rPr>
        <w:t>至少包括</w:t>
      </w:r>
      <w:r>
        <w:rPr>
          <w:rFonts w:hint="eastAsia" w:ascii="宋体" w:hAnsi="宋体" w:eastAsia="宋体" w:cs="宋体"/>
          <w:b w:val="0"/>
          <w:i w:val="0"/>
          <w:caps w:val="0"/>
          <w:color w:val="auto"/>
          <w:spacing w:val="0"/>
          <w:sz w:val="21"/>
          <w:szCs w:val="21"/>
          <w:highlight w:val="none"/>
          <w:lang w:val="zh-CN" w:eastAsia="zh-CN"/>
        </w:rPr>
        <w:t xml:space="preserve">：1秒，3秒，5秒，10秒，15秒，20秒。 </w:t>
      </w:r>
    </w:p>
    <w:p>
      <w:pPr>
        <w:numPr>
          <w:ilvl w:val="0"/>
          <w:numId w:val="25"/>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 xml:space="preserve">恒定光功率输出，不因电池电量下降而影响固化效果。 </w:t>
      </w:r>
    </w:p>
    <w:p>
      <w:pPr>
        <w:numPr>
          <w:ilvl w:val="0"/>
          <w:numId w:val="25"/>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大容量电池，一次性充满电，光照10秒/次，可连续使用400次以上。</w:t>
      </w:r>
    </w:p>
    <w:p>
      <w:pPr>
        <w:numPr>
          <w:ilvl w:val="0"/>
          <w:numId w:val="25"/>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光照强度：1000-2500mW/cm²</w:t>
      </w:r>
    </w:p>
    <w:p>
      <w:pPr>
        <w:numPr>
          <w:ilvl w:val="0"/>
          <w:numId w:val="25"/>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前接头光学有效面积：</w:t>
      </w:r>
      <w:r>
        <w:rPr>
          <w:rFonts w:hint="eastAsia" w:ascii="宋体" w:hAnsi="宋体" w:eastAsia="宋体" w:cs="宋体"/>
          <w:b w:val="0"/>
          <w:i w:val="0"/>
          <w:caps w:val="0"/>
          <w:color w:val="auto"/>
          <w:spacing w:val="0"/>
          <w:sz w:val="21"/>
          <w:szCs w:val="21"/>
          <w:highlight w:val="none"/>
          <w:lang w:val="en-US" w:eastAsia="zh-CN"/>
        </w:rPr>
        <w:t>≥</w:t>
      </w:r>
      <w:r>
        <w:rPr>
          <w:rFonts w:hint="eastAsia" w:ascii="宋体" w:hAnsi="宋体" w:eastAsia="宋体" w:cs="宋体"/>
          <w:b w:val="0"/>
          <w:i w:val="0"/>
          <w:caps w:val="0"/>
          <w:color w:val="auto"/>
          <w:spacing w:val="0"/>
          <w:sz w:val="21"/>
          <w:szCs w:val="21"/>
          <w:highlight w:val="none"/>
          <w:lang w:val="zh-CN" w:eastAsia="zh-CN"/>
        </w:rPr>
        <w:t>78mm²</w:t>
      </w:r>
    </w:p>
    <w:p>
      <w:pPr>
        <w:numPr>
          <w:ilvl w:val="0"/>
          <w:numId w:val="25"/>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波长：385nm-515nm</w:t>
      </w:r>
    </w:p>
    <w:p>
      <w:pPr>
        <w:numPr>
          <w:ilvl w:val="0"/>
          <w:numId w:val="25"/>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工作模式：高光强、低光强</w:t>
      </w:r>
    </w:p>
    <w:p>
      <w:pPr>
        <w:numPr>
          <w:ilvl w:val="0"/>
          <w:numId w:val="25"/>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配置清单：</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光固化机1</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遮光片1</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高度块1</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电源适配器1</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充电座1</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一次性隔离套50</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使用说明书1</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合格证1</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保修卡1</w:t>
      </w:r>
    </w:p>
    <w:p>
      <w:pPr>
        <w:numPr>
          <w:ilvl w:val="1"/>
          <w:numId w:val="25"/>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装箱单1</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牙科影像板扫描仪</w:t>
      </w:r>
    </w:p>
    <w:p>
      <w:pPr>
        <w:numPr>
          <w:ilvl w:val="0"/>
          <w:numId w:val="26"/>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影像板材质：软片</w:t>
      </w:r>
    </w:p>
    <w:p>
      <w:pPr>
        <w:numPr>
          <w:ilvl w:val="0"/>
          <w:numId w:val="26"/>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成像面积：≤40x22mm（标配2号片）</w:t>
      </w:r>
    </w:p>
    <w:p>
      <w:pPr>
        <w:numPr>
          <w:ilvl w:val="0"/>
          <w:numId w:val="26"/>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分辨率：Optimal模式≥10P/mm</w:t>
      </w:r>
    </w:p>
    <w:p>
      <w:pPr>
        <w:numPr>
          <w:ilvl w:val="0"/>
          <w:numId w:val="26"/>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位深：不低于12bits/pixel</w:t>
      </w:r>
    </w:p>
    <w:p>
      <w:pPr>
        <w:numPr>
          <w:ilvl w:val="0"/>
          <w:numId w:val="26"/>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▲灰阶：≥16bit</w:t>
      </w:r>
    </w:p>
    <w:p>
      <w:pPr>
        <w:numPr>
          <w:ilvl w:val="0"/>
          <w:numId w:val="26"/>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▲每张影像板使用寿命：≥2500次</w:t>
      </w:r>
    </w:p>
    <w:p>
      <w:pPr>
        <w:numPr>
          <w:ilvl w:val="0"/>
          <w:numId w:val="26"/>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扫描仪▲理论分辨率：≥25LP/mm</w:t>
      </w:r>
    </w:p>
    <w:p>
      <w:pPr>
        <w:numPr>
          <w:ilvl w:val="0"/>
          <w:numId w:val="26"/>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使用年限：8年</w:t>
      </w:r>
    </w:p>
    <w:p>
      <w:pPr>
        <w:numPr>
          <w:ilvl w:val="0"/>
          <w:numId w:val="26"/>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配置清单</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影像板扫描仪1台</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影像板2张</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电源适配器1个</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网线1根</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2号胶片保护套装</w:t>
      </w:r>
      <w:r>
        <w:rPr>
          <w:rFonts w:hint="eastAsia" w:ascii="宋体" w:hAnsi="宋体" w:eastAsia="宋体" w:cs="宋体"/>
          <w:b w:val="0"/>
          <w:i w:val="0"/>
          <w:caps w:val="0"/>
          <w:color w:val="auto"/>
          <w:spacing w:val="0"/>
          <w:sz w:val="21"/>
          <w:szCs w:val="21"/>
          <w:highlight w:val="none"/>
          <w:lang w:val="zh-CN" w:eastAsia="zh-CN"/>
        </w:rPr>
        <w:tab/>
      </w:r>
      <w:r>
        <w:rPr>
          <w:rFonts w:hint="eastAsia" w:ascii="宋体" w:hAnsi="宋体" w:eastAsia="宋体" w:cs="宋体"/>
          <w:b w:val="0"/>
          <w:i w:val="0"/>
          <w:caps w:val="0"/>
          <w:color w:val="auto"/>
          <w:spacing w:val="0"/>
          <w:sz w:val="21"/>
          <w:szCs w:val="21"/>
          <w:highlight w:val="none"/>
          <w:lang w:val="zh-CN" w:eastAsia="zh-CN"/>
        </w:rPr>
        <w:t>1盒</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0号进片卡槽</w:t>
      </w:r>
      <w:r>
        <w:rPr>
          <w:rFonts w:hint="eastAsia" w:ascii="宋体" w:hAnsi="宋体" w:eastAsia="宋体" w:cs="宋体"/>
          <w:b w:val="0"/>
          <w:i w:val="0"/>
          <w:caps w:val="0"/>
          <w:color w:val="auto"/>
          <w:spacing w:val="0"/>
          <w:sz w:val="21"/>
          <w:szCs w:val="21"/>
          <w:highlight w:val="none"/>
          <w:lang w:val="zh-CN" w:eastAsia="zh-CN"/>
        </w:rPr>
        <w:tab/>
      </w:r>
      <w:r>
        <w:rPr>
          <w:rFonts w:hint="eastAsia" w:ascii="宋体" w:hAnsi="宋体" w:eastAsia="宋体" w:cs="宋体"/>
          <w:b w:val="0"/>
          <w:i w:val="0"/>
          <w:caps w:val="0"/>
          <w:color w:val="auto"/>
          <w:spacing w:val="0"/>
          <w:sz w:val="21"/>
          <w:szCs w:val="21"/>
          <w:highlight w:val="none"/>
          <w:lang w:val="zh-CN" w:eastAsia="zh-CN"/>
        </w:rPr>
        <w:t>1个</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2号进片卡槽</w:t>
      </w:r>
      <w:r>
        <w:rPr>
          <w:rFonts w:hint="eastAsia" w:ascii="宋体" w:hAnsi="宋体" w:eastAsia="宋体" w:cs="宋体"/>
          <w:b w:val="0"/>
          <w:i w:val="0"/>
          <w:caps w:val="0"/>
          <w:color w:val="auto"/>
          <w:spacing w:val="0"/>
          <w:sz w:val="21"/>
          <w:szCs w:val="21"/>
          <w:highlight w:val="none"/>
          <w:lang w:val="zh-CN" w:eastAsia="zh-CN"/>
        </w:rPr>
        <w:tab/>
      </w:r>
      <w:r>
        <w:rPr>
          <w:rFonts w:hint="eastAsia" w:ascii="宋体" w:hAnsi="宋体" w:eastAsia="宋体" w:cs="宋体"/>
          <w:b w:val="0"/>
          <w:i w:val="0"/>
          <w:caps w:val="0"/>
          <w:color w:val="auto"/>
          <w:spacing w:val="0"/>
          <w:sz w:val="21"/>
          <w:szCs w:val="21"/>
          <w:highlight w:val="none"/>
          <w:lang w:val="zh-CN" w:eastAsia="zh-CN"/>
        </w:rPr>
        <w:t>1个</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软件U盘或光盘</w:t>
      </w:r>
      <w:r>
        <w:rPr>
          <w:rFonts w:hint="eastAsia" w:ascii="宋体" w:hAnsi="宋体" w:eastAsia="宋体" w:cs="宋体"/>
          <w:b w:val="0"/>
          <w:i w:val="0"/>
          <w:caps w:val="0"/>
          <w:color w:val="auto"/>
          <w:spacing w:val="0"/>
          <w:sz w:val="21"/>
          <w:szCs w:val="21"/>
          <w:highlight w:val="none"/>
          <w:lang w:val="zh-CN" w:eastAsia="zh-CN"/>
        </w:rPr>
        <w:tab/>
      </w:r>
      <w:r>
        <w:rPr>
          <w:rFonts w:hint="eastAsia" w:ascii="宋体" w:hAnsi="宋体" w:eastAsia="宋体" w:cs="宋体"/>
          <w:b w:val="0"/>
          <w:i w:val="0"/>
          <w:caps w:val="0"/>
          <w:color w:val="auto"/>
          <w:spacing w:val="0"/>
          <w:sz w:val="21"/>
          <w:szCs w:val="21"/>
          <w:highlight w:val="none"/>
          <w:lang w:val="zh-CN" w:eastAsia="zh-CN"/>
        </w:rPr>
        <w:t>1个</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说明书（纸质电子版或）</w:t>
      </w:r>
      <w:r>
        <w:rPr>
          <w:rFonts w:hint="eastAsia" w:ascii="宋体" w:hAnsi="宋体" w:eastAsia="宋体" w:cs="宋体"/>
          <w:b w:val="0"/>
          <w:i w:val="0"/>
          <w:caps w:val="0"/>
          <w:color w:val="auto"/>
          <w:spacing w:val="0"/>
          <w:sz w:val="21"/>
          <w:szCs w:val="21"/>
          <w:highlight w:val="none"/>
          <w:lang w:val="zh-CN" w:eastAsia="zh-CN"/>
        </w:rPr>
        <w:tab/>
      </w:r>
      <w:r>
        <w:rPr>
          <w:rFonts w:hint="eastAsia" w:ascii="宋体" w:hAnsi="宋体" w:eastAsia="宋体" w:cs="宋体"/>
          <w:b w:val="0"/>
          <w:i w:val="0"/>
          <w:caps w:val="0"/>
          <w:color w:val="auto"/>
          <w:spacing w:val="0"/>
          <w:sz w:val="21"/>
          <w:szCs w:val="21"/>
          <w:highlight w:val="none"/>
          <w:lang w:val="zh-CN" w:eastAsia="zh-CN"/>
        </w:rPr>
        <w:t>1份</w:t>
      </w:r>
    </w:p>
    <w:p>
      <w:pPr>
        <w:numPr>
          <w:ilvl w:val="1"/>
          <w:numId w:val="27"/>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合格证</w:t>
      </w:r>
      <w:r>
        <w:rPr>
          <w:rFonts w:hint="eastAsia" w:ascii="宋体" w:hAnsi="宋体" w:eastAsia="宋体" w:cs="宋体"/>
          <w:b w:val="0"/>
          <w:i w:val="0"/>
          <w:caps w:val="0"/>
          <w:color w:val="auto"/>
          <w:spacing w:val="0"/>
          <w:sz w:val="21"/>
          <w:szCs w:val="21"/>
          <w:highlight w:val="none"/>
          <w:lang w:val="zh-CN" w:eastAsia="zh-CN"/>
        </w:rPr>
        <w:tab/>
      </w:r>
      <w:r>
        <w:rPr>
          <w:rFonts w:hint="eastAsia" w:ascii="宋体" w:hAnsi="宋体" w:eastAsia="宋体" w:cs="宋体"/>
          <w:b w:val="0"/>
          <w:i w:val="0"/>
          <w:caps w:val="0"/>
          <w:color w:val="auto"/>
          <w:spacing w:val="0"/>
          <w:sz w:val="21"/>
          <w:szCs w:val="21"/>
          <w:highlight w:val="none"/>
          <w:lang w:val="zh-CN" w:eastAsia="zh-CN"/>
        </w:rPr>
        <w:t>1张</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牙科电动无油空压机</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功率: ≥1200W</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▲排气量：≥100L/min</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噪音：≤60dB</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 xml:space="preserve">最高压力 ：≥0.8 Mpa </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 xml:space="preserve">储气罐容量：≥50 L </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转速：≥1400r/min</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▲机头数：双机头</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可带牙椅：3-4台</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▲干燥器:可选配</w:t>
      </w:r>
    </w:p>
    <w:p>
      <w:pPr>
        <w:numPr>
          <w:ilvl w:val="0"/>
          <w:numId w:val="28"/>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▲机头材质：全包裹铝合金材质，散热好。</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便携式牙科X射线机</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管电压：70kv±10％</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管电流：2mA±20％</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射线焦点：0.4mm</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电源电阻：2Ω</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靶角：12.5°</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半价层：70kv时≥1.6mmAl</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加载时间调节范围：0.04s~2.0s</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漏辐射率：1米处≤0.25mGy/h</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最大输出电功率加载因素组合：70kv,2mA,2s</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使用年限</w:t>
      </w:r>
      <w:r>
        <w:rPr>
          <w:rFonts w:hint="eastAsia" w:ascii="宋体" w:hAnsi="宋体" w:eastAsia="宋体" w:cs="宋体"/>
          <w:b w:val="0"/>
          <w:i w:val="0"/>
          <w:caps w:val="0"/>
          <w:color w:val="auto"/>
          <w:spacing w:val="0"/>
          <w:sz w:val="21"/>
          <w:szCs w:val="21"/>
          <w:highlight w:val="none"/>
          <w:lang w:val="en-US" w:eastAsia="zh-CN"/>
        </w:rPr>
        <w:t>≥8</w:t>
      </w:r>
      <w:r>
        <w:rPr>
          <w:rFonts w:hint="eastAsia" w:ascii="宋体" w:hAnsi="宋体" w:eastAsia="宋体" w:cs="宋体"/>
          <w:b w:val="0"/>
          <w:i w:val="0"/>
          <w:caps w:val="0"/>
          <w:color w:val="auto"/>
          <w:spacing w:val="0"/>
          <w:sz w:val="21"/>
          <w:szCs w:val="21"/>
          <w:highlight w:val="none"/>
          <w:lang w:val="zh-CN" w:eastAsia="zh-CN"/>
        </w:rPr>
        <w:t>年</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采用高频X射线机技术</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可选配移动支架升级成移动立式高频X光机</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具有童锁功能，防止误操作</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可实时查看拍片次数和总辐射剂量</w:t>
      </w:r>
    </w:p>
    <w:p>
      <w:pPr>
        <w:numPr>
          <w:ilvl w:val="0"/>
          <w:numId w:val="29"/>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en-US" w:eastAsia="zh-CN"/>
        </w:rPr>
        <w:t>配置：</w:t>
      </w:r>
    </w:p>
    <w:p>
      <w:pPr>
        <w:numPr>
          <w:ilvl w:val="1"/>
          <w:numId w:val="29"/>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主机1台</w:t>
      </w:r>
    </w:p>
    <w:p>
      <w:pPr>
        <w:numPr>
          <w:ilvl w:val="1"/>
          <w:numId w:val="29"/>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电源线1 根</w:t>
      </w:r>
    </w:p>
    <w:p>
      <w:pPr>
        <w:numPr>
          <w:ilvl w:val="1"/>
          <w:numId w:val="29"/>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适配器1个</w:t>
      </w:r>
    </w:p>
    <w:p>
      <w:pPr>
        <w:numPr>
          <w:ilvl w:val="1"/>
          <w:numId w:val="29"/>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电池</w:t>
      </w:r>
      <w:r>
        <w:rPr>
          <w:rFonts w:hint="eastAsia" w:ascii="宋体" w:hAnsi="宋体" w:eastAsia="宋体" w:cs="宋体"/>
          <w:b w:val="0"/>
          <w:i w:val="0"/>
          <w:caps w:val="0"/>
          <w:color w:val="auto"/>
          <w:spacing w:val="0"/>
          <w:sz w:val="21"/>
          <w:szCs w:val="21"/>
          <w:highlight w:val="none"/>
          <w:lang w:val="en-US" w:eastAsia="zh-CN"/>
        </w:rPr>
        <w:t>1</w:t>
      </w:r>
      <w:r>
        <w:rPr>
          <w:rFonts w:hint="eastAsia" w:ascii="宋体" w:hAnsi="宋体" w:eastAsia="宋体" w:cs="宋体"/>
          <w:b w:val="0"/>
          <w:i w:val="0"/>
          <w:caps w:val="0"/>
          <w:color w:val="auto"/>
          <w:spacing w:val="0"/>
          <w:sz w:val="21"/>
          <w:szCs w:val="21"/>
          <w:highlight w:val="none"/>
          <w:lang w:val="zh-CN" w:eastAsia="zh-CN"/>
        </w:rPr>
        <w:t>个</w:t>
      </w:r>
    </w:p>
    <w:p>
      <w:pPr>
        <w:numPr>
          <w:ilvl w:val="1"/>
          <w:numId w:val="29"/>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限速器1个</w:t>
      </w:r>
    </w:p>
    <w:p>
      <w:pPr>
        <w:numPr>
          <w:ilvl w:val="1"/>
          <w:numId w:val="29"/>
        </w:numPr>
        <w:shd w:val="clear"/>
        <w:spacing w:line="360" w:lineRule="auto"/>
        <w:ind w:left="840" w:leftChars="0" w:hanging="420"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支架1套</w:t>
      </w:r>
    </w:p>
    <w:p>
      <w:pPr>
        <w:numPr>
          <w:ilvl w:val="0"/>
          <w:numId w:val="4"/>
        </w:numPr>
        <w:shd w:val="clear"/>
        <w:spacing w:line="360" w:lineRule="auto"/>
        <w:ind w:left="1200" w:leftChars="0" w:hanging="72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牙科蒸馏水机</w:t>
      </w:r>
    </w:p>
    <w:p>
      <w:pPr>
        <w:numPr>
          <w:ilvl w:val="0"/>
          <w:numId w:val="3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用途：产生蒸馏水。</w:t>
      </w:r>
    </w:p>
    <w:p>
      <w:pPr>
        <w:numPr>
          <w:ilvl w:val="0"/>
          <w:numId w:val="3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制 水 量：1L/h</w:t>
      </w:r>
    </w:p>
    <w:p>
      <w:pPr>
        <w:numPr>
          <w:ilvl w:val="0"/>
          <w:numId w:val="30"/>
        </w:numPr>
        <w:shd w:val="clear"/>
        <w:spacing w:line="360" w:lineRule="auto"/>
        <w:ind w:left="425" w:leftChars="0" w:hanging="425" w:firstLineChars="0"/>
        <w:rPr>
          <w:rFonts w:hint="eastAsia" w:ascii="宋体" w:hAnsi="宋体" w:eastAsia="宋体" w:cs="宋体"/>
          <w:b w:val="0"/>
          <w:i w:val="0"/>
          <w:caps w:val="0"/>
          <w:color w:val="auto"/>
          <w:spacing w:val="0"/>
          <w:sz w:val="21"/>
          <w:szCs w:val="21"/>
          <w:highlight w:val="none"/>
          <w:lang w:val="zh-CN" w:eastAsia="zh-CN"/>
        </w:rPr>
      </w:pPr>
      <w:r>
        <w:rPr>
          <w:rFonts w:hint="eastAsia" w:ascii="宋体" w:hAnsi="宋体" w:eastAsia="宋体" w:cs="宋体"/>
          <w:b w:val="0"/>
          <w:i w:val="0"/>
          <w:caps w:val="0"/>
          <w:color w:val="auto"/>
          <w:spacing w:val="0"/>
          <w:sz w:val="21"/>
          <w:szCs w:val="21"/>
          <w:highlight w:val="none"/>
          <w:lang w:val="zh-CN" w:eastAsia="zh-CN"/>
        </w:rPr>
        <w:t>容    积：4L</w:t>
      </w:r>
    </w:p>
    <w:p>
      <w:pPr>
        <w:shd w:val="clear"/>
        <w:adjustRightInd w:val="0"/>
        <w:snapToGrid w:val="0"/>
        <w:spacing w:line="5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三、其他要求</w:t>
      </w:r>
    </w:p>
    <w:p>
      <w:pPr>
        <w:pStyle w:val="50"/>
        <w:numPr>
          <w:ilvl w:val="0"/>
          <w:numId w:val="31"/>
        </w:numPr>
        <w:shd w:val="clear"/>
        <w:spacing w:line="360" w:lineRule="auto"/>
        <w:ind w:right="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投标报价应包含但不限于以下全部费用，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再向采购人收取任何费用。主要包含（产品价款、备品备件价、易损件价、专用工具价、相关配件、附件、及零配件价）及其它的所有费用，包含物料购置费、制作费、检验费、保险费用、检测费、检定费、仓储费、运输费、装卸费、商检费用、银行费用、税费、一切技术和售后服务费（含相关技术指导与培训费）及安装过程中所需配件及设施改造产生的所有不可预见费等一切支出等所有不可预见的隐含费用（以上费用如涉及到多次需求，所有费用都包含在内），此项必须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在报价一览表中注明，如涉及软件许可使用或技术指导、人员培训，还应包括软件许可费以及一切技术服务费、人员培训费。</w:t>
      </w:r>
    </w:p>
    <w:p>
      <w:pPr>
        <w:pStyle w:val="50"/>
        <w:numPr>
          <w:ilvl w:val="0"/>
          <w:numId w:val="31"/>
        </w:numPr>
        <w:shd w:val="clear"/>
        <w:spacing w:line="360" w:lineRule="auto"/>
        <w:ind w:right="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r>
        <w:rPr>
          <w:rFonts w:hint="eastAsia" w:ascii="宋体" w:hAnsi="宋体" w:eastAsia="宋体" w:cs="宋体"/>
          <w:color w:val="auto"/>
          <w:kern w:val="0"/>
          <w:sz w:val="21"/>
          <w:szCs w:val="21"/>
          <w:highlight w:val="none"/>
        </w:rPr>
        <w:t>招标文件第五章对质保期有说明从其要求，其他未做特别说明的质保期要求不低于一年。中标供应商优于招标文件要求质保期的从其承诺。</w:t>
      </w:r>
    </w:p>
    <w:p>
      <w:pPr>
        <w:pStyle w:val="50"/>
        <w:numPr>
          <w:ilvl w:val="0"/>
          <w:numId w:val="31"/>
        </w:numPr>
        <w:shd w:val="clear"/>
        <w:spacing w:line="360" w:lineRule="auto"/>
        <w:ind w:right="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售后服务要求：定期巡检，2小时响应，24小时到场，本地驻有售后服务工程师。</w:t>
      </w:r>
    </w:p>
    <w:p>
      <w:pPr>
        <w:pStyle w:val="50"/>
        <w:numPr>
          <w:ilvl w:val="0"/>
          <w:numId w:val="31"/>
        </w:numPr>
        <w:shd w:val="clear"/>
        <w:spacing w:line="360" w:lineRule="auto"/>
        <w:ind w:right="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培训要求：要求培训至科室熟练使用。</w:t>
      </w:r>
    </w:p>
    <w:p>
      <w:pPr>
        <w:pStyle w:val="50"/>
        <w:shd w:val="clear"/>
        <w:spacing w:before="120" w:line="360" w:lineRule="auto"/>
        <w:ind w:right="237"/>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四、技术服务及质量保证</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1、供货方提供必需的技术资料给客户，对设备使用人员进行现场使用培训，培训不少于两次。</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2、■提供中文操作手册</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3、在保质期以后，卖方应提供备件和维修服务</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4、投标文件中</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应详细应答相关参数，提供所投产品主要技术指标、参数及性能的详细说明证明材料（包括但不限于测试报告，或制造商说明，或产品产业、或官网截图等）</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5、投标文件对投标的设备产品进行性能、产品优点、特性等描述，以正式设备的可靠性和稳定性。</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6、投标文件提供质量保证及承诺</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7、投标文件提供售后服务能力（包括解决问题的能力、紧急故障处理预案、备品备件方案）、售后服务方案、承诺及保证措施</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8、投标文件提供供货组织方案、人员培训方案</w:t>
      </w:r>
    </w:p>
    <w:p>
      <w:pPr>
        <w:shd w:val="clear"/>
        <w:spacing w:line="360" w:lineRule="auto"/>
        <w:rPr>
          <w:rFonts w:hint="eastAsia" w:ascii="宋体" w:hAnsi="宋体" w:eastAsia="宋体" w:cs="宋体"/>
          <w:color w:val="auto"/>
          <w:sz w:val="21"/>
          <w:szCs w:val="21"/>
          <w:highlight w:val="none"/>
        </w:rPr>
      </w:pPr>
    </w:p>
    <w:p>
      <w:pPr>
        <w:shd w:val="clear"/>
        <w:spacing w:line="360" w:lineRule="auto"/>
        <w:rPr>
          <w:rFonts w:ascii="宋体" w:hAnsi="宋体" w:eastAsia="宋体" w:cs="宋体"/>
          <w:color w:val="auto"/>
          <w:szCs w:val="21"/>
          <w:highlight w:val="none"/>
        </w:rPr>
      </w:pPr>
    </w:p>
    <w:p>
      <w:pPr>
        <w:shd w:val="clear"/>
        <w:spacing w:line="360" w:lineRule="auto"/>
        <w:rPr>
          <w:rFonts w:ascii="宋体" w:hAnsi="宋体" w:eastAsia="宋体" w:cs="宋体"/>
          <w:color w:val="auto"/>
          <w:szCs w:val="21"/>
          <w:highlight w:val="none"/>
        </w:rPr>
      </w:pPr>
    </w:p>
    <w:p>
      <w:pPr>
        <w:shd w:val="clear"/>
        <w:spacing w:line="360" w:lineRule="auto"/>
        <w:rPr>
          <w:rFonts w:ascii="宋体" w:hAnsi="宋体" w:eastAsia="宋体" w:cs="宋体"/>
          <w:color w:val="auto"/>
          <w:szCs w:val="21"/>
          <w:highlight w:val="none"/>
        </w:rPr>
      </w:pPr>
    </w:p>
    <w:p>
      <w:pPr>
        <w:shd w:val="clear"/>
        <w:spacing w:line="360" w:lineRule="auto"/>
        <w:rPr>
          <w:rFonts w:ascii="宋体" w:hAnsi="宋体" w:eastAsia="宋体" w:cs="宋体"/>
          <w:color w:val="auto"/>
          <w:szCs w:val="21"/>
          <w:highlight w:val="none"/>
        </w:rPr>
      </w:pPr>
    </w:p>
    <w:p>
      <w:pPr>
        <w:shd w:val="clear"/>
        <w:spacing w:line="360" w:lineRule="auto"/>
        <w:rPr>
          <w:rFonts w:ascii="宋体" w:hAnsi="宋体" w:eastAsia="宋体" w:cs="宋体"/>
          <w:color w:val="auto"/>
          <w:szCs w:val="21"/>
          <w:highlight w:val="none"/>
        </w:rPr>
      </w:pPr>
    </w:p>
    <w:p>
      <w:pPr>
        <w:pStyle w:val="2"/>
        <w:shd w:val="clear"/>
        <w:spacing w:before="312" w:after="312"/>
        <w:rPr>
          <w:color w:val="auto"/>
          <w:highlight w:val="none"/>
        </w:rPr>
      </w:pPr>
      <w:r>
        <w:rPr>
          <w:rFonts w:hint="eastAsia"/>
          <w:color w:val="auto"/>
          <w:highlight w:val="none"/>
        </w:rPr>
        <w:t>第六章  响应文件格式</w:t>
      </w:r>
      <w:bookmarkEnd w:id="76"/>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w:t>
      </w:r>
    </w:p>
    <w:p>
      <w:pPr>
        <w:shd w:val="clear"/>
        <w:spacing w:line="360" w:lineRule="auto"/>
        <w:ind w:firstLine="480" w:firstLineChars="200"/>
        <w:rPr>
          <w:rFonts w:ascii="Times New Roman" w:hAnsi="Times New Roman" w:eastAsia="宋体"/>
          <w:color w:val="auto"/>
          <w:sz w:val="28"/>
          <w:szCs w:val="28"/>
          <w:highlight w:val="none"/>
          <w:u w:val="single"/>
        </w:rPr>
      </w:pPr>
      <w:r>
        <w:rPr>
          <w:rFonts w:hint="eastAsia" w:ascii="Times New Roman" w:hAnsi="Times New Roman" w:eastAsia="宋体"/>
          <w:color w:val="auto"/>
          <w:sz w:val="24"/>
          <w:highlight w:val="none"/>
        </w:rPr>
        <w:t xml:space="preserve"> </w:t>
      </w:r>
      <w:r>
        <w:rPr>
          <w:rFonts w:hint="eastAsia" w:ascii="Times New Roman" w:hAnsi="Times New Roman" w:eastAsia="宋体"/>
          <w:color w:val="auto"/>
          <w:sz w:val="24"/>
          <w:highlight w:val="none"/>
          <w:u w:val="single"/>
        </w:rPr>
        <w:t xml:space="preserve">                                 </w:t>
      </w:r>
      <w:r>
        <w:rPr>
          <w:rFonts w:hint="eastAsia" w:ascii="Times New Roman" w:hAnsi="Times New Roman" w:eastAsia="宋体"/>
          <w:color w:val="auto"/>
          <w:sz w:val="28"/>
          <w:szCs w:val="28"/>
          <w:highlight w:val="none"/>
          <w:u w:val="single"/>
        </w:rPr>
        <w:t xml:space="preserve"> （项目名称）  </w:t>
      </w: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883" w:firstLineChars="200"/>
        <w:jc w:val="center"/>
        <w:rPr>
          <w:rFonts w:ascii="Times New Roman" w:hAnsi="Times New Roman" w:eastAsia="宋体"/>
          <w:b/>
          <w:color w:val="auto"/>
          <w:sz w:val="44"/>
          <w:szCs w:val="44"/>
          <w:highlight w:val="none"/>
        </w:rPr>
      </w:pPr>
      <w:r>
        <w:rPr>
          <w:rFonts w:hint="eastAsia" w:ascii="Times New Roman" w:hAnsi="Times New Roman" w:eastAsia="宋体"/>
          <w:b/>
          <w:color w:val="auto"/>
          <w:sz w:val="44"/>
          <w:szCs w:val="44"/>
          <w:highlight w:val="none"/>
        </w:rPr>
        <w:t>响 应 文 件</w:t>
      </w: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1120" w:firstLineChars="400"/>
        <w:rPr>
          <w:rFonts w:ascii="Times New Roman" w:hAnsi="Times New Roman" w:eastAsia="宋体"/>
          <w:color w:val="auto"/>
          <w:sz w:val="28"/>
          <w:szCs w:val="28"/>
          <w:highlight w:val="none"/>
          <w:u w:val="single"/>
        </w:rPr>
      </w:pPr>
      <w:r>
        <w:rPr>
          <w:rFonts w:hint="eastAsia" w:ascii="Times New Roman" w:hAnsi="Times New Roman" w:eastAsia="宋体"/>
          <w:color w:val="auto"/>
          <w:sz w:val="28"/>
          <w:szCs w:val="28"/>
          <w:highlight w:val="none"/>
        </w:rPr>
        <w:t>供应商：</w:t>
      </w:r>
      <w:r>
        <w:rPr>
          <w:rFonts w:hint="eastAsia" w:ascii="Times New Roman" w:hAnsi="Times New Roman" w:eastAsia="宋体"/>
          <w:color w:val="auto"/>
          <w:sz w:val="28"/>
          <w:szCs w:val="28"/>
          <w:highlight w:val="none"/>
          <w:u w:val="single"/>
        </w:rPr>
        <w:t xml:space="preserve">                                          </w:t>
      </w:r>
    </w:p>
    <w:p>
      <w:pPr>
        <w:shd w:val="clear"/>
        <w:spacing w:line="360" w:lineRule="auto"/>
        <w:ind w:firstLine="3080" w:firstLineChars="1100"/>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u w:val="single"/>
        </w:rPr>
        <w:t xml:space="preserve">      </w:t>
      </w:r>
      <w:r>
        <w:rPr>
          <w:rFonts w:hint="eastAsia" w:ascii="Times New Roman" w:hAnsi="Times New Roman" w:eastAsia="宋体"/>
          <w:color w:val="auto"/>
          <w:sz w:val="28"/>
          <w:szCs w:val="28"/>
          <w:highlight w:val="none"/>
        </w:rPr>
        <w:t>年</w:t>
      </w:r>
      <w:r>
        <w:rPr>
          <w:rFonts w:hint="eastAsia" w:ascii="Times New Roman" w:hAnsi="Times New Roman" w:eastAsia="宋体"/>
          <w:color w:val="auto"/>
          <w:sz w:val="28"/>
          <w:szCs w:val="28"/>
          <w:highlight w:val="none"/>
          <w:u w:val="single"/>
        </w:rPr>
        <w:t xml:space="preserve">       </w:t>
      </w:r>
      <w:r>
        <w:rPr>
          <w:rFonts w:hint="eastAsia" w:ascii="Times New Roman" w:hAnsi="Times New Roman" w:eastAsia="宋体"/>
          <w:color w:val="auto"/>
          <w:sz w:val="28"/>
          <w:szCs w:val="28"/>
          <w:highlight w:val="none"/>
        </w:rPr>
        <w:t>月</w:t>
      </w:r>
      <w:r>
        <w:rPr>
          <w:rFonts w:hint="eastAsia" w:ascii="Times New Roman" w:hAnsi="Times New Roman" w:eastAsia="宋体"/>
          <w:color w:val="auto"/>
          <w:sz w:val="28"/>
          <w:szCs w:val="28"/>
          <w:highlight w:val="none"/>
          <w:u w:val="single"/>
        </w:rPr>
        <w:t xml:space="preserve">       </w:t>
      </w:r>
      <w:r>
        <w:rPr>
          <w:rFonts w:hint="eastAsia" w:ascii="Times New Roman" w:hAnsi="Times New Roman" w:eastAsia="宋体"/>
          <w:color w:val="auto"/>
          <w:sz w:val="28"/>
          <w:szCs w:val="28"/>
          <w:highlight w:val="none"/>
        </w:rPr>
        <w:t>日</w:t>
      </w:r>
    </w:p>
    <w:p>
      <w:pPr>
        <w:shd w:val="clear"/>
        <w:spacing w:line="360" w:lineRule="auto"/>
        <w:ind w:firstLine="480" w:firstLineChars="200"/>
        <w:rPr>
          <w:rFonts w:ascii="Times New Roman" w:hAnsi="Times New Roman" w:eastAsia="宋体"/>
          <w:color w:val="auto"/>
          <w:sz w:val="24"/>
          <w:highlight w:val="none"/>
        </w:rPr>
        <w:sectPr>
          <w:pgSz w:w="11906" w:h="16838"/>
          <w:pgMar w:top="1440" w:right="1080" w:bottom="1440" w:left="1080" w:header="851" w:footer="992" w:gutter="0"/>
          <w:cols w:space="425" w:num="1"/>
          <w:docGrid w:type="lines" w:linePitch="312" w:charSpace="0"/>
        </w:sectPr>
      </w:pPr>
    </w:p>
    <w:p>
      <w:pPr>
        <w:pStyle w:val="3"/>
        <w:shd w:val="clear"/>
        <w:spacing w:before="156" w:after="156"/>
        <w:jc w:val="center"/>
        <w:rPr>
          <w:color w:val="auto"/>
          <w:highlight w:val="none"/>
        </w:rPr>
      </w:pPr>
      <w:bookmarkStart w:id="77" w:name="_Toc17093"/>
      <w:r>
        <w:rPr>
          <w:rFonts w:hint="eastAsia"/>
          <w:color w:val="auto"/>
          <w:highlight w:val="none"/>
        </w:rPr>
        <w:t>一、响应函</w:t>
      </w:r>
      <w:bookmarkEnd w:id="77"/>
    </w:p>
    <w:p>
      <w:pPr>
        <w:shd w:val="clear"/>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u w:val="single"/>
        </w:rPr>
        <w:tab/>
      </w:r>
      <w:r>
        <w:rPr>
          <w:rFonts w:hint="eastAsia" w:ascii="Times New Roman" w:hAnsi="Times New Roman" w:eastAsia="宋体"/>
          <w:color w:val="auto"/>
          <w:szCs w:val="21"/>
          <w:highlight w:val="none"/>
          <w:u w:val="single"/>
        </w:rPr>
        <w:t xml:space="preserve">         (采购人名称）</w:t>
      </w:r>
      <w:r>
        <w:rPr>
          <w:rFonts w:hint="eastAsia" w:ascii="Times New Roman" w:hAnsi="Times New Roman" w:eastAsia="宋体"/>
          <w:color w:val="auto"/>
          <w:szCs w:val="21"/>
          <w:highlight w:val="none"/>
        </w:rPr>
        <w:t>：</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 我方已仔细研究了</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(项目名称)采购文件的全部内容，愿意以含税价人民币(大写）</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 ¥</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)的报价(其中：不含税价为：</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u w:val="single"/>
        </w:rPr>
        <w:tab/>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；增值税税额为：</w:t>
      </w:r>
      <w:r>
        <w:rPr>
          <w:rFonts w:hint="eastAsia" w:ascii="Times New Roman" w:hAnsi="Times New Roman" w:eastAsia="宋体"/>
          <w:color w:val="auto"/>
          <w:szCs w:val="21"/>
          <w:highlight w:val="none"/>
          <w:u w:val="single"/>
        </w:rPr>
        <w:tab/>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)完成本项目服务，并按合同约定履行义务。</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2.我方的响应文件包括下列内容：</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响应函；</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授权委托书；</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商务和技术偏差表；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报价表；</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资格审查资料；</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响应方案；</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响应文件的上述组成部分如存在内容不一致的，以响应函为准。</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3.我方承诺除商务和技术偏差表列出的偏差外，我方响应采购文件的全部要求。</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4.我方承诺在采购文件规定的响应文件有效期内不撤销响应文件。</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5.如我方成交，我方承诺：</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(1)在收到成交通知书后，在成交通知书规定的期限内与你方签订合同；</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(2)在签订合同时不向你方提出附加条件；</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(3)按照采购文件要求递交履约保证金；</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(4)在合同约定的期限内完成合同规定的全部义务。</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6.我方在此声明，所递交的响应文件及有关资料内容完整、真实和准确，且不存在第一章“询比采购公告”中规定的供应商不得存在的情形。</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(其他补充说明）。</w:t>
      </w:r>
    </w:p>
    <w:p>
      <w:pPr>
        <w:shd w:val="clear"/>
        <w:spacing w:line="360" w:lineRule="auto"/>
        <w:ind w:firstLine="2100" w:firstLineChars="10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 应 商：</w:t>
      </w:r>
      <w:r>
        <w:rPr>
          <w:rFonts w:hint="eastAsia" w:ascii="Times New Roman" w:hAnsi="Times New Roman" w:eastAsia="宋体"/>
          <w:color w:val="auto"/>
          <w:szCs w:val="21"/>
          <w:highlight w:val="none"/>
          <w:u w:val="single"/>
        </w:rPr>
        <w:t xml:space="preserve">                           (盖单位章)</w:t>
      </w:r>
    </w:p>
    <w:p>
      <w:pPr>
        <w:shd w:val="clear"/>
        <w:spacing w:line="360" w:lineRule="auto"/>
        <w:ind w:firstLine="2100" w:firstLineChars="10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法定代表人(单位负责人）或其授权的代理人：</w:t>
      </w:r>
      <w:r>
        <w:rPr>
          <w:rFonts w:hint="eastAsia" w:ascii="Times New Roman" w:hAnsi="Times New Roman" w:eastAsia="宋体"/>
          <w:color w:val="auto"/>
          <w:szCs w:val="21"/>
          <w:highlight w:val="none"/>
          <w:u w:val="single"/>
        </w:rPr>
        <w:tab/>
      </w:r>
      <w:r>
        <w:rPr>
          <w:rFonts w:hint="eastAsia" w:ascii="Times New Roman" w:hAnsi="Times New Roman" w:eastAsia="宋体"/>
          <w:color w:val="auto"/>
          <w:szCs w:val="21"/>
          <w:highlight w:val="none"/>
        </w:rPr>
        <w:t>(签字)</w:t>
      </w:r>
    </w:p>
    <w:p>
      <w:pPr>
        <w:shd w:val="clear"/>
        <w:spacing w:line="360" w:lineRule="auto"/>
        <w:ind w:firstLine="2100" w:firstLineChars="1000"/>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地    址：</w:t>
      </w:r>
      <w:r>
        <w:rPr>
          <w:rFonts w:hint="eastAsia" w:ascii="Times New Roman" w:hAnsi="Times New Roman" w:eastAsia="宋体"/>
          <w:color w:val="auto"/>
          <w:szCs w:val="21"/>
          <w:highlight w:val="none"/>
          <w:u w:val="single"/>
        </w:rPr>
        <w:t xml:space="preserve">                                     </w:t>
      </w:r>
    </w:p>
    <w:p>
      <w:pPr>
        <w:shd w:val="clear"/>
        <w:spacing w:line="360" w:lineRule="auto"/>
        <w:ind w:firstLine="2100" w:firstLineChars="1000"/>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电子邮箱：</w:t>
      </w:r>
      <w:r>
        <w:rPr>
          <w:rFonts w:hint="eastAsia" w:ascii="Times New Roman" w:hAnsi="Times New Roman" w:eastAsia="宋体"/>
          <w:color w:val="auto"/>
          <w:szCs w:val="21"/>
          <w:highlight w:val="none"/>
          <w:u w:val="single"/>
        </w:rPr>
        <w:t xml:space="preserve">                                     </w:t>
      </w:r>
    </w:p>
    <w:p>
      <w:pPr>
        <w:shd w:val="clear"/>
        <w:spacing w:line="360" w:lineRule="auto"/>
        <w:ind w:firstLine="2100" w:firstLineChars="1000"/>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电    话：</w:t>
      </w:r>
      <w:r>
        <w:rPr>
          <w:rFonts w:hint="eastAsia" w:ascii="Times New Roman" w:hAnsi="Times New Roman" w:eastAsia="宋体"/>
          <w:color w:val="auto"/>
          <w:szCs w:val="21"/>
          <w:highlight w:val="none"/>
          <w:u w:val="single"/>
        </w:rPr>
        <w:t xml:space="preserve">                                     </w:t>
      </w:r>
    </w:p>
    <w:p>
      <w:pPr>
        <w:shd w:val="clear"/>
        <w:spacing w:line="360" w:lineRule="auto"/>
        <w:ind w:firstLine="2310" w:firstLineChars="1100"/>
        <w:jc w:val="right"/>
        <w:rPr>
          <w:rFonts w:ascii="Times New Roman" w:hAnsi="Times New Roman" w:eastAsia="宋体"/>
          <w:color w:val="auto"/>
          <w:szCs w:val="21"/>
          <w:highlight w:val="none"/>
        </w:rPr>
      </w:pP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月</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日</w:t>
      </w:r>
    </w:p>
    <w:p>
      <w:pPr>
        <w:shd w:val="clear"/>
        <w:spacing w:line="360" w:lineRule="auto"/>
        <w:ind w:firstLine="480" w:firstLineChars="200"/>
        <w:rPr>
          <w:rFonts w:ascii="Times New Roman" w:hAnsi="Times New Roman" w:eastAsia="宋体"/>
          <w:color w:val="auto"/>
          <w:sz w:val="24"/>
          <w:highlight w:val="none"/>
        </w:rPr>
        <w:sectPr>
          <w:pgSz w:w="11906" w:h="16838"/>
          <w:pgMar w:top="1440" w:right="1080" w:bottom="1440" w:left="1080" w:header="851" w:footer="992" w:gutter="0"/>
          <w:cols w:space="425" w:num="1"/>
          <w:docGrid w:type="lines" w:linePitch="312" w:charSpace="0"/>
        </w:sectPr>
      </w:pPr>
    </w:p>
    <w:p>
      <w:pPr>
        <w:pStyle w:val="3"/>
        <w:numPr>
          <w:ilvl w:val="0"/>
          <w:numId w:val="32"/>
        </w:numPr>
        <w:shd w:val="clear"/>
        <w:spacing w:before="156" w:after="156"/>
        <w:jc w:val="center"/>
        <w:rPr>
          <w:color w:val="auto"/>
          <w:highlight w:val="none"/>
        </w:rPr>
      </w:pPr>
      <w:bookmarkStart w:id="78" w:name="_Toc18429"/>
      <w:r>
        <w:rPr>
          <w:rFonts w:hint="eastAsia"/>
          <w:color w:val="auto"/>
          <w:highlight w:val="none"/>
        </w:rPr>
        <w:t>法定代表人身份证明书</w:t>
      </w:r>
      <w:bookmarkEnd w:id="78"/>
    </w:p>
    <w:p>
      <w:pPr>
        <w:shd w:val="clear"/>
        <w:tabs>
          <w:tab w:val="left" w:pos="6300"/>
        </w:tabs>
        <w:snapToGrid w:val="0"/>
        <w:spacing w:line="312" w:lineRule="auto"/>
        <w:ind w:firstLine="570"/>
        <w:rPr>
          <w:rFonts w:ascii="宋体" w:hAnsi="宋体" w:cs="宋体"/>
          <w:color w:val="auto"/>
          <w:sz w:val="24"/>
          <w:szCs w:val="24"/>
          <w:highlight w:val="none"/>
        </w:rPr>
      </w:pPr>
    </w:p>
    <w:p>
      <w:pPr>
        <w:shd w:val="clear"/>
        <w:tabs>
          <w:tab w:val="left" w:pos="6300"/>
        </w:tabs>
        <w:snapToGrid w:val="0"/>
        <w:spacing w:line="312" w:lineRule="auto"/>
        <w:ind w:firstLine="570"/>
        <w:rPr>
          <w:rFonts w:ascii="宋体" w:hAnsi="宋体" w:cs="宋体"/>
          <w:color w:val="auto"/>
          <w:sz w:val="24"/>
          <w:szCs w:val="24"/>
          <w:highlight w:val="none"/>
        </w:rPr>
      </w:pPr>
    </w:p>
    <w:p>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shd w:val="clear"/>
        <w:tabs>
          <w:tab w:val="left" w:pos="6300"/>
        </w:tabs>
        <w:snapToGrid w:val="0"/>
        <w:spacing w:line="312" w:lineRule="auto"/>
        <w:ind w:firstLine="570"/>
        <w:rPr>
          <w:rFonts w:ascii="宋体" w:hAnsi="宋体" w:cs="宋体"/>
          <w:color w:val="auto"/>
          <w:sz w:val="24"/>
          <w:szCs w:val="24"/>
          <w:highlight w:val="none"/>
        </w:rPr>
      </w:pPr>
    </w:p>
    <w:p>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（采购人名称）：</w:t>
      </w:r>
    </w:p>
    <w:p>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pPr>
        <w:shd w:val="clear"/>
        <w:tabs>
          <w:tab w:val="left" w:pos="6300"/>
        </w:tabs>
        <w:snapToGrid w:val="0"/>
        <w:spacing w:line="312" w:lineRule="auto"/>
        <w:ind w:firstLine="570"/>
        <w:rPr>
          <w:rFonts w:ascii="宋体" w:hAnsi="宋体" w:cs="宋体"/>
          <w:color w:val="auto"/>
          <w:sz w:val="24"/>
          <w:szCs w:val="24"/>
          <w:highlight w:val="none"/>
        </w:rPr>
      </w:pPr>
    </w:p>
    <w:p>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hd w:val="clear"/>
        <w:tabs>
          <w:tab w:val="left" w:pos="6300"/>
        </w:tabs>
        <w:snapToGrid w:val="0"/>
        <w:spacing w:line="312" w:lineRule="auto"/>
        <w:ind w:firstLine="570"/>
        <w:rPr>
          <w:rFonts w:ascii="宋体" w:hAnsi="宋体" w:cs="宋体"/>
          <w:color w:val="auto"/>
          <w:sz w:val="24"/>
          <w:szCs w:val="24"/>
          <w:highlight w:val="none"/>
        </w:rPr>
      </w:pPr>
    </w:p>
    <w:p>
      <w:pPr>
        <w:shd w:val="clear"/>
        <w:tabs>
          <w:tab w:val="left" w:pos="6300"/>
        </w:tabs>
        <w:snapToGrid w:val="0"/>
        <w:spacing w:line="312" w:lineRule="auto"/>
        <w:ind w:firstLine="570"/>
        <w:rPr>
          <w:rFonts w:ascii="宋体" w:hAnsi="宋体" w:cs="宋体"/>
          <w:color w:val="auto"/>
          <w:sz w:val="24"/>
          <w:szCs w:val="24"/>
          <w:highlight w:val="none"/>
        </w:rPr>
      </w:pPr>
    </w:p>
    <w:p>
      <w:pPr>
        <w:shd w:val="clear"/>
        <w:tabs>
          <w:tab w:val="left" w:pos="6300"/>
        </w:tabs>
        <w:snapToGrid w:val="0"/>
        <w:spacing w:line="312" w:lineRule="auto"/>
        <w:ind w:firstLine="570"/>
        <w:rPr>
          <w:rFonts w:ascii="宋体" w:hAnsi="宋体" w:cs="宋体"/>
          <w:color w:val="auto"/>
          <w:sz w:val="24"/>
          <w:szCs w:val="24"/>
          <w:highlight w:val="none"/>
        </w:rPr>
      </w:pPr>
    </w:p>
    <w:p>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shd w:val="clear"/>
        <w:tabs>
          <w:tab w:val="left" w:pos="6300"/>
        </w:tabs>
        <w:snapToGrid w:val="0"/>
        <w:spacing w:line="312" w:lineRule="auto"/>
        <w:ind w:firstLine="570"/>
        <w:rPr>
          <w:rFonts w:ascii="宋体" w:hAnsi="宋体" w:cs="宋体"/>
          <w:color w:val="auto"/>
          <w:sz w:val="24"/>
          <w:szCs w:val="24"/>
          <w:highlight w:val="none"/>
        </w:rPr>
      </w:pPr>
    </w:p>
    <w:p>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hd w:val="clear"/>
        <w:tabs>
          <w:tab w:val="left" w:pos="6300"/>
        </w:tabs>
        <w:snapToGrid w:val="0"/>
        <w:spacing w:line="312" w:lineRule="auto"/>
        <w:ind w:firstLine="570"/>
        <w:rPr>
          <w:rFonts w:ascii="宋体" w:hAnsi="宋体" w:cs="宋体"/>
          <w:color w:val="auto"/>
          <w:sz w:val="24"/>
          <w:szCs w:val="24"/>
          <w:highlight w:val="none"/>
        </w:rPr>
      </w:pPr>
    </w:p>
    <w:p>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shd w:val="clear"/>
        <w:rPr>
          <w:color w:val="auto"/>
          <w:highlight w:val="none"/>
        </w:rPr>
      </w:pPr>
    </w:p>
    <w:p>
      <w:pPr>
        <w:shd w:val="clear"/>
        <w:rPr>
          <w:color w:val="auto"/>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shd w:val="clear"/>
        <w:spacing w:line="360" w:lineRule="auto"/>
        <w:jc w:val="center"/>
        <w:rPr>
          <w:rFonts w:ascii="Times New Roman" w:hAnsi="Times New Roman" w:eastAsia="宋体"/>
          <w:color w:val="auto"/>
          <w:szCs w:val="21"/>
          <w:highlight w:val="none"/>
        </w:rPr>
      </w:pPr>
    </w:p>
    <w:p>
      <w:pPr>
        <w:pStyle w:val="3"/>
        <w:numPr>
          <w:ilvl w:val="0"/>
          <w:numId w:val="32"/>
        </w:numPr>
        <w:shd w:val="clear"/>
        <w:spacing w:before="156" w:after="156"/>
        <w:jc w:val="center"/>
        <w:rPr>
          <w:color w:val="auto"/>
          <w:highlight w:val="none"/>
        </w:rPr>
      </w:pPr>
      <w:r>
        <w:rPr>
          <w:rFonts w:hint="eastAsia"/>
          <w:color w:val="auto"/>
          <w:highlight w:val="none"/>
        </w:rPr>
        <w:t>授权委托书</w:t>
      </w:r>
    </w:p>
    <w:p>
      <w:pPr>
        <w:shd w:val="clear"/>
        <w:spacing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(适用于有委托代理人的情况）</w:t>
      </w:r>
    </w:p>
    <w:p>
      <w:pPr>
        <w:shd w:val="clear"/>
        <w:spacing w:line="360" w:lineRule="auto"/>
        <w:jc w:val="center"/>
        <w:rPr>
          <w:rFonts w:ascii="Times New Roman" w:hAnsi="Times New Roman" w:eastAsia="宋体"/>
          <w:color w:val="auto"/>
          <w:szCs w:val="21"/>
          <w:highlight w:val="none"/>
        </w:rPr>
      </w:pPr>
    </w:p>
    <w:p>
      <w:pPr>
        <w:shd w:val="clear"/>
        <w:spacing w:line="360" w:lineRule="auto"/>
        <w:ind w:firstLine="367" w:firstLineChars="175"/>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本人</w:t>
      </w:r>
      <w:r>
        <w:rPr>
          <w:rFonts w:hint="eastAsia" w:ascii="Times New Roman" w:hAnsi="Times New Roman" w:eastAsia="宋体"/>
          <w:color w:val="auto"/>
          <w:szCs w:val="21"/>
          <w:highlight w:val="none"/>
          <w:u w:val="single"/>
        </w:rPr>
        <w:tab/>
      </w:r>
      <w:r>
        <w:rPr>
          <w:rFonts w:hint="eastAsia" w:ascii="Times New Roman" w:hAnsi="Times New Roman" w:eastAsia="宋体"/>
          <w:color w:val="auto"/>
          <w:szCs w:val="21"/>
          <w:highlight w:val="none"/>
          <w:u w:val="single"/>
        </w:rPr>
        <w:t xml:space="preserve">          （姓名）</w:t>
      </w:r>
      <w:r>
        <w:rPr>
          <w:rFonts w:hint="eastAsia" w:ascii="Times New Roman" w:hAnsi="Times New Roman" w:eastAsia="宋体"/>
          <w:color w:val="auto"/>
          <w:szCs w:val="21"/>
          <w:highlight w:val="none"/>
        </w:rPr>
        <w:t>系</w:t>
      </w:r>
      <w:r>
        <w:rPr>
          <w:rFonts w:hint="eastAsia" w:ascii="Times New Roman" w:hAnsi="Times New Roman" w:eastAsia="宋体"/>
          <w:color w:val="auto"/>
          <w:szCs w:val="21"/>
          <w:highlight w:val="none"/>
          <w:u w:val="single"/>
        </w:rPr>
        <w:t xml:space="preserve">                (供应商名称)</w:t>
      </w:r>
      <w:r>
        <w:rPr>
          <w:rFonts w:hint="eastAsia" w:ascii="Times New Roman" w:hAnsi="Times New Roman" w:eastAsia="宋体"/>
          <w:color w:val="auto"/>
          <w:szCs w:val="21"/>
          <w:highlight w:val="none"/>
        </w:rPr>
        <w:t>的法定代表人(单位负责人），现委托</w:t>
      </w:r>
      <w:r>
        <w:rPr>
          <w:rFonts w:hint="eastAsia" w:ascii="Times New Roman" w:hAnsi="Times New Roman" w:eastAsia="宋体"/>
          <w:color w:val="auto"/>
          <w:szCs w:val="21"/>
          <w:highlight w:val="none"/>
          <w:u w:val="single"/>
        </w:rPr>
        <w:tab/>
      </w:r>
      <w:r>
        <w:rPr>
          <w:rFonts w:hint="eastAsia" w:ascii="Times New Roman" w:hAnsi="Times New Roman" w:eastAsia="宋体"/>
          <w:color w:val="auto"/>
          <w:szCs w:val="21"/>
          <w:highlight w:val="none"/>
          <w:u w:val="single"/>
        </w:rPr>
        <w:t xml:space="preserve">      (姓名）</w:t>
      </w:r>
      <w:r>
        <w:rPr>
          <w:rFonts w:hint="eastAsia" w:ascii="Times New Roman" w:hAnsi="Times New Roman" w:eastAsia="宋体"/>
          <w:color w:val="auto"/>
          <w:szCs w:val="21"/>
          <w:highlight w:val="none"/>
        </w:rPr>
        <w:t>为我方代理人。代理人根据授权，以我方名义签署、澄清确认、递交、撤回、修改</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询比采购项目响应文件、签订合同和处理有关事宜，其法律后果由我方承担。</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委托期限：自本委托书签署之日起至</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w:t>
      </w: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代理人无转委托权。</w:t>
      </w:r>
    </w:p>
    <w:p>
      <w:pPr>
        <w:shd w:val="clear"/>
        <w:spacing w:line="360" w:lineRule="auto"/>
        <w:ind w:firstLine="420" w:firstLineChars="200"/>
        <w:rPr>
          <w:rFonts w:ascii="Times New Roman" w:hAnsi="Times New Roman" w:eastAsia="宋体"/>
          <w:color w:val="auto"/>
          <w:szCs w:val="21"/>
          <w:highlight w:val="none"/>
        </w:rPr>
      </w:pPr>
    </w:p>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附：法定代表人(单位负责人）身份证复印件及委托代理人身份证复印件。</w:t>
      </w:r>
    </w:p>
    <w:p>
      <w:pPr>
        <w:shd w:val="clear"/>
        <w:spacing w:line="360" w:lineRule="auto"/>
        <w:ind w:firstLine="420" w:firstLineChars="200"/>
        <w:rPr>
          <w:rFonts w:ascii="Times New Roman" w:hAnsi="Times New Roman" w:eastAsia="宋体"/>
          <w:color w:val="auto"/>
          <w:szCs w:val="21"/>
          <w:highlight w:val="none"/>
        </w:rPr>
      </w:pPr>
    </w:p>
    <w:p>
      <w:pPr>
        <w:shd w:val="clear"/>
        <w:spacing w:line="360" w:lineRule="auto"/>
        <w:ind w:firstLine="3150" w:firstLineChars="15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w:t>
      </w:r>
      <w:r>
        <w:rPr>
          <w:rFonts w:hint="eastAsia" w:ascii="Times New Roman" w:hAnsi="Times New Roman" w:eastAsia="宋体"/>
          <w:color w:val="auto"/>
          <w:szCs w:val="21"/>
          <w:highlight w:val="none"/>
          <w:u w:val="single"/>
        </w:rPr>
        <w:t xml:space="preserve">                     (盖单位章）</w:t>
      </w:r>
    </w:p>
    <w:p>
      <w:pPr>
        <w:shd w:val="clear"/>
        <w:spacing w:line="360" w:lineRule="auto"/>
        <w:ind w:firstLine="3150" w:firstLineChars="1500"/>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法定代表人(单位负责人）：</w:t>
      </w:r>
      <w:r>
        <w:rPr>
          <w:rFonts w:hint="eastAsia" w:ascii="Times New Roman" w:hAnsi="Times New Roman" w:eastAsia="宋体"/>
          <w:color w:val="auto"/>
          <w:szCs w:val="21"/>
          <w:highlight w:val="none"/>
          <w:u w:val="single"/>
        </w:rPr>
        <w:tab/>
      </w:r>
      <w:r>
        <w:rPr>
          <w:rFonts w:hint="eastAsia" w:ascii="Times New Roman" w:hAnsi="Times New Roman" w:eastAsia="宋体"/>
          <w:color w:val="auto"/>
          <w:szCs w:val="21"/>
          <w:highlight w:val="none"/>
          <w:u w:val="single"/>
        </w:rPr>
        <w:t xml:space="preserve">       (签字）</w:t>
      </w:r>
    </w:p>
    <w:p>
      <w:pPr>
        <w:shd w:val="clear"/>
        <w:spacing w:line="360" w:lineRule="auto"/>
        <w:ind w:firstLine="3150" w:firstLineChars="1500"/>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身份证号码：</w:t>
      </w:r>
      <w:r>
        <w:rPr>
          <w:rFonts w:hint="eastAsia" w:ascii="Times New Roman" w:hAnsi="Times New Roman" w:eastAsia="宋体"/>
          <w:color w:val="auto"/>
          <w:szCs w:val="21"/>
          <w:highlight w:val="none"/>
          <w:u w:val="single"/>
        </w:rPr>
        <w:t xml:space="preserve">                           </w:t>
      </w:r>
    </w:p>
    <w:p>
      <w:pPr>
        <w:shd w:val="clear"/>
        <w:spacing w:line="360" w:lineRule="auto"/>
        <w:ind w:firstLine="3150" w:firstLineChars="1500"/>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委托代理人：</w:t>
      </w:r>
      <w:r>
        <w:rPr>
          <w:rFonts w:hint="eastAsia" w:ascii="Times New Roman" w:hAnsi="Times New Roman" w:eastAsia="宋体"/>
          <w:color w:val="auto"/>
          <w:szCs w:val="21"/>
          <w:highlight w:val="none"/>
          <w:u w:val="single"/>
        </w:rPr>
        <w:tab/>
      </w:r>
      <w:r>
        <w:rPr>
          <w:rFonts w:hint="eastAsia" w:ascii="Times New Roman" w:hAnsi="Times New Roman" w:eastAsia="宋体"/>
          <w:color w:val="auto"/>
          <w:szCs w:val="21"/>
          <w:highlight w:val="none"/>
          <w:u w:val="single"/>
        </w:rPr>
        <w:t xml:space="preserve">                 (签字）</w:t>
      </w:r>
    </w:p>
    <w:p>
      <w:pPr>
        <w:shd w:val="clear"/>
        <w:spacing w:line="360" w:lineRule="auto"/>
        <w:ind w:firstLine="3150" w:firstLineChars="1500"/>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身份证号码：</w:t>
      </w:r>
      <w:r>
        <w:rPr>
          <w:rFonts w:hint="eastAsia" w:ascii="Times New Roman" w:hAnsi="Times New Roman" w:eastAsia="宋体"/>
          <w:color w:val="auto"/>
          <w:szCs w:val="21"/>
          <w:highlight w:val="none"/>
          <w:u w:val="single"/>
        </w:rPr>
        <w:t xml:space="preserve">                             </w:t>
      </w:r>
    </w:p>
    <w:p>
      <w:pPr>
        <w:shd w:val="clear"/>
        <w:spacing w:line="360" w:lineRule="auto"/>
        <w:ind w:firstLine="2310" w:firstLineChars="1100"/>
        <w:jc w:val="right"/>
        <w:rPr>
          <w:rFonts w:ascii="Times New Roman" w:hAnsi="Times New Roman" w:eastAsia="宋体"/>
          <w:color w:val="auto"/>
          <w:szCs w:val="21"/>
          <w:highlight w:val="none"/>
        </w:rPr>
      </w:pP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月</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日</w:t>
      </w:r>
    </w:p>
    <w:p>
      <w:pPr>
        <w:shd w:val="clear"/>
        <w:spacing w:line="360" w:lineRule="auto"/>
        <w:ind w:firstLine="420" w:firstLineChars="200"/>
        <w:rPr>
          <w:rFonts w:ascii="Times New Roman" w:hAnsi="Times New Roman" w:eastAsia="宋体"/>
          <w:color w:val="auto"/>
          <w:szCs w:val="21"/>
          <w:highlight w:val="none"/>
        </w:rPr>
        <w:sectPr>
          <w:pgSz w:w="11906" w:h="16838"/>
          <w:pgMar w:top="1440" w:right="1800" w:bottom="1440" w:left="1800" w:header="851" w:footer="992" w:gutter="0"/>
          <w:cols w:space="425" w:num="1"/>
          <w:docGrid w:type="lines" w:linePitch="312" w:charSpace="0"/>
        </w:sectPr>
      </w:pPr>
    </w:p>
    <w:p>
      <w:pPr>
        <w:pStyle w:val="3"/>
        <w:shd w:val="clear"/>
        <w:spacing w:before="156" w:after="156"/>
        <w:jc w:val="center"/>
        <w:rPr>
          <w:color w:val="auto"/>
          <w:highlight w:val="none"/>
        </w:rPr>
      </w:pPr>
      <w:bookmarkStart w:id="79" w:name="_Toc25241"/>
      <w:r>
        <w:rPr>
          <w:rFonts w:hint="eastAsia"/>
          <w:color w:val="auto"/>
          <w:highlight w:val="none"/>
        </w:rPr>
        <w:t>四、商务和技术偏差表</w:t>
      </w:r>
      <w:bookmarkEnd w:id="79"/>
    </w:p>
    <w:tbl>
      <w:tblPr>
        <w:tblStyle w:val="29"/>
        <w:tblW w:w="8657" w:type="dxa"/>
        <w:tblInd w:w="0" w:type="dxa"/>
        <w:tblLayout w:type="fixed"/>
        <w:tblCellMar>
          <w:top w:w="0" w:type="dxa"/>
          <w:left w:w="10" w:type="dxa"/>
          <w:bottom w:w="0" w:type="dxa"/>
          <w:right w:w="10" w:type="dxa"/>
        </w:tblCellMar>
      </w:tblPr>
      <w:tblGrid>
        <w:gridCol w:w="1138"/>
        <w:gridCol w:w="3120"/>
        <w:gridCol w:w="2840"/>
        <w:gridCol w:w="1559"/>
      </w:tblGrid>
      <w:tr>
        <w:tblPrEx>
          <w:tblCellMar>
            <w:top w:w="0" w:type="dxa"/>
            <w:left w:w="10" w:type="dxa"/>
            <w:bottom w:w="0" w:type="dxa"/>
            <w:right w:w="10" w:type="dxa"/>
          </w:tblCellMar>
        </w:tblPrEx>
        <w:trPr>
          <w:trHeight w:val="590" w:hRule="atLeast"/>
        </w:trPr>
        <w:tc>
          <w:tcPr>
            <w:tcW w:w="1138"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序号</w:t>
            </w:r>
          </w:p>
        </w:tc>
        <w:tc>
          <w:tcPr>
            <w:tcW w:w="3120"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采购文件章节及条款号</w:t>
            </w:r>
          </w:p>
        </w:tc>
        <w:tc>
          <w:tcPr>
            <w:tcW w:w="2840"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响应文件章节及条款号</w:t>
            </w:r>
          </w:p>
        </w:tc>
        <w:tc>
          <w:tcPr>
            <w:tcW w:w="1559" w:type="dxa"/>
            <w:tcBorders>
              <w:top w:val="single" w:color="auto" w:sz="4" w:space="0"/>
              <w:left w:val="single" w:color="auto" w:sz="4" w:space="0"/>
              <w:bottom w:val="nil"/>
              <w:right w:val="single" w:color="auto" w:sz="4" w:space="0"/>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偏差说明</w:t>
            </w:r>
          </w:p>
        </w:tc>
      </w:tr>
      <w:tr>
        <w:tblPrEx>
          <w:tblCellMar>
            <w:top w:w="0" w:type="dxa"/>
            <w:left w:w="10" w:type="dxa"/>
            <w:bottom w:w="0" w:type="dxa"/>
            <w:right w:w="10" w:type="dxa"/>
          </w:tblCellMar>
        </w:tblPrEx>
        <w:trPr>
          <w:trHeight w:val="566" w:hRule="atLeast"/>
        </w:trPr>
        <w:tc>
          <w:tcPr>
            <w:tcW w:w="1138"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1</w:t>
            </w:r>
          </w:p>
        </w:tc>
        <w:tc>
          <w:tcPr>
            <w:tcW w:w="312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284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1559" w:type="dxa"/>
            <w:tcBorders>
              <w:top w:val="single" w:color="auto" w:sz="4" w:space="0"/>
              <w:left w:val="single" w:color="auto" w:sz="4" w:space="0"/>
              <w:bottom w:val="nil"/>
              <w:right w:val="single" w:color="auto" w:sz="4" w:space="0"/>
            </w:tcBorders>
            <w:shd w:val="clear" w:color="auto" w:fill="FFFFFF"/>
          </w:tcPr>
          <w:p>
            <w:pPr>
              <w:shd w:val="clear"/>
              <w:jc w:val="center"/>
              <w:rPr>
                <w:rFonts w:ascii="Times New Roman" w:hAnsi="Times New Roman" w:eastAsia="宋体"/>
                <w:color w:val="auto"/>
                <w:szCs w:val="21"/>
                <w:highlight w:val="none"/>
                <w:lang w:val="zh-TW" w:eastAsia="zh-TW" w:bidi="zh-TW"/>
              </w:rPr>
            </w:pPr>
          </w:p>
        </w:tc>
      </w:tr>
      <w:tr>
        <w:tblPrEx>
          <w:tblCellMar>
            <w:top w:w="0" w:type="dxa"/>
            <w:left w:w="10" w:type="dxa"/>
            <w:bottom w:w="0" w:type="dxa"/>
            <w:right w:w="10" w:type="dxa"/>
          </w:tblCellMar>
        </w:tblPrEx>
        <w:trPr>
          <w:trHeight w:val="571" w:hRule="atLeast"/>
        </w:trPr>
        <w:tc>
          <w:tcPr>
            <w:tcW w:w="1138"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2</w:t>
            </w:r>
          </w:p>
        </w:tc>
        <w:tc>
          <w:tcPr>
            <w:tcW w:w="312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284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1559" w:type="dxa"/>
            <w:tcBorders>
              <w:top w:val="single" w:color="auto" w:sz="4" w:space="0"/>
              <w:left w:val="single" w:color="auto" w:sz="4" w:space="0"/>
              <w:bottom w:val="nil"/>
              <w:right w:val="single" w:color="auto" w:sz="4" w:space="0"/>
            </w:tcBorders>
            <w:shd w:val="clear" w:color="auto" w:fill="FFFFFF"/>
          </w:tcPr>
          <w:p>
            <w:pPr>
              <w:shd w:val="clear"/>
              <w:jc w:val="center"/>
              <w:rPr>
                <w:rFonts w:ascii="Times New Roman" w:hAnsi="Times New Roman" w:eastAsia="宋体"/>
                <w:color w:val="auto"/>
                <w:szCs w:val="21"/>
                <w:highlight w:val="none"/>
                <w:lang w:val="zh-TW" w:eastAsia="zh-TW" w:bidi="zh-TW"/>
              </w:rPr>
            </w:pPr>
          </w:p>
        </w:tc>
      </w:tr>
      <w:tr>
        <w:tblPrEx>
          <w:tblCellMar>
            <w:top w:w="0" w:type="dxa"/>
            <w:left w:w="10" w:type="dxa"/>
            <w:bottom w:w="0" w:type="dxa"/>
            <w:right w:w="10" w:type="dxa"/>
          </w:tblCellMar>
        </w:tblPrEx>
        <w:trPr>
          <w:trHeight w:val="571" w:hRule="atLeast"/>
        </w:trPr>
        <w:tc>
          <w:tcPr>
            <w:tcW w:w="1138"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3</w:t>
            </w:r>
          </w:p>
        </w:tc>
        <w:tc>
          <w:tcPr>
            <w:tcW w:w="312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284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1559" w:type="dxa"/>
            <w:tcBorders>
              <w:top w:val="single" w:color="auto" w:sz="4" w:space="0"/>
              <w:left w:val="single" w:color="auto" w:sz="4" w:space="0"/>
              <w:bottom w:val="nil"/>
              <w:right w:val="single" w:color="auto" w:sz="4" w:space="0"/>
            </w:tcBorders>
            <w:shd w:val="clear" w:color="auto" w:fill="FFFFFF"/>
          </w:tcPr>
          <w:p>
            <w:pPr>
              <w:shd w:val="clear"/>
              <w:jc w:val="center"/>
              <w:rPr>
                <w:rFonts w:ascii="Times New Roman" w:hAnsi="Times New Roman" w:eastAsia="宋体"/>
                <w:color w:val="auto"/>
                <w:szCs w:val="21"/>
                <w:highlight w:val="none"/>
                <w:lang w:val="zh-TW" w:eastAsia="zh-TW" w:bidi="zh-TW"/>
              </w:rPr>
            </w:pPr>
          </w:p>
        </w:tc>
      </w:tr>
      <w:tr>
        <w:tblPrEx>
          <w:tblCellMar>
            <w:top w:w="0" w:type="dxa"/>
            <w:left w:w="10" w:type="dxa"/>
            <w:bottom w:w="0" w:type="dxa"/>
            <w:right w:w="10" w:type="dxa"/>
          </w:tblCellMar>
        </w:tblPrEx>
        <w:trPr>
          <w:trHeight w:val="566" w:hRule="atLeast"/>
        </w:trPr>
        <w:tc>
          <w:tcPr>
            <w:tcW w:w="1138"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4</w:t>
            </w:r>
          </w:p>
        </w:tc>
        <w:tc>
          <w:tcPr>
            <w:tcW w:w="312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284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1559" w:type="dxa"/>
            <w:tcBorders>
              <w:top w:val="single" w:color="auto" w:sz="4" w:space="0"/>
              <w:left w:val="single" w:color="auto" w:sz="4" w:space="0"/>
              <w:bottom w:val="nil"/>
              <w:right w:val="single" w:color="auto" w:sz="4" w:space="0"/>
            </w:tcBorders>
            <w:shd w:val="clear" w:color="auto" w:fill="FFFFFF"/>
          </w:tcPr>
          <w:p>
            <w:pPr>
              <w:shd w:val="clear"/>
              <w:jc w:val="center"/>
              <w:rPr>
                <w:rFonts w:ascii="Times New Roman" w:hAnsi="Times New Roman" w:eastAsia="宋体"/>
                <w:color w:val="auto"/>
                <w:szCs w:val="21"/>
                <w:highlight w:val="none"/>
                <w:lang w:val="zh-TW" w:eastAsia="zh-TW" w:bidi="zh-TW"/>
              </w:rPr>
            </w:pPr>
          </w:p>
        </w:tc>
      </w:tr>
      <w:tr>
        <w:tblPrEx>
          <w:tblCellMar>
            <w:top w:w="0" w:type="dxa"/>
            <w:left w:w="10" w:type="dxa"/>
            <w:bottom w:w="0" w:type="dxa"/>
            <w:right w:w="10" w:type="dxa"/>
          </w:tblCellMar>
        </w:tblPrEx>
        <w:trPr>
          <w:trHeight w:val="571" w:hRule="atLeast"/>
        </w:trPr>
        <w:tc>
          <w:tcPr>
            <w:tcW w:w="1138" w:type="dxa"/>
            <w:tcBorders>
              <w:top w:val="single" w:color="auto" w:sz="4" w:space="0"/>
              <w:left w:val="single" w:color="auto" w:sz="4" w:space="0"/>
              <w:bottom w:val="nil"/>
              <w:right w:val="nil"/>
            </w:tcBorders>
            <w:shd w:val="clear" w:color="auto" w:fill="FFFFFF"/>
            <w:vAlign w:val="center"/>
          </w:tcPr>
          <w:p>
            <w:pPr>
              <w:shd w:val="clear"/>
              <w:jc w:val="center"/>
              <w:rPr>
                <w:rFonts w:ascii="Times New Roman" w:hAnsi="Times New Roman" w:eastAsia="宋体"/>
                <w:color w:val="auto"/>
                <w:szCs w:val="21"/>
                <w:highlight w:val="none"/>
                <w:lang w:val="zh-TW" w:eastAsia="zh-TW" w:bidi="zh-TW"/>
              </w:rPr>
            </w:pPr>
            <w:r>
              <w:rPr>
                <w:rFonts w:hint="eastAsia" w:ascii="Times New Roman" w:hAnsi="Times New Roman" w:eastAsia="宋体"/>
                <w:color w:val="auto"/>
                <w:szCs w:val="21"/>
                <w:highlight w:val="none"/>
              </w:rPr>
              <w:t>5</w:t>
            </w:r>
          </w:p>
        </w:tc>
        <w:tc>
          <w:tcPr>
            <w:tcW w:w="312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2840" w:type="dxa"/>
            <w:tcBorders>
              <w:top w:val="single" w:color="auto" w:sz="4" w:space="0"/>
              <w:left w:val="single" w:color="auto" w:sz="4" w:space="0"/>
              <w:bottom w:val="nil"/>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1559" w:type="dxa"/>
            <w:tcBorders>
              <w:top w:val="single" w:color="auto" w:sz="4" w:space="0"/>
              <w:left w:val="single" w:color="auto" w:sz="4" w:space="0"/>
              <w:bottom w:val="nil"/>
              <w:right w:val="single" w:color="auto" w:sz="4" w:space="0"/>
            </w:tcBorders>
            <w:shd w:val="clear" w:color="auto" w:fill="FFFFFF"/>
          </w:tcPr>
          <w:p>
            <w:pPr>
              <w:shd w:val="clear"/>
              <w:jc w:val="center"/>
              <w:rPr>
                <w:rFonts w:ascii="Times New Roman" w:hAnsi="Times New Roman" w:eastAsia="宋体"/>
                <w:color w:val="auto"/>
                <w:szCs w:val="21"/>
                <w:highlight w:val="none"/>
                <w:lang w:val="zh-TW" w:eastAsia="zh-TW" w:bidi="zh-TW"/>
              </w:rPr>
            </w:pPr>
          </w:p>
        </w:tc>
      </w:tr>
      <w:tr>
        <w:tblPrEx>
          <w:tblCellMar>
            <w:top w:w="0" w:type="dxa"/>
            <w:left w:w="10" w:type="dxa"/>
            <w:bottom w:w="0" w:type="dxa"/>
            <w:right w:w="10" w:type="dxa"/>
          </w:tblCellMar>
        </w:tblPrEx>
        <w:trPr>
          <w:trHeight w:val="590" w:hRule="atLeast"/>
        </w:trPr>
        <w:tc>
          <w:tcPr>
            <w:tcW w:w="1138" w:type="dxa"/>
            <w:tcBorders>
              <w:top w:val="single" w:color="auto" w:sz="4" w:space="0"/>
              <w:left w:val="single" w:color="auto" w:sz="4" w:space="0"/>
              <w:bottom w:val="single" w:color="auto" w:sz="4" w:space="0"/>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3120" w:type="dxa"/>
            <w:tcBorders>
              <w:top w:val="single" w:color="auto" w:sz="4" w:space="0"/>
              <w:left w:val="single" w:color="auto" w:sz="4" w:space="0"/>
              <w:bottom w:val="single" w:color="auto" w:sz="4" w:space="0"/>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2840" w:type="dxa"/>
            <w:tcBorders>
              <w:top w:val="single" w:color="auto" w:sz="4" w:space="0"/>
              <w:left w:val="single" w:color="auto" w:sz="4" w:space="0"/>
              <w:bottom w:val="single" w:color="auto" w:sz="4" w:space="0"/>
              <w:right w:val="nil"/>
            </w:tcBorders>
            <w:shd w:val="clear" w:color="auto" w:fill="FFFFFF"/>
          </w:tcPr>
          <w:p>
            <w:pPr>
              <w:shd w:val="clear"/>
              <w:jc w:val="center"/>
              <w:rPr>
                <w:rFonts w:ascii="Times New Roman" w:hAnsi="Times New Roman" w:eastAsia="宋体"/>
                <w:color w:val="auto"/>
                <w:szCs w:val="21"/>
                <w:highlight w:val="none"/>
                <w:lang w:val="zh-TW" w:eastAsia="zh-TW" w:bidi="zh-TW"/>
              </w:rPr>
            </w:pP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shd w:val="clear"/>
              <w:jc w:val="center"/>
              <w:rPr>
                <w:rFonts w:ascii="Times New Roman" w:hAnsi="Times New Roman" w:eastAsia="宋体"/>
                <w:color w:val="auto"/>
                <w:szCs w:val="21"/>
                <w:highlight w:val="none"/>
                <w:lang w:val="zh-TW" w:eastAsia="zh-TW" w:bidi="zh-TW"/>
              </w:rPr>
            </w:pPr>
          </w:p>
        </w:tc>
      </w:tr>
    </w:tbl>
    <w:p>
      <w:pPr>
        <w:shd w:val="clear"/>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供应商保证：除商务和技术偏差表列出的偏差外，供应商响应采购文件的全部要求。</w:t>
      </w:r>
    </w:p>
    <w:p>
      <w:pPr>
        <w:shd w:val="clear"/>
        <w:spacing w:line="360" w:lineRule="auto"/>
        <w:ind w:firstLine="480" w:firstLineChars="200"/>
        <w:rPr>
          <w:rFonts w:ascii="Times New Roman" w:hAnsi="Times New Roman" w:eastAsia="宋体"/>
          <w:color w:val="auto"/>
          <w:sz w:val="24"/>
          <w:highlight w:val="none"/>
        </w:rPr>
      </w:pPr>
    </w:p>
    <w:p>
      <w:pPr>
        <w:shd w:val="clear"/>
        <w:spacing w:line="360" w:lineRule="auto"/>
        <w:ind w:firstLine="480" w:firstLineChars="200"/>
        <w:rPr>
          <w:rFonts w:ascii="Times New Roman" w:hAnsi="Times New Roman" w:eastAsia="宋体"/>
          <w:color w:val="auto"/>
          <w:sz w:val="24"/>
          <w:highlight w:val="none"/>
        </w:rPr>
        <w:sectPr>
          <w:pgSz w:w="11906" w:h="16838"/>
          <w:pgMar w:top="1440" w:right="1800" w:bottom="1440" w:left="1800" w:header="851" w:footer="992" w:gutter="0"/>
          <w:cols w:space="425" w:num="1"/>
          <w:docGrid w:type="lines" w:linePitch="312" w:charSpace="0"/>
        </w:sectPr>
      </w:pPr>
    </w:p>
    <w:p>
      <w:pPr>
        <w:pStyle w:val="3"/>
        <w:shd w:val="clear"/>
        <w:spacing w:before="156" w:after="156"/>
        <w:jc w:val="center"/>
        <w:rPr>
          <w:color w:val="auto"/>
          <w:highlight w:val="none"/>
        </w:rPr>
      </w:pPr>
      <w:bookmarkStart w:id="80" w:name="_Toc3178"/>
      <w:r>
        <w:rPr>
          <w:rFonts w:hint="eastAsia"/>
          <w:color w:val="auto"/>
          <w:highlight w:val="none"/>
        </w:rPr>
        <w:t>五、报价表</w:t>
      </w:r>
      <w:bookmarkEnd w:id="80"/>
    </w:p>
    <w:tbl>
      <w:tblPr>
        <w:tblStyle w:val="29"/>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shd w:val="clear"/>
              <w:ind w:left="141" w:leftChars="67" w:right="103" w:rightChars="49"/>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shd w:val="clear"/>
              <w:ind w:left="141" w:leftChars="67" w:right="103" w:rightChars="49"/>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及投标项目名称</w:t>
            </w:r>
          </w:p>
        </w:tc>
        <w:tc>
          <w:tcPr>
            <w:tcW w:w="6329" w:type="dxa"/>
            <w:vAlign w:val="center"/>
          </w:tcPr>
          <w:p>
            <w:pPr>
              <w:shd w:val="clear"/>
              <w:ind w:left="189" w:leftChars="90" w:firstLine="1"/>
              <w:rPr>
                <w:rFonts w:ascii="宋体" w:hAnsi="宋体" w:eastAsia="宋体" w:cs="宋体"/>
                <w:color w:val="auto"/>
                <w:szCs w:val="21"/>
                <w:highlight w:val="none"/>
              </w:rPr>
            </w:pPr>
            <w:r>
              <w:rPr>
                <w:rFonts w:hint="eastAsia" w:ascii="宋体" w:hAnsi="宋体" w:eastAsia="宋体" w:cs="宋体"/>
                <w:color w:val="auto"/>
                <w:szCs w:val="21"/>
                <w:highlight w:val="none"/>
              </w:rPr>
              <w:t>项目编号：</w:t>
            </w:r>
          </w:p>
          <w:p>
            <w:pPr>
              <w:shd w:val="clear"/>
              <w:ind w:left="189" w:leftChars="90" w:firstLine="1"/>
              <w:rPr>
                <w:rFonts w:ascii="宋体" w:hAnsi="宋体" w:eastAsia="宋体" w:cs="宋体"/>
                <w:color w:val="auto"/>
                <w:szCs w:val="21"/>
                <w:highlight w:val="none"/>
              </w:rPr>
            </w:pPr>
          </w:p>
          <w:p>
            <w:pPr>
              <w:shd w:val="clear"/>
              <w:ind w:left="189" w:leftChars="90" w:firstLine="1"/>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shd w:val="clear"/>
              <w:ind w:left="-13" w:leftChars="-6"/>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投标总价</w:t>
            </w:r>
          </w:p>
          <w:p>
            <w:pPr>
              <w:shd w:val="clear"/>
              <w:rPr>
                <w:rFonts w:ascii="宋体" w:hAnsi="宋体" w:eastAsia="宋体" w:cs="宋体"/>
                <w:b/>
                <w:color w:val="auto"/>
                <w:szCs w:val="21"/>
                <w:highlight w:val="none"/>
              </w:rPr>
            </w:pPr>
          </w:p>
        </w:tc>
        <w:tc>
          <w:tcPr>
            <w:tcW w:w="6329" w:type="dxa"/>
            <w:vAlign w:val="center"/>
          </w:tcPr>
          <w:p>
            <w:pPr>
              <w:shd w:val="clear"/>
              <w:ind w:left="189" w:leftChars="90" w:firstLine="1"/>
              <w:rPr>
                <w:rFonts w:ascii="宋体" w:hAnsi="宋体" w:eastAsia="宋体" w:cs="宋体"/>
                <w:color w:val="auto"/>
                <w:szCs w:val="21"/>
                <w:highlight w:val="none"/>
              </w:rPr>
            </w:pPr>
          </w:p>
          <w:p>
            <w:pPr>
              <w:shd w:val="clear"/>
              <w:ind w:left="189" w:leftChars="90" w:firstLine="1"/>
              <w:rPr>
                <w:rFonts w:ascii="宋体" w:hAnsi="宋体" w:eastAsia="宋体" w:cs="宋体"/>
                <w:color w:val="auto"/>
                <w:szCs w:val="21"/>
                <w:highlight w:val="none"/>
              </w:rPr>
            </w:pPr>
            <w:r>
              <w:rPr>
                <w:rFonts w:hint="eastAsia" w:ascii="宋体" w:hAnsi="宋体" w:eastAsia="宋体" w:cs="宋体"/>
                <w:color w:val="auto"/>
                <w:szCs w:val="21"/>
                <w:highlight w:val="none"/>
              </w:rPr>
              <w:t>人民币（小写金额）：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hd w:val="clear"/>
              <w:ind w:left="189" w:leftChars="90" w:firstLine="1"/>
              <w:rPr>
                <w:rFonts w:ascii="宋体" w:hAnsi="宋体" w:eastAsia="宋体" w:cs="宋体"/>
                <w:color w:val="auto"/>
                <w:szCs w:val="21"/>
                <w:highlight w:val="none"/>
                <w:u w:val="single"/>
              </w:rPr>
            </w:pPr>
            <w:r>
              <w:rPr>
                <w:rFonts w:hint="eastAsia" w:ascii="宋体" w:hAnsi="宋体" w:eastAsia="宋体" w:cs="宋体"/>
                <w:color w:val="auto"/>
                <w:szCs w:val="21"/>
                <w:highlight w:val="none"/>
              </w:rPr>
              <w:t>人民币（大写金额）：</w:t>
            </w:r>
            <w:r>
              <w:rPr>
                <w:rFonts w:hint="eastAsia" w:ascii="宋体" w:hAnsi="宋体" w:eastAsia="宋体" w:cs="宋体"/>
                <w:color w:val="auto"/>
                <w:szCs w:val="21"/>
                <w:highlight w:val="none"/>
                <w:u w:val="single"/>
              </w:rPr>
              <w:t xml:space="preserve">                        整</w:t>
            </w:r>
          </w:p>
          <w:p>
            <w:pPr>
              <w:shd w:val="clear"/>
              <w:ind w:left="189" w:leftChars="90" w:firstLine="1"/>
              <w:rPr>
                <w:rFonts w:ascii="宋体" w:hAnsi="宋体" w:eastAsia="宋体" w:cs="宋体"/>
                <w:color w:val="auto"/>
                <w:szCs w:val="21"/>
                <w:highlight w:val="none"/>
              </w:rPr>
            </w:pPr>
            <w:r>
              <w:rPr>
                <w:rFonts w:hint="eastAsia" w:ascii="宋体" w:hAnsi="宋体" w:eastAsia="宋体" w:cs="宋体"/>
                <w:color w:val="auto"/>
                <w:szCs w:val="21"/>
                <w:highlight w:val="none"/>
              </w:rPr>
              <w:t>注：如有不一致，以大写为准</w:t>
            </w:r>
          </w:p>
          <w:p>
            <w:pPr>
              <w:shd w:val="clear"/>
              <w:ind w:left="189" w:leftChars="90" w:firstLine="1"/>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shd w:val="clear"/>
              <w:ind w:left="-13" w:leftChars="-6"/>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交货期</w:t>
            </w:r>
          </w:p>
        </w:tc>
        <w:tc>
          <w:tcPr>
            <w:tcW w:w="6329" w:type="dxa"/>
            <w:vAlign w:val="center"/>
          </w:tcPr>
          <w:p>
            <w:pPr>
              <w:shd w:val="clear"/>
              <w:ind w:left="189" w:leftChars="90" w:firstLine="1"/>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shd w:val="clear"/>
              <w:ind w:left="-13" w:leftChars="-6"/>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交货地点</w:t>
            </w:r>
          </w:p>
        </w:tc>
        <w:tc>
          <w:tcPr>
            <w:tcW w:w="6329" w:type="dxa"/>
            <w:vAlign w:val="center"/>
          </w:tcPr>
          <w:p>
            <w:pPr>
              <w:shd w:val="clear"/>
              <w:ind w:left="899" w:leftChars="428" w:firstLine="1"/>
              <w:rPr>
                <w:rFonts w:ascii="宋体" w:hAnsi="宋体" w:eastAsia="宋体" w:cs="宋体"/>
                <w:color w:val="auto"/>
                <w:szCs w:val="21"/>
                <w:highlight w:val="none"/>
              </w:rPr>
            </w:pPr>
          </w:p>
        </w:tc>
      </w:tr>
    </w:tbl>
    <w:p>
      <w:pPr>
        <w:pStyle w:val="13"/>
        <w:shd w:val="clear"/>
        <w:ind w:firstLine="480"/>
        <w:rPr>
          <w:color w:val="auto"/>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spacing w:before="156" w:beforeLines="50" w:line="440" w:lineRule="exact"/>
        <w:ind w:left="460" w:leftChars="219"/>
        <w:rPr>
          <w:rFonts w:ascii="宋体" w:hAnsi="宋体" w:eastAsia="宋体" w:cs="宋体"/>
          <w:bCs/>
          <w:color w:val="auto"/>
          <w:szCs w:val="21"/>
          <w:highlight w:val="none"/>
        </w:rPr>
      </w:pPr>
      <w:r>
        <w:rPr>
          <w:rFonts w:hint="eastAsia" w:ascii="宋体" w:hAnsi="宋体" w:eastAsia="宋体" w:cs="宋体"/>
          <w:bCs/>
          <w:color w:val="auto"/>
          <w:szCs w:val="21"/>
          <w:highlight w:val="none"/>
        </w:rPr>
        <w:t>供应商（盖章）：</w:t>
      </w:r>
    </w:p>
    <w:p>
      <w:pPr>
        <w:shd w:val="clear"/>
        <w:spacing w:before="156" w:beforeLines="50" w:line="440" w:lineRule="exact"/>
        <w:ind w:left="460" w:leftChars="219"/>
        <w:rPr>
          <w:rFonts w:ascii="宋体" w:hAnsi="宋体" w:eastAsia="宋体" w:cs="宋体"/>
          <w:bCs/>
          <w:color w:val="auto"/>
          <w:szCs w:val="21"/>
          <w:highlight w:val="none"/>
        </w:rPr>
      </w:pPr>
      <w:r>
        <w:rPr>
          <w:rFonts w:hint="eastAsia" w:ascii="宋体" w:hAnsi="宋体" w:eastAsia="宋体" w:cs="宋体"/>
          <w:bCs/>
          <w:color w:val="auto"/>
          <w:szCs w:val="21"/>
          <w:highlight w:val="none"/>
        </w:rPr>
        <w:t>法定代表人或授权委托代理人（签字或盖章）：</w:t>
      </w:r>
    </w:p>
    <w:p>
      <w:pPr>
        <w:shd w:val="clea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日期：</w:t>
      </w:r>
    </w:p>
    <w:p>
      <w:pPr>
        <w:pStyle w:val="12"/>
        <w:shd w:val="clear"/>
        <w:rPr>
          <w:rFonts w:ascii="宋体" w:hAnsi="宋体" w:cs="宋体"/>
          <w:bCs/>
          <w:color w:val="auto"/>
          <w:szCs w:val="21"/>
          <w:highlight w:val="none"/>
        </w:rPr>
      </w:pPr>
    </w:p>
    <w:p>
      <w:pPr>
        <w:pStyle w:val="13"/>
        <w:shd w:val="clear"/>
        <w:ind w:firstLine="420"/>
        <w:rPr>
          <w:rFonts w:ascii="宋体" w:hAnsi="宋体" w:eastAsia="宋体" w:cs="宋体"/>
          <w:bCs/>
          <w:color w:val="auto"/>
          <w:sz w:val="21"/>
          <w:szCs w:val="21"/>
          <w:highlight w:val="none"/>
        </w:rPr>
      </w:pPr>
    </w:p>
    <w:p>
      <w:pPr>
        <w:shd w:val="clear"/>
        <w:rPr>
          <w:rFonts w:ascii="宋体" w:hAnsi="宋体" w:eastAsia="宋体" w:cs="宋体"/>
          <w:bCs/>
          <w:color w:val="auto"/>
          <w:szCs w:val="21"/>
          <w:highlight w:val="none"/>
        </w:rPr>
      </w:pPr>
    </w:p>
    <w:p>
      <w:pPr>
        <w:pStyle w:val="12"/>
        <w:shd w:val="clear"/>
        <w:rPr>
          <w:rFonts w:ascii="宋体" w:hAnsi="宋体" w:cs="宋体"/>
          <w:bCs/>
          <w:color w:val="auto"/>
          <w:szCs w:val="21"/>
          <w:highlight w:val="none"/>
        </w:rPr>
      </w:pPr>
    </w:p>
    <w:p>
      <w:pPr>
        <w:pStyle w:val="13"/>
        <w:shd w:val="clear"/>
        <w:ind w:firstLine="420"/>
        <w:rPr>
          <w:rFonts w:ascii="宋体" w:hAnsi="宋体" w:eastAsia="宋体" w:cs="宋体"/>
          <w:bCs/>
          <w:color w:val="auto"/>
          <w:sz w:val="21"/>
          <w:szCs w:val="21"/>
          <w:highlight w:val="none"/>
        </w:rPr>
      </w:pPr>
    </w:p>
    <w:p>
      <w:pPr>
        <w:shd w:val="clear"/>
        <w:rPr>
          <w:rFonts w:ascii="宋体" w:hAnsi="宋体" w:eastAsia="宋体" w:cs="宋体"/>
          <w:bCs/>
          <w:color w:val="auto"/>
          <w:szCs w:val="21"/>
          <w:highlight w:val="none"/>
        </w:rPr>
      </w:pPr>
    </w:p>
    <w:p>
      <w:pPr>
        <w:pStyle w:val="12"/>
        <w:shd w:val="clear"/>
        <w:rPr>
          <w:rFonts w:ascii="宋体" w:hAnsi="宋体" w:cs="宋体"/>
          <w:bCs/>
          <w:color w:val="auto"/>
          <w:szCs w:val="21"/>
          <w:highlight w:val="none"/>
        </w:rPr>
      </w:pPr>
    </w:p>
    <w:p>
      <w:pPr>
        <w:pStyle w:val="13"/>
        <w:shd w:val="clear"/>
        <w:ind w:firstLine="420"/>
        <w:rPr>
          <w:rFonts w:ascii="宋体" w:hAnsi="宋体" w:eastAsia="宋体" w:cs="宋体"/>
          <w:bCs/>
          <w:color w:val="auto"/>
          <w:sz w:val="21"/>
          <w:szCs w:val="21"/>
          <w:highlight w:val="none"/>
        </w:rPr>
      </w:pPr>
    </w:p>
    <w:p>
      <w:pPr>
        <w:shd w:val="clear"/>
        <w:rPr>
          <w:rFonts w:ascii="宋体" w:hAnsi="宋体" w:eastAsia="宋体" w:cs="宋体"/>
          <w:bCs/>
          <w:color w:val="auto"/>
          <w:szCs w:val="21"/>
          <w:highlight w:val="none"/>
        </w:rPr>
      </w:pPr>
    </w:p>
    <w:p>
      <w:pPr>
        <w:pStyle w:val="12"/>
        <w:shd w:val="clear"/>
        <w:rPr>
          <w:rFonts w:ascii="宋体" w:hAnsi="宋体" w:cs="宋体"/>
          <w:bCs/>
          <w:color w:val="auto"/>
          <w:szCs w:val="21"/>
          <w:highlight w:val="none"/>
        </w:rPr>
      </w:pPr>
    </w:p>
    <w:p>
      <w:pPr>
        <w:pStyle w:val="13"/>
        <w:shd w:val="clear"/>
        <w:ind w:firstLine="420"/>
        <w:rPr>
          <w:rFonts w:ascii="宋体" w:hAnsi="宋体" w:eastAsia="宋体" w:cs="宋体"/>
          <w:bCs/>
          <w:color w:val="auto"/>
          <w:sz w:val="21"/>
          <w:szCs w:val="21"/>
          <w:highlight w:val="none"/>
        </w:rPr>
      </w:pPr>
    </w:p>
    <w:p>
      <w:pPr>
        <w:shd w:val="clear"/>
        <w:rPr>
          <w:rFonts w:ascii="宋体" w:hAnsi="宋体" w:eastAsia="宋体" w:cs="宋体"/>
          <w:bCs/>
          <w:color w:val="auto"/>
          <w:szCs w:val="21"/>
          <w:highlight w:val="none"/>
        </w:rPr>
      </w:pPr>
    </w:p>
    <w:p>
      <w:pPr>
        <w:pStyle w:val="12"/>
        <w:shd w:val="clear"/>
        <w:rPr>
          <w:rFonts w:ascii="宋体" w:hAnsi="宋体" w:cs="宋体"/>
          <w:bCs/>
          <w:color w:val="auto"/>
          <w:szCs w:val="21"/>
          <w:highlight w:val="none"/>
        </w:rPr>
      </w:pPr>
    </w:p>
    <w:p>
      <w:pPr>
        <w:pStyle w:val="13"/>
        <w:shd w:val="clear"/>
        <w:ind w:firstLine="420"/>
        <w:rPr>
          <w:rFonts w:ascii="宋体" w:hAnsi="宋体" w:eastAsia="宋体" w:cs="宋体"/>
          <w:bCs/>
          <w:color w:val="auto"/>
          <w:sz w:val="21"/>
          <w:szCs w:val="21"/>
          <w:highlight w:val="none"/>
        </w:rPr>
      </w:pPr>
    </w:p>
    <w:p>
      <w:pPr>
        <w:shd w:val="clear"/>
        <w:rPr>
          <w:rFonts w:ascii="宋体" w:hAnsi="宋体" w:eastAsia="宋体" w:cs="宋体"/>
          <w:bCs/>
          <w:color w:val="auto"/>
          <w:szCs w:val="21"/>
          <w:highlight w:val="none"/>
        </w:rPr>
      </w:pPr>
    </w:p>
    <w:p>
      <w:pPr>
        <w:pStyle w:val="12"/>
        <w:shd w:val="clear"/>
        <w:rPr>
          <w:rFonts w:ascii="宋体" w:hAnsi="宋体" w:cs="宋体"/>
          <w:bCs/>
          <w:color w:val="auto"/>
          <w:szCs w:val="21"/>
          <w:highlight w:val="none"/>
        </w:rPr>
      </w:pPr>
    </w:p>
    <w:p>
      <w:pPr>
        <w:pStyle w:val="13"/>
        <w:shd w:val="clear"/>
        <w:ind w:firstLine="480"/>
        <w:rPr>
          <w:color w:val="auto"/>
          <w:highlight w:val="none"/>
        </w:rPr>
      </w:pPr>
    </w:p>
    <w:p>
      <w:pPr>
        <w:shd w:val="clear"/>
        <w:rPr>
          <w:rFonts w:ascii="宋体" w:hAnsi="宋体" w:eastAsia="宋体" w:cs="宋体"/>
          <w:bCs/>
          <w:color w:val="auto"/>
          <w:szCs w:val="21"/>
          <w:highlight w:val="none"/>
        </w:rPr>
      </w:pPr>
    </w:p>
    <w:p>
      <w:pPr>
        <w:pStyle w:val="12"/>
        <w:shd w:val="clear"/>
        <w:rPr>
          <w:rFonts w:ascii="宋体" w:hAnsi="宋体" w:cs="宋体"/>
          <w:bCs/>
          <w:color w:val="auto"/>
          <w:szCs w:val="21"/>
          <w:highlight w:val="none"/>
        </w:rPr>
      </w:pPr>
    </w:p>
    <w:p>
      <w:pPr>
        <w:shd w:val="clea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分项报价表</w:t>
      </w:r>
    </w:p>
    <w:tbl>
      <w:tblPr>
        <w:tblStyle w:val="2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780"/>
        <w:gridCol w:w="2724"/>
        <w:gridCol w:w="855"/>
        <w:gridCol w:w="138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29" w:type="dxa"/>
            <w:vAlign w:val="center"/>
          </w:tcPr>
          <w:p>
            <w:pPr>
              <w:shd w:val="clear"/>
              <w:jc w:val="center"/>
              <w:rPr>
                <w:color w:val="auto"/>
                <w:szCs w:val="21"/>
                <w:highlight w:val="none"/>
              </w:rPr>
            </w:pPr>
            <w:r>
              <w:rPr>
                <w:rFonts w:hint="eastAsia"/>
                <w:color w:val="auto"/>
                <w:szCs w:val="21"/>
                <w:highlight w:val="none"/>
              </w:rPr>
              <w:t>货物名称</w:t>
            </w:r>
          </w:p>
        </w:tc>
        <w:tc>
          <w:tcPr>
            <w:tcW w:w="780" w:type="dxa"/>
            <w:vAlign w:val="center"/>
          </w:tcPr>
          <w:p>
            <w:pPr>
              <w:shd w:val="clear"/>
              <w:jc w:val="center"/>
              <w:rPr>
                <w:color w:val="auto"/>
                <w:szCs w:val="21"/>
                <w:highlight w:val="none"/>
              </w:rPr>
            </w:pPr>
            <w:r>
              <w:rPr>
                <w:rFonts w:hint="eastAsia"/>
                <w:color w:val="auto"/>
                <w:szCs w:val="21"/>
                <w:highlight w:val="none"/>
              </w:rPr>
              <w:t>品牌</w:t>
            </w:r>
          </w:p>
        </w:tc>
        <w:tc>
          <w:tcPr>
            <w:tcW w:w="2724" w:type="dxa"/>
            <w:vAlign w:val="center"/>
          </w:tcPr>
          <w:p>
            <w:pPr>
              <w:shd w:val="clear"/>
              <w:rPr>
                <w:color w:val="auto"/>
                <w:szCs w:val="21"/>
                <w:highlight w:val="none"/>
              </w:rPr>
            </w:pPr>
            <w:r>
              <w:rPr>
                <w:rFonts w:hint="eastAsia"/>
                <w:color w:val="auto"/>
                <w:szCs w:val="21"/>
                <w:highlight w:val="none"/>
              </w:rPr>
              <w:t>规格（型号或技术参数）</w:t>
            </w:r>
          </w:p>
        </w:tc>
        <w:tc>
          <w:tcPr>
            <w:tcW w:w="855" w:type="dxa"/>
            <w:vAlign w:val="center"/>
          </w:tcPr>
          <w:p>
            <w:pPr>
              <w:shd w:val="clear"/>
              <w:jc w:val="center"/>
              <w:rPr>
                <w:color w:val="auto"/>
                <w:szCs w:val="21"/>
                <w:highlight w:val="none"/>
              </w:rPr>
            </w:pPr>
            <w:r>
              <w:rPr>
                <w:rFonts w:hint="eastAsia"/>
                <w:color w:val="auto"/>
                <w:szCs w:val="21"/>
                <w:highlight w:val="none"/>
              </w:rPr>
              <w:t>数量</w:t>
            </w:r>
          </w:p>
        </w:tc>
        <w:tc>
          <w:tcPr>
            <w:tcW w:w="1387" w:type="dxa"/>
            <w:vAlign w:val="center"/>
          </w:tcPr>
          <w:p>
            <w:pPr>
              <w:shd w:val="clear"/>
              <w:jc w:val="center"/>
              <w:rPr>
                <w:color w:val="auto"/>
                <w:szCs w:val="21"/>
                <w:highlight w:val="none"/>
              </w:rPr>
            </w:pPr>
            <w:r>
              <w:rPr>
                <w:rFonts w:hint="eastAsia"/>
                <w:color w:val="auto"/>
                <w:szCs w:val="21"/>
                <w:highlight w:val="none"/>
              </w:rPr>
              <w:t>单价（元）</w:t>
            </w:r>
          </w:p>
        </w:tc>
        <w:tc>
          <w:tcPr>
            <w:tcW w:w="1283" w:type="dxa"/>
            <w:vAlign w:val="center"/>
          </w:tcPr>
          <w:p>
            <w:pPr>
              <w:shd w:val="clear"/>
              <w:jc w:val="center"/>
              <w:rPr>
                <w:color w:val="auto"/>
                <w:szCs w:val="21"/>
                <w:highlight w:val="none"/>
              </w:rPr>
            </w:pPr>
            <w:r>
              <w:rPr>
                <w:rFonts w:hint="eastAsia"/>
                <w:color w:val="auto"/>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自动煎药机</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中医定向透药治疗仪</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Theme="minorEastAsia" w:hAnsiTheme="minorEastAsia" w:eastAsiaTheme="minorEastAsia"/>
                <w:color w:val="auto"/>
                <w:sz w:val="21"/>
                <w:szCs w:val="21"/>
                <w:highlight w:val="none"/>
                <w:lang w:val="en-US" w:eastAsia="zh-CN"/>
              </w:rPr>
              <w:t>ABS单摇病床</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脚踏凳</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2</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器械车</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台式蒸汽灭菌器</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制氧机</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2</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诊断床</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等离子体空气消毒器</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无创呼吸机</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手术无影灯</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手术辅助照明灯</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2</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电动吸引器</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除颤监护仪</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裂隙灯显微镜</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光子热疗仪</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牙科治疗机</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牙科光固化机</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牙科影像板扫描仪</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牙科电动无油空压机</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便携式牙科X射线机</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29"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牙科蒸馏水机</w:t>
            </w:r>
          </w:p>
        </w:tc>
        <w:tc>
          <w:tcPr>
            <w:tcW w:w="780"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p>
        </w:tc>
        <w:tc>
          <w:tcPr>
            <w:tcW w:w="2724" w:type="dxa"/>
            <w:vAlign w:val="center"/>
          </w:tcPr>
          <w:p>
            <w:pPr>
              <w:shd w:val="clear"/>
              <w:spacing w:line="360" w:lineRule="auto"/>
              <w:rPr>
                <w:color w:val="auto"/>
                <w:szCs w:val="21"/>
                <w:highlight w:val="none"/>
              </w:rPr>
            </w:pPr>
          </w:p>
        </w:tc>
        <w:tc>
          <w:tcPr>
            <w:tcW w:w="855" w:type="dxa"/>
            <w:vAlign w:val="center"/>
          </w:tcPr>
          <w:p>
            <w:pPr>
              <w:pStyle w:val="28"/>
              <w:widowControl/>
              <w:numPr>
                <w:ilvl w:val="0"/>
                <w:numId w:val="0"/>
              </w:numPr>
              <w:shd w:val="clear"/>
              <w:spacing w:beforeAutospacing="0" w:afterAutospacing="0" w:line="500" w:lineRule="exact"/>
              <w:ind w:left="0" w:leftChars="0" w:firstLine="0" w:firstLineChars="0"/>
              <w:jc w:val="center"/>
              <w:rPr>
                <w:rFonts w:hint="eastAsia" w:ascii="宋体" w:hAnsi="宋体" w:eastAsia="Arial Unicode MS" w:cs="宋体"/>
                <w:color w:val="auto"/>
                <w:spacing w:val="8"/>
                <w:kern w:val="0"/>
                <w:sz w:val="21"/>
                <w:szCs w:val="21"/>
                <w:highlight w:val="none"/>
                <w:shd w:val="clear" w:color="auto" w:fill="FFFFFF"/>
                <w:vertAlign w:val="baseline"/>
                <w:lang w:val="en-US" w:eastAsia="zh-CN" w:bidi="ar-SA"/>
              </w:rPr>
            </w:pPr>
            <w:r>
              <w:rPr>
                <w:rFonts w:hint="eastAsia" w:ascii="宋体" w:hAnsi="宋体" w:cs="宋体"/>
                <w:color w:val="auto"/>
                <w:spacing w:val="8"/>
                <w:sz w:val="21"/>
                <w:szCs w:val="21"/>
                <w:highlight w:val="none"/>
                <w:shd w:val="clear" w:color="auto" w:fill="FFFFFF"/>
                <w:vertAlign w:val="baseline"/>
                <w:lang w:val="en-US" w:eastAsia="zh-CN"/>
              </w:rPr>
              <w:t>1</w:t>
            </w:r>
          </w:p>
        </w:tc>
        <w:tc>
          <w:tcPr>
            <w:tcW w:w="1387" w:type="dxa"/>
            <w:vAlign w:val="center"/>
          </w:tcPr>
          <w:p>
            <w:pPr>
              <w:shd w:val="clear"/>
              <w:spacing w:line="360" w:lineRule="auto"/>
              <w:jc w:val="center"/>
              <w:rPr>
                <w:rFonts w:eastAsia="宋体"/>
                <w:color w:val="auto"/>
                <w:szCs w:val="21"/>
                <w:highlight w:val="none"/>
              </w:rPr>
            </w:pPr>
          </w:p>
        </w:tc>
        <w:tc>
          <w:tcPr>
            <w:tcW w:w="1283" w:type="dxa"/>
            <w:vAlign w:val="center"/>
          </w:tcPr>
          <w:p>
            <w:pPr>
              <w:shd w:val="clear"/>
              <w:spacing w:line="360" w:lineRule="auto"/>
              <w:jc w:val="center"/>
              <w:rPr>
                <w:rFonts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558" w:type="dxa"/>
            <w:gridSpan w:val="6"/>
          </w:tcPr>
          <w:p>
            <w:pPr>
              <w:shd w:val="clear"/>
              <w:spacing w:line="360" w:lineRule="auto"/>
              <w:rPr>
                <w:rFonts w:eastAsia="宋体"/>
                <w:color w:val="auto"/>
                <w:szCs w:val="21"/>
                <w:highlight w:val="none"/>
              </w:rPr>
            </w:pPr>
            <w:r>
              <w:rPr>
                <w:rFonts w:hint="eastAsia" w:eastAsia="宋体"/>
                <w:color w:val="auto"/>
                <w:szCs w:val="21"/>
                <w:highlight w:val="none"/>
              </w:rPr>
              <w:t>合价（此金额与报价表中金额一致）</w:t>
            </w:r>
          </w:p>
        </w:tc>
      </w:tr>
    </w:tbl>
    <w:p>
      <w:pPr>
        <w:pStyle w:val="13"/>
        <w:shd w:val="clear"/>
        <w:ind w:firstLine="420"/>
        <w:rPr>
          <w:rFonts w:ascii="宋体" w:hAnsi="宋体" w:eastAsia="宋体" w:cs="宋体"/>
          <w:bCs/>
          <w:color w:val="auto"/>
          <w:sz w:val="21"/>
          <w:szCs w:val="21"/>
          <w:highlight w:val="none"/>
        </w:rPr>
      </w:pPr>
    </w:p>
    <w:p>
      <w:pPr>
        <w:shd w:val="clear"/>
        <w:rPr>
          <w:rFonts w:ascii="宋体" w:hAnsi="宋体" w:eastAsia="宋体" w:cs="宋体"/>
          <w:bCs/>
          <w:color w:val="auto"/>
          <w:szCs w:val="21"/>
          <w:highlight w:val="none"/>
        </w:rPr>
      </w:pPr>
    </w:p>
    <w:p>
      <w:pPr>
        <w:pStyle w:val="12"/>
        <w:shd w:val="clear"/>
        <w:rPr>
          <w:color w:val="auto"/>
          <w:highlight w:val="none"/>
        </w:rPr>
        <w:sectPr>
          <w:pgSz w:w="11906" w:h="16838"/>
          <w:pgMar w:top="1440" w:right="1080" w:bottom="1440" w:left="1080" w:header="851" w:footer="992" w:gutter="0"/>
          <w:cols w:space="425" w:num="1"/>
          <w:docGrid w:type="lines" w:linePitch="312" w:charSpace="0"/>
        </w:sectPr>
      </w:pPr>
    </w:p>
    <w:p>
      <w:pPr>
        <w:pStyle w:val="3"/>
        <w:shd w:val="clear"/>
        <w:spacing w:before="156" w:after="156"/>
        <w:jc w:val="center"/>
        <w:rPr>
          <w:color w:val="auto"/>
          <w:highlight w:val="none"/>
        </w:rPr>
      </w:pPr>
      <w:bookmarkStart w:id="81" w:name="_Toc30903"/>
      <w:r>
        <w:rPr>
          <w:rFonts w:hint="eastAsia"/>
          <w:color w:val="auto"/>
          <w:highlight w:val="none"/>
        </w:rPr>
        <w:t>五、资格审查资料</w:t>
      </w:r>
      <w:bookmarkEnd w:id="81"/>
    </w:p>
    <w:p>
      <w:pPr>
        <w:shd w:val="clear"/>
        <w:rPr>
          <w:rFonts w:ascii="宋体" w:hAnsi="宋体" w:eastAsia="宋体" w:cs="宋体"/>
          <w:color w:val="auto"/>
          <w:highlight w:val="none"/>
        </w:rPr>
      </w:pPr>
    </w:p>
    <w:p>
      <w:pPr>
        <w:shd w:val="clear"/>
        <w:spacing w:line="360" w:lineRule="auto"/>
        <w:jc w:val="center"/>
        <w:outlineLvl w:val="0"/>
        <w:rPr>
          <w:rFonts w:ascii="宋体" w:hAnsi="宋体" w:eastAsia="宋体" w:cs="宋体"/>
          <w:b/>
          <w:color w:val="auto"/>
          <w:sz w:val="24"/>
          <w:highlight w:val="none"/>
        </w:rPr>
      </w:pPr>
      <w:bookmarkStart w:id="82" w:name="_Toc12934"/>
      <w:bookmarkStart w:id="83" w:name="_Toc26439"/>
      <w:bookmarkStart w:id="84" w:name="_Toc23898"/>
      <w:r>
        <w:rPr>
          <w:rFonts w:hint="eastAsia" w:ascii="宋体" w:hAnsi="宋体" w:eastAsia="宋体" w:cs="宋体"/>
          <w:b/>
          <w:color w:val="auto"/>
          <w:sz w:val="24"/>
          <w:highlight w:val="none"/>
        </w:rPr>
        <w:t>5-1供应商基本情况表</w:t>
      </w:r>
      <w:bookmarkEnd w:id="82"/>
      <w:bookmarkEnd w:id="83"/>
      <w:bookmarkEnd w:id="84"/>
    </w:p>
    <w:p>
      <w:pPr>
        <w:shd w:val="clear"/>
        <w:spacing w:line="440" w:lineRule="exact"/>
        <w:ind w:firstLine="420" w:firstLineChars="200"/>
        <w:rPr>
          <w:rFonts w:ascii="宋体" w:hAnsi="宋体" w:eastAsia="宋体" w:cs="宋体"/>
          <w:color w:val="auto"/>
          <w:highlight w:val="none"/>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企业名称</w:t>
            </w:r>
          </w:p>
        </w:tc>
        <w:tc>
          <w:tcPr>
            <w:tcW w:w="3181" w:type="dxa"/>
            <w:gridSpan w:val="3"/>
            <w:vAlign w:val="center"/>
          </w:tcPr>
          <w:p>
            <w:pPr>
              <w:shd w:val="clear"/>
              <w:rPr>
                <w:rFonts w:ascii="宋体" w:hAnsi="宋体" w:eastAsia="宋体" w:cs="宋体"/>
                <w:color w:val="auto"/>
                <w:szCs w:val="21"/>
                <w:highlight w:val="none"/>
              </w:rPr>
            </w:pPr>
          </w:p>
        </w:tc>
        <w:tc>
          <w:tcPr>
            <w:tcW w:w="143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成立日期</w:t>
            </w:r>
          </w:p>
        </w:tc>
        <w:tc>
          <w:tcPr>
            <w:tcW w:w="2363"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4"/>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3798" w:type="dxa"/>
            <w:gridSpan w:val="3"/>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注册资本</w:t>
            </w:r>
          </w:p>
        </w:tc>
        <w:tc>
          <w:tcPr>
            <w:tcW w:w="3027" w:type="dxa"/>
            <w:gridSpan w:val="2"/>
            <w:vAlign w:val="center"/>
          </w:tcPr>
          <w:p>
            <w:pPr>
              <w:shd w:val="clear"/>
              <w:rPr>
                <w:rFonts w:ascii="宋体" w:hAnsi="宋体" w:eastAsia="宋体" w:cs="宋体"/>
                <w:color w:val="auto"/>
                <w:szCs w:val="21"/>
                <w:highlight w:val="none"/>
              </w:rPr>
            </w:pPr>
          </w:p>
        </w:tc>
        <w:tc>
          <w:tcPr>
            <w:tcW w:w="143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企业类型</w:t>
            </w:r>
          </w:p>
        </w:tc>
        <w:tc>
          <w:tcPr>
            <w:tcW w:w="2363"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批准登记机关</w:t>
            </w:r>
          </w:p>
        </w:tc>
        <w:tc>
          <w:tcPr>
            <w:tcW w:w="6825" w:type="dxa"/>
            <w:gridSpan w:val="5"/>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3027" w:type="dxa"/>
            <w:gridSpan w:val="2"/>
            <w:vAlign w:val="center"/>
          </w:tcPr>
          <w:p>
            <w:pPr>
              <w:shd w:val="clear"/>
              <w:rPr>
                <w:rFonts w:ascii="宋体" w:hAnsi="宋体" w:eastAsia="宋体" w:cs="宋体"/>
                <w:color w:val="auto"/>
                <w:szCs w:val="21"/>
                <w:highlight w:val="none"/>
              </w:rPr>
            </w:pPr>
          </w:p>
        </w:tc>
        <w:tc>
          <w:tcPr>
            <w:tcW w:w="143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营业期限</w:t>
            </w:r>
          </w:p>
        </w:tc>
        <w:tc>
          <w:tcPr>
            <w:tcW w:w="2363"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资质类型</w:t>
            </w:r>
          </w:p>
        </w:tc>
        <w:tc>
          <w:tcPr>
            <w:tcW w:w="3027" w:type="dxa"/>
            <w:gridSpan w:val="2"/>
            <w:vAlign w:val="center"/>
          </w:tcPr>
          <w:p>
            <w:pPr>
              <w:shd w:val="clear"/>
              <w:rPr>
                <w:rFonts w:ascii="宋体" w:hAnsi="宋体" w:eastAsia="宋体" w:cs="宋体"/>
                <w:color w:val="auto"/>
                <w:szCs w:val="21"/>
                <w:highlight w:val="none"/>
              </w:rPr>
            </w:pPr>
          </w:p>
        </w:tc>
        <w:tc>
          <w:tcPr>
            <w:tcW w:w="143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2363"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主营业务</w:t>
            </w:r>
          </w:p>
        </w:tc>
        <w:tc>
          <w:tcPr>
            <w:tcW w:w="6825" w:type="dxa"/>
            <w:gridSpan w:val="5"/>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地  址</w:t>
            </w:r>
          </w:p>
        </w:tc>
        <w:tc>
          <w:tcPr>
            <w:tcW w:w="6825" w:type="dxa"/>
            <w:gridSpan w:val="5"/>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6825" w:type="dxa"/>
            <w:gridSpan w:val="5"/>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开户行号</w:t>
            </w:r>
          </w:p>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（如有）</w:t>
            </w:r>
          </w:p>
        </w:tc>
        <w:tc>
          <w:tcPr>
            <w:tcW w:w="6825" w:type="dxa"/>
            <w:gridSpan w:val="5"/>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6825" w:type="dxa"/>
            <w:gridSpan w:val="5"/>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887" w:type="dxa"/>
            <w:vAlign w:val="center"/>
          </w:tcPr>
          <w:p>
            <w:pPr>
              <w:shd w:val="clear"/>
              <w:rPr>
                <w:rFonts w:ascii="宋体" w:hAnsi="宋体" w:eastAsia="宋体" w:cs="宋体"/>
                <w:color w:val="auto"/>
                <w:szCs w:val="21"/>
                <w:highlight w:val="none"/>
              </w:rPr>
            </w:pPr>
          </w:p>
        </w:tc>
        <w:tc>
          <w:tcPr>
            <w:tcW w:w="1378"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560" w:type="dxa"/>
            <w:gridSpan w:val="2"/>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邮  箱</w:t>
            </w:r>
          </w:p>
        </w:tc>
        <w:tc>
          <w:tcPr>
            <w:tcW w:w="2887" w:type="dxa"/>
            <w:vAlign w:val="center"/>
          </w:tcPr>
          <w:p>
            <w:pPr>
              <w:shd w:val="clear"/>
              <w:rPr>
                <w:rFonts w:ascii="宋体" w:hAnsi="宋体" w:eastAsia="宋体" w:cs="宋体"/>
                <w:color w:val="auto"/>
                <w:szCs w:val="21"/>
                <w:highlight w:val="none"/>
              </w:rPr>
            </w:pPr>
          </w:p>
        </w:tc>
        <w:tc>
          <w:tcPr>
            <w:tcW w:w="1378"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邮  编</w:t>
            </w:r>
          </w:p>
        </w:tc>
        <w:tc>
          <w:tcPr>
            <w:tcW w:w="2560" w:type="dxa"/>
            <w:gridSpan w:val="2"/>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887" w:type="dxa"/>
            <w:vAlign w:val="center"/>
          </w:tcPr>
          <w:p>
            <w:pPr>
              <w:shd w:val="clear"/>
              <w:rPr>
                <w:rFonts w:ascii="宋体" w:hAnsi="宋体" w:eastAsia="宋体" w:cs="宋体"/>
                <w:color w:val="auto"/>
                <w:szCs w:val="21"/>
                <w:highlight w:val="none"/>
              </w:rPr>
            </w:pPr>
          </w:p>
        </w:tc>
        <w:tc>
          <w:tcPr>
            <w:tcW w:w="1378"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2560" w:type="dxa"/>
            <w:gridSpan w:val="2"/>
            <w:vAlign w:val="center"/>
          </w:tcPr>
          <w:p>
            <w:pPr>
              <w:shd w:val="clear"/>
              <w:rPr>
                <w:rFonts w:ascii="宋体" w:hAnsi="宋体" w:eastAsia="宋体" w:cs="宋体"/>
                <w:color w:val="auto"/>
                <w:szCs w:val="21"/>
                <w:highlight w:val="none"/>
              </w:rPr>
            </w:pPr>
          </w:p>
        </w:tc>
      </w:tr>
    </w:tbl>
    <w:p>
      <w:pPr>
        <w:shd w:val="clear"/>
        <w:spacing w:line="440" w:lineRule="exact"/>
        <w:ind w:firstLine="420" w:firstLineChars="200"/>
        <w:rPr>
          <w:rFonts w:ascii="宋体" w:hAnsi="宋体" w:eastAsia="宋体" w:cs="宋体"/>
          <w:color w:val="auto"/>
          <w:highlight w:val="none"/>
        </w:rPr>
      </w:pPr>
    </w:p>
    <w:p>
      <w:pPr>
        <w:shd w:val="clea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highlight w:val="none"/>
        </w:rPr>
        <w:t>兹</w:t>
      </w:r>
      <w:r>
        <w:rPr>
          <w:rFonts w:hint="eastAsia" w:ascii="宋体" w:hAnsi="宋体" w:eastAsia="宋体" w:cs="宋体"/>
          <w:color w:val="auto"/>
          <w:szCs w:val="21"/>
          <w:highlight w:val="none"/>
        </w:rPr>
        <w:t>声明上述信息是真实、正确的，并提供了全部能提供的资料和数据；如我方提供的证明材料有虚假情况，愿承担相应后果。</w:t>
      </w:r>
    </w:p>
    <w:p>
      <w:pPr>
        <w:shd w:val="clear"/>
        <w:rPr>
          <w:rFonts w:ascii="宋体" w:hAnsi="宋体" w:eastAsia="宋体" w:cs="宋体"/>
          <w:color w:val="auto"/>
          <w:szCs w:val="21"/>
          <w:highlight w:val="none"/>
        </w:rPr>
      </w:pPr>
    </w:p>
    <w:p>
      <w:pPr>
        <w:shd w:val="clear"/>
        <w:rPr>
          <w:rFonts w:ascii="宋体" w:hAnsi="宋体" w:eastAsia="宋体" w:cs="宋体"/>
          <w:color w:val="auto"/>
          <w:szCs w:val="21"/>
          <w:highlight w:val="none"/>
        </w:rPr>
      </w:pPr>
    </w:p>
    <w:p>
      <w:pPr>
        <w:shd w:val="clear"/>
        <w:rPr>
          <w:rFonts w:ascii="宋体" w:hAnsi="宋体" w:eastAsia="宋体" w:cs="宋体"/>
          <w:color w:val="auto"/>
          <w:szCs w:val="21"/>
          <w:highlight w:val="none"/>
        </w:rPr>
      </w:pPr>
    </w:p>
    <w:p>
      <w:pPr>
        <w:shd w:val="clear"/>
        <w:spacing w:before="156" w:beforeLines="50" w:line="440" w:lineRule="exact"/>
        <w:ind w:left="460" w:leftChars="219"/>
        <w:rPr>
          <w:rFonts w:ascii="宋体" w:hAnsi="宋体" w:eastAsia="宋体" w:cs="宋体"/>
          <w:bCs/>
          <w:color w:val="auto"/>
          <w:szCs w:val="21"/>
          <w:highlight w:val="none"/>
        </w:rPr>
      </w:pPr>
      <w:r>
        <w:rPr>
          <w:rFonts w:hint="eastAsia" w:ascii="宋体" w:hAnsi="宋体" w:eastAsia="宋体" w:cs="宋体"/>
          <w:bCs/>
          <w:color w:val="auto"/>
          <w:szCs w:val="21"/>
          <w:highlight w:val="none"/>
        </w:rPr>
        <w:t>供应商（盖章）：</w:t>
      </w:r>
    </w:p>
    <w:p>
      <w:pPr>
        <w:shd w:val="clear"/>
        <w:spacing w:before="156" w:beforeLines="50" w:line="440" w:lineRule="exact"/>
        <w:ind w:left="460" w:leftChars="219"/>
        <w:rPr>
          <w:rFonts w:ascii="宋体" w:hAnsi="宋体" w:eastAsia="宋体" w:cs="宋体"/>
          <w:bCs/>
          <w:color w:val="auto"/>
          <w:szCs w:val="21"/>
          <w:highlight w:val="none"/>
        </w:rPr>
      </w:pPr>
      <w:r>
        <w:rPr>
          <w:rFonts w:hint="eastAsia" w:ascii="宋体" w:hAnsi="宋体" w:eastAsia="宋体" w:cs="宋体"/>
          <w:bCs/>
          <w:color w:val="auto"/>
          <w:szCs w:val="21"/>
          <w:highlight w:val="none"/>
        </w:rPr>
        <w:t>法定代表人或授权委托代理人（签字或盖章）：</w:t>
      </w:r>
    </w:p>
    <w:p>
      <w:pPr>
        <w:shd w:val="clear"/>
        <w:spacing w:before="156" w:beforeLines="50" w:line="440" w:lineRule="exact"/>
        <w:ind w:left="460" w:leftChars="219"/>
        <w:rPr>
          <w:rFonts w:ascii="宋体" w:hAnsi="宋体" w:eastAsia="宋体" w:cs="宋体"/>
          <w:b/>
          <w:color w:val="auto"/>
          <w:sz w:val="24"/>
          <w:highlight w:val="none"/>
        </w:rPr>
      </w:pPr>
      <w:r>
        <w:rPr>
          <w:rFonts w:hint="eastAsia" w:ascii="宋体" w:hAnsi="宋体" w:eastAsia="宋体" w:cs="宋体"/>
          <w:bCs/>
          <w:color w:val="auto"/>
          <w:szCs w:val="21"/>
          <w:highlight w:val="none"/>
        </w:rPr>
        <w:t>日期：</w:t>
      </w:r>
      <w:r>
        <w:rPr>
          <w:rFonts w:hint="eastAsia" w:ascii="宋体" w:hAnsi="宋体" w:eastAsia="宋体" w:cs="宋体"/>
          <w:b/>
          <w:color w:val="auto"/>
          <w:sz w:val="24"/>
          <w:highlight w:val="none"/>
        </w:rPr>
        <w:br w:type="page"/>
      </w:r>
    </w:p>
    <w:p>
      <w:pPr>
        <w:shd w:val="clear"/>
        <w:jc w:val="center"/>
        <w:rPr>
          <w:rFonts w:ascii="宋体" w:hAnsi="宋体" w:eastAsia="宋体" w:cs="宋体"/>
          <w:b/>
          <w:color w:val="auto"/>
          <w:sz w:val="24"/>
          <w:highlight w:val="none"/>
        </w:rPr>
      </w:pPr>
      <w:bookmarkStart w:id="85" w:name="_Toc18442"/>
      <w:bookmarkStart w:id="86" w:name="_Toc15604"/>
      <w:bookmarkStart w:id="87" w:name="_Toc31740"/>
      <w:r>
        <w:rPr>
          <w:rFonts w:hint="eastAsia" w:ascii="宋体" w:hAnsi="宋体" w:eastAsia="宋体" w:cs="宋体"/>
          <w:b/>
          <w:color w:val="auto"/>
          <w:sz w:val="24"/>
          <w:highlight w:val="none"/>
        </w:rPr>
        <w:t>5-2 供应商“三证合一”的企业法人营业执照副本</w:t>
      </w:r>
      <w:bookmarkEnd w:id="85"/>
      <w:bookmarkEnd w:id="86"/>
      <w:bookmarkEnd w:id="87"/>
      <w:r>
        <w:rPr>
          <w:rFonts w:hint="eastAsia" w:ascii="宋体" w:hAnsi="宋体" w:eastAsia="宋体" w:cs="宋体"/>
          <w:b/>
          <w:color w:val="auto"/>
          <w:sz w:val="24"/>
          <w:highlight w:val="none"/>
        </w:rPr>
        <w:t>复印件</w:t>
      </w:r>
    </w:p>
    <w:p>
      <w:pPr>
        <w:shd w:val="clear"/>
        <w:jc w:val="left"/>
        <w:rPr>
          <w:rFonts w:ascii="宋体" w:hAnsi="宋体" w:eastAsia="宋体" w:cs="宋体"/>
          <w:color w:val="auto"/>
          <w:sz w:val="24"/>
          <w:highlight w:val="none"/>
        </w:rPr>
      </w:pPr>
    </w:p>
    <w:p>
      <w:pPr>
        <w:shd w:val="clear"/>
        <w:autoSpaceDE w:val="0"/>
        <w:autoSpaceDN w:val="0"/>
        <w:snapToGrid w:val="0"/>
        <w:spacing w:line="380" w:lineRule="exact"/>
        <w:rPr>
          <w:rFonts w:ascii="宋体" w:hAnsi="宋体" w:eastAsia="宋体" w:cs="宋体"/>
          <w:color w:val="auto"/>
          <w:highlight w:val="none"/>
        </w:rPr>
      </w:pPr>
      <w:r>
        <w:rPr>
          <w:rFonts w:hint="eastAsia" w:ascii="宋体" w:hAnsi="宋体" w:eastAsia="宋体" w:cs="宋体"/>
          <w:color w:val="auto"/>
          <w:highlight w:val="none"/>
        </w:rPr>
        <w:t>说明：</w:t>
      </w:r>
    </w:p>
    <w:p>
      <w:pPr>
        <w:shd w:val="clear"/>
        <w:autoSpaceDE w:val="0"/>
        <w:autoSpaceDN w:val="0"/>
        <w:snapToGrid w:val="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供应商是企业（包括合伙企业）的，应提供其在工商部门注册的有效“企业法人营业执照”或“营业执照”的复印件；</w:t>
      </w:r>
    </w:p>
    <w:p>
      <w:pPr>
        <w:shd w:val="clear"/>
        <w:autoSpaceDE w:val="0"/>
        <w:autoSpaceDN w:val="0"/>
        <w:snapToGrid w:val="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供应商是事业单位的，应提供其有效的“事业单位法人证书”复印件；</w:t>
      </w:r>
    </w:p>
    <w:p>
      <w:pPr>
        <w:shd w:val="clear"/>
        <w:autoSpaceDE w:val="0"/>
        <w:autoSpaceDN w:val="0"/>
        <w:snapToGrid w:val="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供应商是非企业专业服务机构的，应提供其有效的“执业许可证”复印件；</w:t>
      </w:r>
    </w:p>
    <w:p>
      <w:pPr>
        <w:shd w:val="clear"/>
        <w:autoSpaceDE w:val="0"/>
        <w:autoSpaceDN w:val="0"/>
        <w:snapToGrid w:val="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供应商是个体工商户的，应提供其有效的“个体工商户营业执照”复印件；</w:t>
      </w:r>
    </w:p>
    <w:p>
      <w:pPr>
        <w:shd w:val="clear"/>
        <w:autoSpaceDE w:val="0"/>
        <w:autoSpaceDN w:val="0"/>
        <w:snapToGrid w:val="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供应商是自然人的，应提供其有效的自然人身份证明复印件。</w:t>
      </w:r>
    </w:p>
    <w:p>
      <w:pPr>
        <w:shd w:val="clear"/>
        <w:jc w:val="left"/>
        <w:rPr>
          <w:rFonts w:ascii="宋体" w:hAnsi="宋体" w:eastAsia="宋体" w:cs="宋体"/>
          <w:color w:val="auto"/>
          <w:sz w:val="24"/>
          <w:highlight w:val="none"/>
        </w:rPr>
      </w:pPr>
    </w:p>
    <w:p>
      <w:pPr>
        <w:shd w:val="clear"/>
        <w:jc w:val="left"/>
        <w:rPr>
          <w:rFonts w:ascii="宋体" w:hAnsi="宋体" w:eastAsia="宋体" w:cs="宋体"/>
          <w:color w:val="auto"/>
          <w:sz w:val="24"/>
          <w:highlight w:val="none"/>
        </w:rPr>
      </w:pPr>
    </w:p>
    <w:p>
      <w:pPr>
        <w:shd w:val="clear"/>
        <w:tabs>
          <w:tab w:val="left" w:pos="993"/>
          <w:tab w:val="left" w:pos="1030"/>
          <w:tab w:val="left" w:pos="8364"/>
        </w:tabs>
        <w:snapToGrid w:val="0"/>
        <w:spacing w:after="156" w:afterLines="50"/>
        <w:ind w:right="-57" w:rightChars="-27"/>
        <w:jc w:val="left"/>
        <w:rPr>
          <w:rFonts w:ascii="宋体" w:hAnsi="宋体" w:cs="宋体"/>
          <w:b/>
          <w:color w:val="auto"/>
          <w:sz w:val="24"/>
          <w:highlight w:val="none"/>
        </w:rPr>
      </w:pPr>
      <w:bookmarkStart w:id="88" w:name="_Toc21548"/>
      <w:bookmarkStart w:id="89" w:name="_Toc21701"/>
      <w:bookmarkStart w:id="90" w:name="_Toc16787"/>
      <w:r>
        <w:rPr>
          <w:rFonts w:hint="eastAsia" w:ascii="宋体" w:hAnsi="宋体" w:eastAsia="宋体" w:cs="宋体"/>
          <w:b/>
          <w:color w:val="auto"/>
          <w:sz w:val="24"/>
          <w:highlight w:val="none"/>
        </w:rPr>
        <w:t xml:space="preserve">5-2  </w:t>
      </w:r>
      <w:bookmarkEnd w:id="88"/>
      <w:bookmarkEnd w:id="89"/>
      <w:bookmarkEnd w:id="90"/>
      <w:bookmarkStart w:id="91" w:name="_Toc24495"/>
      <w:bookmarkStart w:id="92" w:name="_Toc11031"/>
      <w:bookmarkStart w:id="93" w:name="_Toc29140"/>
      <w:r>
        <w:rPr>
          <w:rFonts w:hint="eastAsia" w:ascii="宋体" w:hAnsi="宋体" w:cs="宋体"/>
          <w:b/>
          <w:color w:val="auto"/>
          <w:sz w:val="24"/>
          <w:highlight w:val="none"/>
        </w:rPr>
        <w:t>承诺书</w:t>
      </w:r>
    </w:p>
    <w:p>
      <w:pPr>
        <w:shd w:val="clear"/>
        <w:rPr>
          <w:rFonts w:ascii="宋体" w:hAnsi="宋体" w:eastAsia="宋体" w:cs="宋体"/>
          <w:color w:val="auto"/>
          <w:kern w:val="0"/>
          <w:sz w:val="24"/>
          <w:highlight w:val="none"/>
          <w:u w:val="single"/>
        </w:rPr>
      </w:pPr>
    </w:p>
    <w:p>
      <w:pPr>
        <w:shd w:val="clea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(采购人名称)      ：</w:t>
      </w:r>
    </w:p>
    <w:p>
      <w:pPr>
        <w:shd w:val="clear"/>
        <w:ind w:firstLine="480"/>
        <w:rPr>
          <w:rFonts w:ascii="宋体" w:hAnsi="宋体" w:eastAsia="宋体" w:cs="宋体"/>
          <w:color w:val="auto"/>
          <w:kern w:val="0"/>
          <w:szCs w:val="21"/>
          <w:highlight w:val="none"/>
        </w:rPr>
      </w:pPr>
    </w:p>
    <w:p>
      <w:pPr>
        <w:shd w:val="clear"/>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我公司承诺满足《中华人民共和国政府采购法》第二十二条规定。</w:t>
      </w:r>
    </w:p>
    <w:p>
      <w:pPr>
        <w:shd w:val="clear"/>
        <w:ind w:firstLine="480"/>
        <w:rPr>
          <w:rFonts w:ascii="宋体" w:hAnsi="宋体" w:eastAsia="宋体" w:cs="宋体"/>
          <w:b/>
          <w:color w:val="auto"/>
          <w:szCs w:val="21"/>
          <w:highlight w:val="none"/>
        </w:rPr>
      </w:pPr>
    </w:p>
    <w:p>
      <w:pPr>
        <w:shd w:val="clear"/>
        <w:ind w:firstLine="480"/>
        <w:rPr>
          <w:rFonts w:ascii="宋体" w:hAnsi="宋体" w:eastAsia="宋体" w:cs="宋体"/>
          <w:b/>
          <w:color w:val="auto"/>
          <w:szCs w:val="21"/>
          <w:highlight w:val="none"/>
        </w:rPr>
      </w:pPr>
    </w:p>
    <w:p>
      <w:pPr>
        <w:shd w:val="clear"/>
        <w:ind w:firstLine="480"/>
        <w:rPr>
          <w:rFonts w:ascii="宋体" w:hAnsi="宋体" w:eastAsia="宋体" w:cs="宋体"/>
          <w:b/>
          <w:color w:val="auto"/>
          <w:szCs w:val="21"/>
          <w:highlight w:val="none"/>
        </w:rPr>
      </w:pPr>
    </w:p>
    <w:p>
      <w:pPr>
        <w:pStyle w:val="2"/>
        <w:shd w:val="clear"/>
        <w:tabs>
          <w:tab w:val="left" w:pos="1440"/>
        </w:tabs>
        <w:spacing w:before="312" w:after="312"/>
        <w:jc w:val="right"/>
        <w:rPr>
          <w:rFonts w:ascii="宋体" w:hAnsi="宋体" w:eastAsia="宋体" w:cs="宋体"/>
          <w:color w:val="auto"/>
          <w:sz w:val="21"/>
          <w:szCs w:val="21"/>
          <w:highlight w:val="none"/>
        </w:rPr>
      </w:pPr>
      <w:bookmarkStart w:id="94" w:name="_Toc5416"/>
      <w:r>
        <w:rPr>
          <w:rFonts w:hint="eastAsia" w:ascii="宋体" w:hAnsi="宋体" w:eastAsia="宋体" w:cs="宋体"/>
          <w:color w:val="auto"/>
          <w:sz w:val="21"/>
          <w:szCs w:val="21"/>
          <w:highlight w:val="none"/>
        </w:rPr>
        <w:t>供应商（盖章）：</w:t>
      </w:r>
      <w:bookmarkEnd w:id="94"/>
    </w:p>
    <w:p>
      <w:pPr>
        <w:pStyle w:val="2"/>
        <w:shd w:val="clear"/>
        <w:tabs>
          <w:tab w:val="left" w:pos="1440"/>
        </w:tabs>
        <w:spacing w:before="312" w:after="312"/>
        <w:jc w:val="right"/>
        <w:rPr>
          <w:rFonts w:ascii="宋体" w:hAnsi="宋体" w:eastAsia="宋体" w:cs="宋体"/>
          <w:color w:val="auto"/>
          <w:sz w:val="21"/>
          <w:szCs w:val="21"/>
          <w:highlight w:val="none"/>
        </w:rPr>
      </w:pPr>
      <w:bookmarkStart w:id="95" w:name="_Toc22656"/>
      <w:r>
        <w:rPr>
          <w:rFonts w:hint="eastAsia" w:ascii="宋体" w:hAnsi="宋体" w:eastAsia="宋体" w:cs="宋体"/>
          <w:color w:val="auto"/>
          <w:sz w:val="21"/>
          <w:szCs w:val="21"/>
          <w:highlight w:val="none"/>
        </w:rPr>
        <w:t>法定代表人或授权委托代理人（签字或盖章）：</w:t>
      </w:r>
      <w:bookmarkEnd w:id="95"/>
    </w:p>
    <w:p>
      <w:pPr>
        <w:pStyle w:val="2"/>
        <w:shd w:val="clear"/>
        <w:tabs>
          <w:tab w:val="left" w:pos="1440"/>
        </w:tabs>
        <w:spacing w:before="312" w:after="312"/>
        <w:jc w:val="right"/>
        <w:rPr>
          <w:rFonts w:ascii="宋体" w:hAnsi="宋体" w:eastAsia="宋体" w:cs="宋体"/>
          <w:color w:val="auto"/>
          <w:sz w:val="21"/>
          <w:szCs w:val="21"/>
          <w:highlight w:val="none"/>
        </w:rPr>
      </w:pPr>
      <w:bookmarkStart w:id="96" w:name="_Toc14954"/>
      <w:r>
        <w:rPr>
          <w:rFonts w:hint="eastAsia" w:ascii="宋体" w:hAnsi="宋体" w:eastAsia="宋体" w:cs="宋体"/>
          <w:color w:val="auto"/>
          <w:sz w:val="21"/>
          <w:szCs w:val="21"/>
          <w:highlight w:val="none"/>
        </w:rPr>
        <w:t>日期：</w:t>
      </w:r>
      <w:bookmarkEnd w:id="96"/>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rFonts w:ascii="宋体" w:hAnsi="宋体" w:eastAsia="宋体" w:cs="宋体"/>
          <w:color w:val="auto"/>
          <w:szCs w:val="21"/>
          <w:highlight w:val="none"/>
        </w:rPr>
      </w:pPr>
    </w:p>
    <w:p>
      <w:pPr>
        <w:pStyle w:val="9"/>
        <w:shd w:val="clear"/>
        <w:rPr>
          <w:rFonts w:ascii="宋体" w:hAnsi="宋体" w:eastAsia="宋体" w:cs="宋体"/>
          <w:color w:val="auto"/>
          <w:sz w:val="21"/>
          <w:szCs w:val="21"/>
          <w:highlight w:val="none"/>
        </w:rPr>
      </w:pPr>
    </w:p>
    <w:p>
      <w:pPr>
        <w:shd w:val="clear"/>
        <w:rPr>
          <w:color w:val="auto"/>
          <w:highlight w:val="none"/>
        </w:rPr>
      </w:pPr>
    </w:p>
    <w:bookmarkEnd w:id="91"/>
    <w:bookmarkEnd w:id="92"/>
    <w:bookmarkEnd w:id="93"/>
    <w:p>
      <w:pPr>
        <w:shd w:val="clear"/>
        <w:tabs>
          <w:tab w:val="left" w:pos="993"/>
          <w:tab w:val="left" w:pos="1030"/>
          <w:tab w:val="left" w:pos="8364"/>
        </w:tabs>
        <w:snapToGrid w:val="0"/>
        <w:spacing w:after="156" w:afterLines="50"/>
        <w:ind w:right="-57" w:rightChars="-27"/>
        <w:jc w:val="left"/>
        <w:rPr>
          <w:rFonts w:ascii="宋体" w:hAnsi="宋体" w:eastAsia="宋体" w:cs="宋体"/>
          <w:b/>
          <w:color w:val="auto"/>
          <w:kern w:val="0"/>
          <w:sz w:val="24"/>
          <w:highlight w:val="none"/>
        </w:rPr>
      </w:pPr>
      <w:bookmarkStart w:id="97" w:name="_Toc17455"/>
      <w:bookmarkStart w:id="98" w:name="_Toc14366"/>
      <w:bookmarkStart w:id="99" w:name="_Toc27325"/>
      <w:r>
        <w:rPr>
          <w:rFonts w:hint="eastAsia" w:ascii="宋体" w:hAnsi="宋体" w:eastAsia="宋体" w:cs="宋体"/>
          <w:b/>
          <w:color w:val="auto"/>
          <w:sz w:val="24"/>
          <w:highlight w:val="none"/>
        </w:rPr>
        <w:t xml:space="preserve">5-3  </w:t>
      </w:r>
      <w:bookmarkEnd w:id="97"/>
      <w:bookmarkEnd w:id="98"/>
      <w:bookmarkEnd w:id="99"/>
      <w:r>
        <w:rPr>
          <w:rFonts w:hint="eastAsia" w:ascii="宋体" w:hAnsi="宋体" w:eastAsia="宋体" w:cs="宋体"/>
          <w:b/>
          <w:color w:val="auto"/>
          <w:sz w:val="24"/>
          <w:highlight w:val="none"/>
        </w:rPr>
        <w:t>企业信誉承诺书</w:t>
      </w:r>
    </w:p>
    <w:p>
      <w:pPr>
        <w:shd w:val="clear"/>
        <w:ind w:firstLine="480"/>
        <w:rPr>
          <w:rFonts w:ascii="宋体" w:hAnsi="宋体" w:eastAsia="宋体" w:cs="宋体"/>
          <w:color w:val="auto"/>
          <w:kern w:val="0"/>
          <w:sz w:val="24"/>
          <w:highlight w:val="none"/>
        </w:rPr>
      </w:pPr>
    </w:p>
    <w:p>
      <w:pPr>
        <w:shd w:val="clear"/>
        <w:ind w:firstLine="480"/>
        <w:rPr>
          <w:rFonts w:ascii="宋体" w:hAnsi="宋体" w:eastAsia="宋体" w:cs="宋体"/>
          <w:color w:val="auto"/>
          <w:kern w:val="0"/>
          <w:sz w:val="24"/>
          <w:highlight w:val="none"/>
        </w:rPr>
      </w:pPr>
    </w:p>
    <w:p>
      <w:pPr>
        <w:shd w:val="clea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(采购人名称)      ：</w:t>
      </w:r>
    </w:p>
    <w:p>
      <w:pPr>
        <w:shd w:val="clear"/>
        <w:ind w:firstLine="480"/>
        <w:rPr>
          <w:rFonts w:ascii="宋体" w:hAnsi="宋体" w:eastAsia="宋体" w:cs="宋体"/>
          <w:color w:val="auto"/>
          <w:kern w:val="0"/>
          <w:szCs w:val="21"/>
          <w:highlight w:val="none"/>
        </w:rPr>
      </w:pPr>
    </w:p>
    <w:p>
      <w:pPr>
        <w:shd w:val="clear"/>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我公司承诺20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年1月1日至今，供应商没有处于被责令停业，投标资格被暂停或取消，财产被接管、冻结、破产等状态，无国家禁止市场准入等情形，未出现重大安全事故等情形，供应商信誉良好，无不良行为记录</w:t>
      </w:r>
    </w:p>
    <w:p>
      <w:pPr>
        <w:shd w:val="clear"/>
        <w:ind w:firstLine="480"/>
        <w:rPr>
          <w:rFonts w:ascii="宋体" w:hAnsi="宋体" w:eastAsia="宋体" w:cs="宋体"/>
          <w:b/>
          <w:color w:val="auto"/>
          <w:szCs w:val="21"/>
          <w:highlight w:val="none"/>
        </w:rPr>
      </w:pPr>
    </w:p>
    <w:p>
      <w:pPr>
        <w:pStyle w:val="2"/>
        <w:shd w:val="clear"/>
        <w:tabs>
          <w:tab w:val="left" w:pos="1440"/>
        </w:tabs>
        <w:spacing w:before="312" w:after="312"/>
        <w:jc w:val="right"/>
        <w:rPr>
          <w:rFonts w:ascii="宋体" w:hAnsi="宋体" w:eastAsia="宋体" w:cs="宋体"/>
          <w:color w:val="auto"/>
          <w:sz w:val="21"/>
          <w:szCs w:val="21"/>
          <w:highlight w:val="none"/>
        </w:rPr>
      </w:pPr>
      <w:bookmarkStart w:id="100" w:name="_Toc25779"/>
      <w:bookmarkStart w:id="101" w:name="_Toc1995"/>
      <w:bookmarkStart w:id="102" w:name="_Toc28538"/>
      <w:r>
        <w:rPr>
          <w:rFonts w:hint="eastAsia" w:ascii="宋体" w:hAnsi="宋体" w:eastAsia="宋体" w:cs="宋体"/>
          <w:color w:val="auto"/>
          <w:sz w:val="21"/>
          <w:szCs w:val="21"/>
          <w:highlight w:val="none"/>
        </w:rPr>
        <w:t>供应商（盖章）：</w:t>
      </w:r>
      <w:bookmarkEnd w:id="100"/>
      <w:bookmarkEnd w:id="101"/>
      <w:bookmarkEnd w:id="102"/>
    </w:p>
    <w:p>
      <w:pPr>
        <w:pStyle w:val="2"/>
        <w:shd w:val="clear"/>
        <w:tabs>
          <w:tab w:val="left" w:pos="1440"/>
        </w:tabs>
        <w:spacing w:before="312" w:after="312"/>
        <w:jc w:val="right"/>
        <w:rPr>
          <w:rFonts w:ascii="宋体" w:hAnsi="宋体" w:eastAsia="宋体" w:cs="宋体"/>
          <w:color w:val="auto"/>
          <w:sz w:val="21"/>
          <w:szCs w:val="21"/>
          <w:highlight w:val="none"/>
        </w:rPr>
      </w:pPr>
      <w:bookmarkStart w:id="103" w:name="_Toc8575"/>
      <w:bookmarkStart w:id="104" w:name="_Toc7715"/>
      <w:bookmarkStart w:id="105" w:name="_Toc10939"/>
      <w:r>
        <w:rPr>
          <w:rFonts w:hint="eastAsia" w:ascii="宋体" w:hAnsi="宋体" w:eastAsia="宋体" w:cs="宋体"/>
          <w:color w:val="auto"/>
          <w:sz w:val="21"/>
          <w:szCs w:val="21"/>
          <w:highlight w:val="none"/>
        </w:rPr>
        <w:t>法定代表人或授权委托代理人（签字或盖章）：</w:t>
      </w:r>
      <w:bookmarkEnd w:id="103"/>
      <w:bookmarkEnd w:id="104"/>
      <w:bookmarkEnd w:id="105"/>
    </w:p>
    <w:p>
      <w:pPr>
        <w:pStyle w:val="2"/>
        <w:shd w:val="clear"/>
        <w:tabs>
          <w:tab w:val="left" w:pos="1440"/>
        </w:tabs>
        <w:spacing w:before="312" w:after="312"/>
        <w:jc w:val="right"/>
        <w:rPr>
          <w:rFonts w:ascii="宋体" w:hAnsi="宋体" w:eastAsia="宋体" w:cs="宋体"/>
          <w:color w:val="auto"/>
          <w:sz w:val="21"/>
          <w:szCs w:val="21"/>
          <w:highlight w:val="none"/>
        </w:rPr>
      </w:pPr>
      <w:bookmarkStart w:id="106" w:name="_Toc14865"/>
      <w:bookmarkStart w:id="107" w:name="_Toc20701"/>
      <w:bookmarkStart w:id="108" w:name="_Toc32072"/>
      <w:r>
        <w:rPr>
          <w:rFonts w:hint="eastAsia" w:ascii="宋体" w:hAnsi="宋体" w:eastAsia="宋体" w:cs="宋体"/>
          <w:color w:val="auto"/>
          <w:sz w:val="21"/>
          <w:szCs w:val="21"/>
          <w:highlight w:val="none"/>
        </w:rPr>
        <w:t>日期：</w:t>
      </w:r>
      <w:bookmarkEnd w:id="106"/>
      <w:bookmarkEnd w:id="107"/>
      <w:bookmarkEnd w:id="108"/>
    </w:p>
    <w:p>
      <w:pPr>
        <w:shd w:val="clear"/>
        <w:tabs>
          <w:tab w:val="left" w:pos="993"/>
          <w:tab w:val="left" w:pos="1030"/>
          <w:tab w:val="left" w:pos="8364"/>
        </w:tabs>
        <w:snapToGrid w:val="0"/>
        <w:spacing w:after="156" w:afterLines="50"/>
        <w:ind w:right="-57" w:rightChars="-27"/>
        <w:jc w:val="left"/>
        <w:outlineLvl w:val="2"/>
        <w:rPr>
          <w:rFonts w:ascii="宋体" w:hAnsi="宋体" w:cs="宋体"/>
          <w:b/>
          <w:color w:val="auto"/>
          <w:sz w:val="24"/>
          <w:highlight w:val="none"/>
        </w:rPr>
      </w:pPr>
      <w:bookmarkStart w:id="109" w:name="_Toc9198"/>
      <w:r>
        <w:rPr>
          <w:rFonts w:hint="eastAsia" w:ascii="宋体" w:hAnsi="宋体" w:cs="宋体"/>
          <w:b/>
          <w:color w:val="auto"/>
          <w:sz w:val="24"/>
          <w:highlight w:val="none"/>
        </w:rPr>
        <w:t>5-4 利害关系声明函</w:t>
      </w:r>
      <w:bookmarkEnd w:id="109"/>
    </w:p>
    <w:p>
      <w:pPr>
        <w:pStyle w:val="46"/>
        <w:shd w:val="clear"/>
        <w:ind w:firstLine="420"/>
        <w:rPr>
          <w:color w:val="auto"/>
          <w:highlight w:val="none"/>
        </w:rPr>
      </w:pPr>
    </w:p>
    <w:p>
      <w:pPr>
        <w:shd w:val="clear"/>
        <w:jc w:val="center"/>
        <w:outlineLvl w:val="0"/>
        <w:rPr>
          <w:rFonts w:ascii="宋体" w:hAnsi="宋体" w:eastAsia="宋体" w:cs="宋体"/>
          <w:b/>
          <w:color w:val="auto"/>
          <w:sz w:val="24"/>
          <w:highlight w:val="none"/>
        </w:rPr>
      </w:pPr>
      <w:bookmarkStart w:id="110" w:name="_Toc24316"/>
      <w:bookmarkStart w:id="111" w:name="_Toc9197"/>
      <w:bookmarkStart w:id="112" w:name="_Toc31540"/>
      <w:r>
        <w:rPr>
          <w:rFonts w:hint="eastAsia" w:ascii="宋体" w:hAnsi="宋体" w:eastAsia="宋体" w:cs="宋体"/>
          <w:b/>
          <w:color w:val="auto"/>
          <w:sz w:val="24"/>
          <w:highlight w:val="none"/>
        </w:rPr>
        <w:t>声明函</w:t>
      </w:r>
      <w:bookmarkEnd w:id="110"/>
      <w:bookmarkEnd w:id="111"/>
      <w:bookmarkEnd w:id="112"/>
    </w:p>
    <w:p>
      <w:pPr>
        <w:shd w:val="clear"/>
        <w:jc w:val="center"/>
        <w:rPr>
          <w:rFonts w:ascii="宋体" w:hAnsi="宋体" w:eastAsia="宋体" w:cs="宋体"/>
          <w:color w:val="auto"/>
          <w:sz w:val="24"/>
          <w:highlight w:val="none"/>
        </w:rPr>
      </w:pPr>
    </w:p>
    <w:p>
      <w:pPr>
        <w:shd w:val="clear"/>
        <w:tabs>
          <w:tab w:val="left" w:pos="5580"/>
        </w:tabs>
        <w:spacing w:before="12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（采购人）  </w:t>
      </w:r>
    </w:p>
    <w:p>
      <w:pPr>
        <w:shd w:val="clear"/>
        <w:tabs>
          <w:tab w:val="left" w:pos="5580"/>
        </w:tabs>
        <w:spacing w:before="120" w:line="360" w:lineRule="auto"/>
        <w:ind w:firstLine="420" w:firstLineChars="200"/>
        <w:rPr>
          <w:rFonts w:ascii="宋体" w:hAnsi="宋体" w:eastAsia="宋体" w:cs="宋体"/>
          <w:color w:val="auto"/>
          <w:szCs w:val="21"/>
          <w:highlight w:val="none"/>
        </w:rPr>
      </w:pPr>
    </w:p>
    <w:p>
      <w:pPr>
        <w:shd w:val="clear"/>
        <w:tabs>
          <w:tab w:val="left" w:pos="5580"/>
        </w:tabs>
        <w:spacing w:before="120"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我单位承诺，没有</w:t>
      </w:r>
      <w:r>
        <w:rPr>
          <w:rFonts w:hint="eastAsia" w:ascii="宋体" w:hAnsi="宋体" w:eastAsia="宋体" w:cs="宋体"/>
          <w:color w:val="auto"/>
          <w:szCs w:val="21"/>
          <w:highlight w:val="none"/>
        </w:rPr>
        <w:t>与招标人存在利害关系可能影响招标公正性的法人、其他组织或者个人，参加投标；单位负责人为同一人或者存在控股、管理关系的不同单位，参加同一标段投标或者未划分标段的同一招标项目投标</w:t>
      </w:r>
      <w:r>
        <w:rPr>
          <w:rFonts w:hint="eastAsia" w:ascii="宋体" w:hAnsi="宋体" w:cs="宋体"/>
          <w:color w:val="auto"/>
          <w:szCs w:val="21"/>
          <w:highlight w:val="none"/>
        </w:rPr>
        <w:t>的情形</w:t>
      </w:r>
      <w:r>
        <w:rPr>
          <w:rFonts w:hint="eastAsia" w:ascii="宋体" w:hAnsi="宋体" w:eastAsia="宋体" w:cs="宋体"/>
          <w:color w:val="auto"/>
          <w:szCs w:val="21"/>
          <w:highlight w:val="none"/>
        </w:rPr>
        <w:t>。</w:t>
      </w:r>
    </w:p>
    <w:p>
      <w:pPr>
        <w:shd w:val="clear"/>
        <w:tabs>
          <w:tab w:val="left" w:pos="5580"/>
        </w:tabs>
        <w:spacing w:before="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如发现我单位提供的声明函不实时，我单位将按照《政府采购法》有关提供虚假材料的规定，接受处罚。</w:t>
      </w:r>
    </w:p>
    <w:p>
      <w:pPr>
        <w:shd w:val="clear"/>
        <w:tabs>
          <w:tab w:val="left" w:pos="5580"/>
        </w:tabs>
        <w:spacing w:before="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shd w:val="clear"/>
        <w:tabs>
          <w:tab w:val="left" w:pos="5580"/>
        </w:tabs>
        <w:spacing w:before="120" w:line="360" w:lineRule="auto"/>
        <w:ind w:firstLine="480" w:firstLineChars="200"/>
        <w:rPr>
          <w:rFonts w:ascii="宋体" w:hAnsi="宋体" w:eastAsia="宋体" w:cs="宋体"/>
          <w:color w:val="auto"/>
          <w:sz w:val="24"/>
          <w:highlight w:val="none"/>
        </w:rPr>
      </w:pPr>
    </w:p>
    <w:p>
      <w:pPr>
        <w:pStyle w:val="48"/>
        <w:shd w:val="clear"/>
        <w:spacing w:line="360" w:lineRule="auto"/>
        <w:ind w:firstLine="420"/>
        <w:jc w:val="right"/>
        <w:rPr>
          <w:rFonts w:hAnsi="宋体" w:eastAsia="宋体" w:cs="宋体"/>
          <w:color w:val="auto"/>
          <w:sz w:val="21"/>
          <w:szCs w:val="21"/>
          <w:highlight w:val="none"/>
        </w:rPr>
      </w:pPr>
      <w:r>
        <w:rPr>
          <w:rFonts w:hint="eastAsia" w:hAnsi="宋体" w:eastAsia="宋体" w:cs="宋体"/>
          <w:color w:val="auto"/>
          <w:sz w:val="21"/>
          <w:szCs w:val="21"/>
          <w:highlight w:val="none"/>
        </w:rPr>
        <w:t>供应商（盖章）：</w:t>
      </w:r>
    </w:p>
    <w:p>
      <w:pPr>
        <w:pStyle w:val="48"/>
        <w:shd w:val="clear"/>
        <w:spacing w:line="360" w:lineRule="auto"/>
        <w:ind w:firstLine="420"/>
        <w:jc w:val="right"/>
        <w:rPr>
          <w:rFonts w:hAnsi="宋体" w:eastAsia="宋体" w:cs="宋体"/>
          <w:color w:val="auto"/>
          <w:sz w:val="21"/>
          <w:szCs w:val="21"/>
          <w:highlight w:val="none"/>
        </w:rPr>
      </w:pPr>
      <w:r>
        <w:rPr>
          <w:rFonts w:hint="eastAsia" w:hAnsi="宋体" w:eastAsia="宋体" w:cs="宋体"/>
          <w:color w:val="auto"/>
          <w:sz w:val="21"/>
          <w:szCs w:val="21"/>
          <w:highlight w:val="none"/>
        </w:rPr>
        <w:t>法定代表人或授权委托代理人（签字或盖章）：</w:t>
      </w:r>
    </w:p>
    <w:p>
      <w:pPr>
        <w:pStyle w:val="48"/>
        <w:shd w:val="clear"/>
        <w:spacing w:line="360" w:lineRule="auto"/>
        <w:ind w:firstLine="420"/>
        <w:jc w:val="right"/>
        <w:rPr>
          <w:rFonts w:hAnsi="宋体" w:eastAsia="宋体" w:cs="宋体"/>
          <w:color w:val="auto"/>
          <w:sz w:val="24"/>
          <w:highlight w:val="none"/>
          <w:u w:val="single"/>
        </w:rPr>
      </w:pPr>
      <w:r>
        <w:rPr>
          <w:rFonts w:hint="eastAsia" w:hAnsi="宋体" w:eastAsia="宋体" w:cs="宋体"/>
          <w:color w:val="auto"/>
          <w:sz w:val="21"/>
          <w:szCs w:val="21"/>
          <w:highlight w:val="none"/>
        </w:rPr>
        <w:t>日期：</w:t>
      </w:r>
      <w:r>
        <w:rPr>
          <w:rFonts w:hint="eastAsia" w:hAnsi="宋体" w:eastAsia="宋体" w:cs="宋体"/>
          <w:color w:val="auto"/>
          <w:sz w:val="24"/>
          <w:highlight w:val="none"/>
          <w:u w:val="single"/>
        </w:rPr>
        <w:br w:type="page"/>
      </w:r>
    </w:p>
    <w:p>
      <w:pPr>
        <w:pStyle w:val="4"/>
        <w:shd w:val="clear"/>
        <w:jc w:val="center"/>
        <w:rPr>
          <w:color w:val="auto"/>
          <w:highlight w:val="none"/>
        </w:rPr>
      </w:pPr>
      <w:bookmarkStart w:id="113" w:name="_Toc8781"/>
      <w:r>
        <w:rPr>
          <w:rFonts w:hint="eastAsia"/>
          <w:color w:val="auto"/>
          <w:highlight w:val="none"/>
        </w:rPr>
        <w:t>5-5 近年的类似项目情况表</w:t>
      </w:r>
      <w:bookmarkEnd w:id="113"/>
    </w:p>
    <w:tbl>
      <w:tblPr>
        <w:tblStyle w:val="2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83"/>
        <w:gridCol w:w="1525"/>
        <w:gridCol w:w="2344"/>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57"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2383" w:type="dxa"/>
            <w:vAlign w:val="center"/>
          </w:tcPr>
          <w:p>
            <w:pPr>
              <w:shd w:val="clear"/>
              <w:jc w:val="center"/>
              <w:rPr>
                <w:rFonts w:ascii="宋体" w:hAnsi="宋体" w:eastAsia="宋体" w:cs="宋体"/>
                <w:color w:val="auto"/>
                <w:szCs w:val="21"/>
                <w:highlight w:val="none"/>
              </w:rPr>
            </w:pPr>
            <w:r>
              <w:rPr>
                <w:rFonts w:hint="eastAsia" w:ascii="宋体" w:hAnsi="宋体" w:cs="宋体"/>
                <w:color w:val="auto"/>
                <w:szCs w:val="21"/>
                <w:highlight w:val="none"/>
              </w:rPr>
              <w:t>合同名称</w:t>
            </w:r>
          </w:p>
        </w:tc>
        <w:tc>
          <w:tcPr>
            <w:tcW w:w="152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合同总价</w:t>
            </w:r>
          </w:p>
        </w:tc>
        <w:tc>
          <w:tcPr>
            <w:tcW w:w="2344"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使用单位名称</w:t>
            </w:r>
          </w:p>
        </w:tc>
        <w:tc>
          <w:tcPr>
            <w:tcW w:w="2208"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使用单位联系人及电话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7"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  年</w:t>
            </w:r>
          </w:p>
        </w:tc>
        <w:tc>
          <w:tcPr>
            <w:tcW w:w="2383" w:type="dxa"/>
            <w:vAlign w:val="center"/>
          </w:tcPr>
          <w:p>
            <w:pPr>
              <w:shd w:val="clear"/>
              <w:jc w:val="center"/>
              <w:rPr>
                <w:rFonts w:ascii="宋体" w:hAnsi="宋体" w:eastAsia="宋体" w:cs="宋体"/>
                <w:color w:val="auto"/>
                <w:szCs w:val="21"/>
                <w:highlight w:val="none"/>
              </w:rPr>
            </w:pPr>
          </w:p>
        </w:tc>
        <w:tc>
          <w:tcPr>
            <w:tcW w:w="1525" w:type="dxa"/>
            <w:vAlign w:val="center"/>
          </w:tcPr>
          <w:p>
            <w:pPr>
              <w:shd w:val="clear"/>
              <w:jc w:val="center"/>
              <w:rPr>
                <w:rFonts w:ascii="宋体" w:hAnsi="宋体" w:eastAsia="宋体" w:cs="宋体"/>
                <w:color w:val="auto"/>
                <w:szCs w:val="21"/>
                <w:highlight w:val="none"/>
              </w:rPr>
            </w:pPr>
          </w:p>
        </w:tc>
        <w:tc>
          <w:tcPr>
            <w:tcW w:w="2344" w:type="dxa"/>
            <w:vAlign w:val="center"/>
          </w:tcPr>
          <w:p>
            <w:pPr>
              <w:shd w:val="clear"/>
              <w:jc w:val="center"/>
              <w:rPr>
                <w:rFonts w:ascii="宋体" w:hAnsi="宋体" w:eastAsia="宋体" w:cs="宋体"/>
                <w:color w:val="auto"/>
                <w:szCs w:val="21"/>
                <w:highlight w:val="none"/>
              </w:rPr>
            </w:pPr>
          </w:p>
        </w:tc>
        <w:tc>
          <w:tcPr>
            <w:tcW w:w="2208" w:type="dxa"/>
            <w:vAlign w:val="center"/>
          </w:tcPr>
          <w:p>
            <w:pPr>
              <w:shd w:val="clea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7" w:type="dxa"/>
            <w:vAlign w:val="center"/>
          </w:tcPr>
          <w:p>
            <w:pPr>
              <w:shd w:val="clear"/>
              <w:jc w:val="center"/>
              <w:rPr>
                <w:rFonts w:ascii="宋体" w:hAnsi="宋体" w:eastAsia="宋体" w:cs="宋体"/>
                <w:color w:val="auto"/>
                <w:szCs w:val="21"/>
                <w:highlight w:val="none"/>
              </w:rPr>
            </w:pPr>
          </w:p>
        </w:tc>
        <w:tc>
          <w:tcPr>
            <w:tcW w:w="2383" w:type="dxa"/>
            <w:vAlign w:val="center"/>
          </w:tcPr>
          <w:p>
            <w:pPr>
              <w:shd w:val="clear"/>
              <w:jc w:val="center"/>
              <w:rPr>
                <w:rFonts w:ascii="宋体" w:hAnsi="宋体" w:eastAsia="宋体" w:cs="宋体"/>
                <w:color w:val="auto"/>
                <w:szCs w:val="21"/>
                <w:highlight w:val="none"/>
              </w:rPr>
            </w:pPr>
          </w:p>
        </w:tc>
        <w:tc>
          <w:tcPr>
            <w:tcW w:w="1525" w:type="dxa"/>
            <w:vAlign w:val="center"/>
          </w:tcPr>
          <w:p>
            <w:pPr>
              <w:shd w:val="clear"/>
              <w:jc w:val="center"/>
              <w:rPr>
                <w:rFonts w:ascii="宋体" w:hAnsi="宋体" w:eastAsia="宋体" w:cs="宋体"/>
                <w:color w:val="auto"/>
                <w:szCs w:val="21"/>
                <w:highlight w:val="none"/>
              </w:rPr>
            </w:pPr>
          </w:p>
        </w:tc>
        <w:tc>
          <w:tcPr>
            <w:tcW w:w="2344" w:type="dxa"/>
            <w:vAlign w:val="center"/>
          </w:tcPr>
          <w:p>
            <w:pPr>
              <w:shd w:val="clear"/>
              <w:jc w:val="center"/>
              <w:rPr>
                <w:rFonts w:ascii="宋体" w:hAnsi="宋体" w:eastAsia="宋体" w:cs="宋体"/>
                <w:color w:val="auto"/>
                <w:szCs w:val="21"/>
                <w:highlight w:val="none"/>
              </w:rPr>
            </w:pPr>
          </w:p>
        </w:tc>
        <w:tc>
          <w:tcPr>
            <w:tcW w:w="2208" w:type="dxa"/>
            <w:vAlign w:val="center"/>
          </w:tcPr>
          <w:p>
            <w:pPr>
              <w:shd w:val="clea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7"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  年</w:t>
            </w:r>
          </w:p>
        </w:tc>
        <w:tc>
          <w:tcPr>
            <w:tcW w:w="2383" w:type="dxa"/>
            <w:vAlign w:val="center"/>
          </w:tcPr>
          <w:p>
            <w:pPr>
              <w:shd w:val="clear"/>
              <w:jc w:val="center"/>
              <w:rPr>
                <w:rFonts w:ascii="宋体" w:hAnsi="宋体" w:eastAsia="宋体" w:cs="宋体"/>
                <w:color w:val="auto"/>
                <w:szCs w:val="21"/>
                <w:highlight w:val="none"/>
              </w:rPr>
            </w:pPr>
          </w:p>
        </w:tc>
        <w:tc>
          <w:tcPr>
            <w:tcW w:w="1525" w:type="dxa"/>
            <w:vAlign w:val="center"/>
          </w:tcPr>
          <w:p>
            <w:pPr>
              <w:shd w:val="clear"/>
              <w:jc w:val="center"/>
              <w:rPr>
                <w:rFonts w:ascii="宋体" w:hAnsi="宋体" w:eastAsia="宋体" w:cs="宋体"/>
                <w:color w:val="auto"/>
                <w:szCs w:val="21"/>
                <w:highlight w:val="none"/>
              </w:rPr>
            </w:pPr>
          </w:p>
        </w:tc>
        <w:tc>
          <w:tcPr>
            <w:tcW w:w="2344" w:type="dxa"/>
            <w:vAlign w:val="center"/>
          </w:tcPr>
          <w:p>
            <w:pPr>
              <w:shd w:val="clear"/>
              <w:jc w:val="center"/>
              <w:rPr>
                <w:rFonts w:ascii="宋体" w:hAnsi="宋体" w:eastAsia="宋体" w:cs="宋体"/>
                <w:color w:val="auto"/>
                <w:szCs w:val="21"/>
                <w:highlight w:val="none"/>
              </w:rPr>
            </w:pPr>
          </w:p>
        </w:tc>
        <w:tc>
          <w:tcPr>
            <w:tcW w:w="2208" w:type="dxa"/>
            <w:vAlign w:val="center"/>
          </w:tcPr>
          <w:p>
            <w:pPr>
              <w:shd w:val="clea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7" w:type="dxa"/>
            <w:vAlign w:val="center"/>
          </w:tcPr>
          <w:p>
            <w:pPr>
              <w:shd w:val="clear"/>
              <w:jc w:val="center"/>
              <w:rPr>
                <w:rFonts w:ascii="宋体" w:hAnsi="宋体" w:eastAsia="宋体" w:cs="宋体"/>
                <w:color w:val="auto"/>
                <w:szCs w:val="21"/>
                <w:highlight w:val="none"/>
              </w:rPr>
            </w:pPr>
          </w:p>
        </w:tc>
        <w:tc>
          <w:tcPr>
            <w:tcW w:w="2383" w:type="dxa"/>
            <w:vAlign w:val="center"/>
          </w:tcPr>
          <w:p>
            <w:pPr>
              <w:shd w:val="clear"/>
              <w:jc w:val="center"/>
              <w:rPr>
                <w:rFonts w:ascii="宋体" w:hAnsi="宋体" w:eastAsia="宋体" w:cs="宋体"/>
                <w:color w:val="auto"/>
                <w:szCs w:val="21"/>
                <w:highlight w:val="none"/>
              </w:rPr>
            </w:pPr>
          </w:p>
        </w:tc>
        <w:tc>
          <w:tcPr>
            <w:tcW w:w="1525" w:type="dxa"/>
            <w:vAlign w:val="center"/>
          </w:tcPr>
          <w:p>
            <w:pPr>
              <w:shd w:val="clear"/>
              <w:jc w:val="center"/>
              <w:rPr>
                <w:rFonts w:ascii="宋体" w:hAnsi="宋体" w:eastAsia="宋体" w:cs="宋体"/>
                <w:color w:val="auto"/>
                <w:szCs w:val="21"/>
                <w:highlight w:val="none"/>
              </w:rPr>
            </w:pPr>
          </w:p>
        </w:tc>
        <w:tc>
          <w:tcPr>
            <w:tcW w:w="2344" w:type="dxa"/>
            <w:vAlign w:val="center"/>
          </w:tcPr>
          <w:p>
            <w:pPr>
              <w:shd w:val="clear"/>
              <w:jc w:val="center"/>
              <w:rPr>
                <w:rFonts w:ascii="宋体" w:hAnsi="宋体" w:eastAsia="宋体" w:cs="宋体"/>
                <w:color w:val="auto"/>
                <w:szCs w:val="21"/>
                <w:highlight w:val="none"/>
              </w:rPr>
            </w:pPr>
          </w:p>
        </w:tc>
        <w:tc>
          <w:tcPr>
            <w:tcW w:w="2208" w:type="dxa"/>
            <w:vAlign w:val="center"/>
          </w:tcPr>
          <w:p>
            <w:pPr>
              <w:shd w:val="clea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57"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  年</w:t>
            </w:r>
          </w:p>
        </w:tc>
        <w:tc>
          <w:tcPr>
            <w:tcW w:w="2383" w:type="dxa"/>
            <w:vAlign w:val="center"/>
          </w:tcPr>
          <w:p>
            <w:pPr>
              <w:shd w:val="clear"/>
              <w:jc w:val="center"/>
              <w:rPr>
                <w:rFonts w:ascii="宋体" w:hAnsi="宋体" w:eastAsia="宋体" w:cs="宋体"/>
                <w:color w:val="auto"/>
                <w:szCs w:val="21"/>
                <w:highlight w:val="none"/>
              </w:rPr>
            </w:pPr>
          </w:p>
        </w:tc>
        <w:tc>
          <w:tcPr>
            <w:tcW w:w="1525" w:type="dxa"/>
            <w:vAlign w:val="center"/>
          </w:tcPr>
          <w:p>
            <w:pPr>
              <w:shd w:val="clear"/>
              <w:jc w:val="center"/>
              <w:rPr>
                <w:rFonts w:ascii="宋体" w:hAnsi="宋体" w:eastAsia="宋体" w:cs="宋体"/>
                <w:color w:val="auto"/>
                <w:szCs w:val="21"/>
                <w:highlight w:val="none"/>
              </w:rPr>
            </w:pPr>
          </w:p>
        </w:tc>
        <w:tc>
          <w:tcPr>
            <w:tcW w:w="2344" w:type="dxa"/>
            <w:vAlign w:val="center"/>
          </w:tcPr>
          <w:p>
            <w:pPr>
              <w:shd w:val="clear"/>
              <w:jc w:val="center"/>
              <w:rPr>
                <w:rFonts w:ascii="宋体" w:hAnsi="宋体" w:eastAsia="宋体" w:cs="宋体"/>
                <w:color w:val="auto"/>
                <w:szCs w:val="21"/>
                <w:highlight w:val="none"/>
              </w:rPr>
            </w:pPr>
          </w:p>
        </w:tc>
        <w:tc>
          <w:tcPr>
            <w:tcW w:w="2208" w:type="dxa"/>
            <w:vAlign w:val="center"/>
          </w:tcPr>
          <w:p>
            <w:pPr>
              <w:shd w:val="clear"/>
              <w:jc w:val="center"/>
              <w:rPr>
                <w:rFonts w:ascii="宋体" w:hAnsi="宋体" w:eastAsia="宋体" w:cs="宋体"/>
                <w:color w:val="auto"/>
                <w:szCs w:val="21"/>
                <w:highlight w:val="none"/>
              </w:rPr>
            </w:pPr>
          </w:p>
        </w:tc>
      </w:tr>
    </w:tbl>
    <w:p>
      <w:pPr>
        <w:shd w:val="clear"/>
        <w:jc w:val="center"/>
        <w:rPr>
          <w:rFonts w:ascii="宋体" w:hAnsi="宋体" w:cs="宋体"/>
          <w:color w:val="auto"/>
          <w:szCs w:val="21"/>
          <w:highlight w:val="none"/>
        </w:rPr>
      </w:pPr>
      <w:r>
        <w:rPr>
          <w:rFonts w:hint="eastAsia" w:ascii="宋体" w:hAnsi="宋体" w:cs="宋体"/>
          <w:color w:val="auto"/>
          <w:szCs w:val="21"/>
          <w:highlight w:val="none"/>
        </w:rPr>
        <w:t>此表后附供应商证明文件（供应商需提供中标通知书或合同复印件）</w:t>
      </w:r>
    </w:p>
    <w:p>
      <w:pPr>
        <w:pStyle w:val="12"/>
        <w:shd w:val="clear"/>
        <w:rPr>
          <w:rFonts w:ascii="宋体" w:hAnsi="宋体" w:cs="宋体"/>
          <w:color w:val="auto"/>
          <w:szCs w:val="21"/>
          <w:highlight w:val="none"/>
        </w:rPr>
      </w:pPr>
    </w:p>
    <w:p>
      <w:pPr>
        <w:pStyle w:val="13"/>
        <w:shd w:val="clear"/>
        <w:ind w:firstLine="420"/>
        <w:rPr>
          <w:rFonts w:ascii="宋体" w:hAnsi="宋体" w:cs="宋体"/>
          <w:color w:val="auto"/>
          <w:sz w:val="21"/>
          <w:szCs w:val="21"/>
          <w:highlight w:val="none"/>
        </w:rPr>
      </w:pPr>
    </w:p>
    <w:p>
      <w:pPr>
        <w:shd w:val="clear"/>
        <w:rPr>
          <w:rFonts w:ascii="宋体" w:hAnsi="宋体" w:cs="宋体"/>
          <w:color w:val="auto"/>
          <w:szCs w:val="21"/>
          <w:highlight w:val="none"/>
        </w:rPr>
      </w:pPr>
    </w:p>
    <w:p>
      <w:pPr>
        <w:pStyle w:val="4"/>
        <w:shd w:val="clear"/>
        <w:jc w:val="center"/>
        <w:rPr>
          <w:color w:val="auto"/>
          <w:highlight w:val="none"/>
        </w:rPr>
      </w:pPr>
      <w:r>
        <w:rPr>
          <w:rFonts w:hint="eastAsia"/>
          <w:color w:val="auto"/>
          <w:highlight w:val="none"/>
        </w:rPr>
        <w:t>5-6 相关资质</w:t>
      </w:r>
    </w:p>
    <w:p>
      <w:pPr>
        <w:pStyle w:val="28"/>
        <w:shd w:val="clear"/>
        <w:spacing w:before="0" w:beforeAutospacing="0" w:after="0" w:afterAutospacing="0"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如果是代理商或经销商，须提供医疗器械经营许可证/备案，所投产品制造商医疗器械生产许可证（制造商工商注册地在中华人民共和国境外的，不做此要求）、所投产品的医疗器械注册证及附件；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果是制造商，须提供医疗器械生产许可证（制造商工商注册地在中华人民共和国境外的，不做此要求）、所投产品的医疗器械注册证及附件。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p>
    <w:p>
      <w:pPr>
        <w:pStyle w:val="13"/>
        <w:shd w:val="clear"/>
        <w:ind w:firstLine="480"/>
        <w:rPr>
          <w:color w:val="auto"/>
          <w:highlight w:val="none"/>
        </w:rPr>
      </w:pPr>
    </w:p>
    <w:p>
      <w:pPr>
        <w:shd w:val="clear"/>
        <w:rPr>
          <w:rFonts w:hint="eastAsia"/>
          <w:color w:val="auto"/>
          <w:highlight w:val="none"/>
        </w:rPr>
      </w:pPr>
      <w:r>
        <w:rPr>
          <w:rFonts w:hint="eastAsia"/>
          <w:color w:val="auto"/>
          <w:highlight w:val="none"/>
        </w:rPr>
        <w:t>提供复印件</w:t>
      </w:r>
    </w:p>
    <w:p>
      <w:pPr>
        <w:pStyle w:val="3"/>
        <w:shd w:val="clear"/>
        <w:spacing w:before="156" w:after="156"/>
        <w:jc w:val="center"/>
        <w:rPr>
          <w:color w:val="auto"/>
          <w:highlight w:val="none"/>
        </w:rPr>
      </w:pPr>
      <w:bookmarkStart w:id="114" w:name="_Toc13445"/>
      <w:r>
        <w:rPr>
          <w:rFonts w:hint="eastAsia"/>
          <w:color w:val="auto"/>
          <w:highlight w:val="none"/>
        </w:rPr>
        <w:t>六、响应方案</w:t>
      </w:r>
      <w:bookmarkEnd w:id="114"/>
    </w:p>
    <w:p>
      <w:pPr>
        <w:shd w:val="clear"/>
        <w:spacing w:line="360" w:lineRule="auto"/>
        <w:ind w:firstLine="420" w:firstLineChars="200"/>
        <w:rPr>
          <w:color w:val="auto"/>
          <w:highlight w:val="none"/>
        </w:rPr>
      </w:pPr>
      <w:r>
        <w:rPr>
          <w:rFonts w:hint="eastAsia" w:ascii="Times New Roman" w:hAnsi="Times New Roman" w:eastAsia="宋体"/>
          <w:color w:val="auto"/>
          <w:szCs w:val="21"/>
          <w:highlight w:val="none"/>
        </w:rPr>
        <w:t>响应方案一般包括(但不限于）下列内容：</w:t>
      </w:r>
      <w:r>
        <w:rPr>
          <w:rFonts w:hint="eastAsia"/>
          <w:color w:val="auto"/>
          <w:highlight w:val="none"/>
        </w:rPr>
        <w:t>包括但不限于：设备可靠性、稳定性描述、质量保证及承诺、售后服务能力、售后服务方案、承诺及保证、供货组织方案、人员培训方案</w:t>
      </w:r>
    </w:p>
    <w:p>
      <w:pPr>
        <w:pStyle w:val="3"/>
        <w:shd w:val="clear"/>
        <w:spacing w:before="156" w:after="156"/>
        <w:jc w:val="center"/>
        <w:rPr>
          <w:color w:val="auto"/>
          <w:highlight w:val="none"/>
        </w:rPr>
      </w:pPr>
      <w:bookmarkStart w:id="115" w:name="_Toc21110"/>
      <w:r>
        <w:rPr>
          <w:rFonts w:hint="eastAsia"/>
          <w:color w:val="auto"/>
          <w:highlight w:val="none"/>
        </w:rPr>
        <w:t>七、其他资料.</w:t>
      </w:r>
      <w:bookmarkEnd w:id="115"/>
    </w:p>
    <w:p>
      <w:pPr>
        <w:shd w:val="clear"/>
        <w:tabs>
          <w:tab w:val="left" w:pos="6300"/>
        </w:tabs>
        <w:snapToGrid w:val="0"/>
        <w:spacing w:line="360" w:lineRule="auto"/>
        <w:rPr>
          <w:rFonts w:ascii="宋体" w:hAnsi="宋体" w:cs="宋体"/>
          <w:color w:val="auto"/>
          <w:sz w:val="24"/>
          <w:szCs w:val="24"/>
          <w:highlight w:val="none"/>
        </w:rPr>
      </w:pPr>
      <w:r>
        <w:rPr>
          <w:rFonts w:hint="eastAsia" w:ascii="Times New Roman" w:hAnsi="Times New Roman" w:eastAsia="宋体"/>
          <w:color w:val="auto"/>
          <w:sz w:val="24"/>
          <w:highlight w:val="none"/>
        </w:rPr>
        <w:t>7-1</w:t>
      </w:r>
      <w:r>
        <w:rPr>
          <w:rFonts w:hint="eastAsia" w:ascii="宋体" w:hAnsi="宋体" w:cs="宋体"/>
          <w:color w:val="auto"/>
          <w:sz w:val="24"/>
          <w:szCs w:val="24"/>
          <w:highlight w:val="none"/>
        </w:rPr>
        <w:t>诚信声明</w:t>
      </w:r>
    </w:p>
    <w:p>
      <w:pPr>
        <w:shd w:val="clear"/>
        <w:tabs>
          <w:tab w:val="left" w:pos="6300"/>
        </w:tabs>
        <w:snapToGrid w:val="0"/>
        <w:spacing w:line="360" w:lineRule="auto"/>
        <w:ind w:firstLine="480" w:firstLineChars="200"/>
        <w:rPr>
          <w:rFonts w:ascii="宋体" w:hAnsi="宋体" w:cs="宋体"/>
          <w:color w:val="auto"/>
          <w:sz w:val="24"/>
          <w:szCs w:val="24"/>
          <w:highlight w:val="none"/>
        </w:rPr>
      </w:pPr>
    </w:p>
    <w:p>
      <w:pPr>
        <w:shd w:val="clear"/>
        <w:tabs>
          <w:tab w:val="left" w:pos="6300"/>
        </w:tabs>
        <w:snapToGrid w:val="0"/>
        <w:spacing w:line="312" w:lineRule="auto"/>
        <w:ind w:firstLine="480" w:firstLineChars="200"/>
        <w:rPr>
          <w:rFonts w:ascii="宋体" w:hAnsi="宋体" w:cs="宋体"/>
          <w:color w:val="auto"/>
          <w:sz w:val="24"/>
          <w:szCs w:val="24"/>
          <w:highlight w:val="none"/>
        </w:rPr>
      </w:pPr>
    </w:p>
    <w:p>
      <w:pPr>
        <w:shd w:val="clear"/>
        <w:tabs>
          <w:tab w:val="left" w:pos="63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（投标方名称）</w:t>
      </w:r>
      <w:r>
        <w:rPr>
          <w:rFonts w:hint="eastAsia" w:ascii="宋体" w:hAnsi="宋体" w:cs="宋体"/>
          <w:color w:val="auto"/>
          <w:szCs w:val="21"/>
          <w:highlight w:val="none"/>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方对以上声明负全部法律责任。</w:t>
      </w:r>
    </w:p>
    <w:p>
      <w:pPr>
        <w:shd w:val="clear"/>
        <w:tabs>
          <w:tab w:val="left" w:pos="63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特此声明。</w:t>
      </w:r>
    </w:p>
    <w:p>
      <w:pPr>
        <w:shd w:val="clear"/>
        <w:tabs>
          <w:tab w:val="left" w:pos="6300"/>
        </w:tabs>
        <w:snapToGrid w:val="0"/>
        <w:spacing w:line="312" w:lineRule="auto"/>
        <w:ind w:firstLine="420" w:firstLineChars="200"/>
        <w:rPr>
          <w:rFonts w:ascii="宋体" w:hAnsi="宋体" w:cs="宋体"/>
          <w:color w:val="auto"/>
          <w:szCs w:val="21"/>
          <w:highlight w:val="none"/>
        </w:rPr>
      </w:pPr>
    </w:p>
    <w:p>
      <w:pPr>
        <w:shd w:val="clear"/>
        <w:tabs>
          <w:tab w:val="left" w:pos="6300"/>
        </w:tabs>
        <w:snapToGrid w:val="0"/>
        <w:spacing w:line="312" w:lineRule="auto"/>
        <w:ind w:firstLine="420" w:firstLineChars="200"/>
        <w:rPr>
          <w:rFonts w:ascii="宋体" w:hAnsi="宋体" w:cs="宋体"/>
          <w:color w:val="auto"/>
          <w:szCs w:val="21"/>
          <w:highlight w:val="none"/>
        </w:rPr>
      </w:pPr>
    </w:p>
    <w:p>
      <w:pPr>
        <w:shd w:val="clear"/>
        <w:tabs>
          <w:tab w:val="left" w:pos="6300"/>
        </w:tabs>
        <w:snapToGrid w:val="0"/>
        <w:spacing w:line="312" w:lineRule="auto"/>
        <w:ind w:firstLine="420" w:firstLineChars="200"/>
        <w:rPr>
          <w:rFonts w:ascii="宋体" w:hAnsi="宋体" w:cs="宋体"/>
          <w:color w:val="auto"/>
          <w:szCs w:val="21"/>
          <w:highlight w:val="none"/>
        </w:rPr>
      </w:pPr>
    </w:p>
    <w:p>
      <w:pPr>
        <w:pStyle w:val="48"/>
        <w:shd w:val="clear"/>
        <w:spacing w:line="360" w:lineRule="auto"/>
        <w:ind w:firstLine="420"/>
        <w:jc w:val="right"/>
        <w:rPr>
          <w:rFonts w:hAnsi="宋体" w:eastAsia="宋体" w:cs="宋体"/>
          <w:color w:val="auto"/>
          <w:sz w:val="21"/>
          <w:szCs w:val="21"/>
          <w:highlight w:val="none"/>
        </w:rPr>
      </w:pPr>
      <w:r>
        <w:rPr>
          <w:rFonts w:hint="eastAsia" w:hAnsi="宋体" w:eastAsia="宋体" w:cs="宋体"/>
          <w:color w:val="auto"/>
          <w:sz w:val="21"/>
          <w:szCs w:val="21"/>
          <w:highlight w:val="none"/>
        </w:rPr>
        <w:t>供应商（盖章）：</w:t>
      </w:r>
    </w:p>
    <w:p>
      <w:pPr>
        <w:pStyle w:val="48"/>
        <w:shd w:val="clear"/>
        <w:spacing w:line="360" w:lineRule="auto"/>
        <w:ind w:firstLine="420"/>
        <w:jc w:val="right"/>
        <w:rPr>
          <w:rFonts w:hAnsi="宋体" w:eastAsia="宋体" w:cs="宋体"/>
          <w:color w:val="auto"/>
          <w:sz w:val="21"/>
          <w:szCs w:val="21"/>
          <w:highlight w:val="none"/>
        </w:rPr>
      </w:pPr>
      <w:r>
        <w:rPr>
          <w:rFonts w:hint="eastAsia" w:hAnsi="宋体" w:eastAsia="宋体" w:cs="宋体"/>
          <w:color w:val="auto"/>
          <w:sz w:val="21"/>
          <w:szCs w:val="21"/>
          <w:highlight w:val="none"/>
        </w:rPr>
        <w:t>法定代表人或授权委托代理人（签字或盖章）：</w:t>
      </w:r>
    </w:p>
    <w:p>
      <w:pPr>
        <w:shd w:val="clear"/>
        <w:tabs>
          <w:tab w:val="left" w:pos="6300"/>
        </w:tabs>
        <w:snapToGrid w:val="0"/>
        <w:spacing w:line="360" w:lineRule="auto"/>
        <w:ind w:firstLine="6720" w:firstLineChars="3200"/>
        <w:rPr>
          <w:rFonts w:ascii="仿宋" w:hAnsi="仿宋" w:eastAsia="仿宋" w:cs="仿宋"/>
          <w:color w:val="auto"/>
          <w:szCs w:val="21"/>
          <w:highlight w:val="none"/>
        </w:rPr>
      </w:pPr>
      <w:r>
        <w:rPr>
          <w:rFonts w:hint="eastAsia" w:ascii="宋体" w:hAnsi="宋体" w:eastAsia="宋体" w:cs="宋体"/>
          <w:color w:val="auto"/>
          <w:szCs w:val="21"/>
          <w:highlight w:val="none"/>
        </w:rPr>
        <w:t>日期：</w:t>
      </w:r>
    </w:p>
    <w:p>
      <w:pPr>
        <w:shd w:val="clear"/>
        <w:tabs>
          <w:tab w:val="left" w:pos="6300"/>
        </w:tabs>
        <w:snapToGrid w:val="0"/>
        <w:spacing w:line="360" w:lineRule="auto"/>
        <w:jc w:val="center"/>
        <w:rPr>
          <w:rFonts w:ascii="宋体" w:hAnsi="宋体" w:cs="宋体"/>
          <w:color w:val="auto"/>
          <w:sz w:val="24"/>
          <w:szCs w:val="24"/>
          <w:highlight w:val="none"/>
        </w:rPr>
      </w:pPr>
    </w:p>
    <w:p>
      <w:pPr>
        <w:shd w:val="clear"/>
        <w:spacing w:line="360" w:lineRule="auto"/>
        <w:ind w:firstLine="480" w:firstLineChars="200"/>
        <w:rPr>
          <w:rFonts w:ascii="Times New Roman" w:hAnsi="Times New Roman" w:eastAsia="宋体"/>
          <w:color w:val="auto"/>
          <w:sz w:val="24"/>
          <w:highlight w:val="none"/>
        </w:rPr>
      </w:pPr>
    </w:p>
    <w:p>
      <w:pPr>
        <w:shd w:val="clear"/>
        <w:tabs>
          <w:tab w:val="left" w:pos="630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7-2供应商需提交的其他资料（如果有）。</w:t>
      </w:r>
    </w:p>
    <w:p>
      <w:pPr>
        <w:shd w:val="clear"/>
        <w:spacing w:line="360" w:lineRule="auto"/>
        <w:ind w:firstLine="480" w:firstLineChars="200"/>
        <w:rPr>
          <w:rFonts w:ascii="Times New Roman" w:hAnsi="Times New Roman" w:eastAsia="宋体"/>
          <w:color w:val="auto"/>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兰亭黑简体">
    <w:altName w:val="黑体"/>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519197"/>
    </w:sdtPr>
    <w:sdtContent>
      <w:p>
        <w:pPr>
          <w:pStyle w:val="20"/>
          <w:jc w:val="center"/>
        </w:pPr>
        <w:r>
          <w:fldChar w:fldCharType="begin"/>
        </w:r>
        <w:r>
          <w:instrText xml:space="preserve">PAGE   \* MERGEFORMAT</w:instrText>
        </w:r>
        <w:r>
          <w:fldChar w:fldCharType="separate"/>
        </w:r>
        <w:r>
          <w:rPr>
            <w:rFonts w:hint="eastAsia"/>
            <w:lang w:val="zh-CN"/>
          </w:rPr>
          <w:t>III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8014424"/>
    </w:sdtPr>
    <w:sdtContent>
      <w:p>
        <w:pPr>
          <w:pStyle w:val="20"/>
          <w:jc w:val="center"/>
        </w:pPr>
        <w:r>
          <w:fldChar w:fldCharType="begin"/>
        </w:r>
        <w:r>
          <w:instrText xml:space="preserve">PAGE   \* MERGEFORMAT</w:instrText>
        </w:r>
        <w:r>
          <w:fldChar w:fldCharType="separate"/>
        </w:r>
        <w:r>
          <w:rPr>
            <w:rFonts w:hint="eastAsia"/>
            <w:lang w:val="zh-CN"/>
          </w:rPr>
          <w:t>66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7295600"/>
    </w:sdtPr>
    <w:sdtContent>
      <w:p>
        <w:pPr>
          <w:pStyle w:val="20"/>
          <w:jc w:val="center"/>
        </w:pPr>
        <w:r>
          <w:fldChar w:fldCharType="begin"/>
        </w:r>
        <w:r>
          <w:instrText xml:space="preserve">PAGE   \* MERGEFORMAT</w:instrText>
        </w:r>
        <w:r>
          <w:fldChar w:fldCharType="separate"/>
        </w:r>
        <w:r>
          <w:rPr>
            <w:rFonts w:hint="eastAsia"/>
            <w:lang w:val="zh-CN"/>
          </w:rPr>
          <w:t>66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37EB3"/>
    <w:multiLevelType w:val="singleLevel"/>
    <w:tmpl w:val="86837EB3"/>
    <w:lvl w:ilvl="0" w:tentative="0">
      <w:start w:val="1"/>
      <w:numFmt w:val="decimalEnclosedCircleChinese"/>
      <w:suff w:val="nothing"/>
      <w:lvlText w:val="%1　"/>
      <w:lvlJc w:val="left"/>
      <w:pPr>
        <w:ind w:left="0" w:firstLine="400"/>
      </w:pPr>
      <w:rPr>
        <w:rFonts w:hint="eastAsia"/>
      </w:rPr>
    </w:lvl>
  </w:abstractNum>
  <w:abstractNum w:abstractNumId="1">
    <w:nsid w:val="904853FE"/>
    <w:multiLevelType w:val="singleLevel"/>
    <w:tmpl w:val="904853FE"/>
    <w:lvl w:ilvl="0" w:tentative="0">
      <w:start w:val="1"/>
      <w:numFmt w:val="decimal"/>
      <w:lvlText w:val="(%1)"/>
      <w:lvlJc w:val="left"/>
      <w:pPr>
        <w:ind w:left="425" w:hanging="425"/>
      </w:pPr>
      <w:rPr>
        <w:rFonts w:hint="default"/>
      </w:rPr>
    </w:lvl>
  </w:abstractNum>
  <w:abstractNum w:abstractNumId="2">
    <w:nsid w:val="957477EA"/>
    <w:multiLevelType w:val="singleLevel"/>
    <w:tmpl w:val="957477EA"/>
    <w:lvl w:ilvl="0" w:tentative="0">
      <w:start w:val="1"/>
      <w:numFmt w:val="decimal"/>
      <w:lvlText w:val="(%1)"/>
      <w:lvlJc w:val="left"/>
      <w:pPr>
        <w:ind w:left="425" w:hanging="425"/>
      </w:pPr>
      <w:rPr>
        <w:rFonts w:hint="default"/>
      </w:rPr>
    </w:lvl>
  </w:abstractNum>
  <w:abstractNum w:abstractNumId="3">
    <w:nsid w:val="9576C519"/>
    <w:multiLevelType w:val="multilevel"/>
    <w:tmpl w:val="9576C519"/>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98E6F3EE"/>
    <w:multiLevelType w:val="singleLevel"/>
    <w:tmpl w:val="98E6F3EE"/>
    <w:lvl w:ilvl="0" w:tentative="0">
      <w:start w:val="1"/>
      <w:numFmt w:val="decimal"/>
      <w:lvlText w:val="(%1)"/>
      <w:lvlJc w:val="left"/>
      <w:pPr>
        <w:ind w:left="425" w:hanging="425"/>
      </w:pPr>
      <w:rPr>
        <w:rFonts w:hint="default"/>
      </w:rPr>
    </w:lvl>
  </w:abstractNum>
  <w:abstractNum w:abstractNumId="5">
    <w:nsid w:val="B2CE5D09"/>
    <w:multiLevelType w:val="singleLevel"/>
    <w:tmpl w:val="B2CE5D09"/>
    <w:lvl w:ilvl="0" w:tentative="0">
      <w:start w:val="1"/>
      <w:numFmt w:val="decimalEnclosedCircleChinese"/>
      <w:suff w:val="nothing"/>
      <w:lvlText w:val="%1　"/>
      <w:lvlJc w:val="left"/>
      <w:pPr>
        <w:ind w:left="0" w:firstLine="400"/>
      </w:pPr>
      <w:rPr>
        <w:rFonts w:hint="eastAsia"/>
      </w:rPr>
    </w:lvl>
  </w:abstractNum>
  <w:abstractNum w:abstractNumId="6">
    <w:nsid w:val="BFDE623B"/>
    <w:multiLevelType w:val="singleLevel"/>
    <w:tmpl w:val="BFDE623B"/>
    <w:lvl w:ilvl="0" w:tentative="0">
      <w:start w:val="1"/>
      <w:numFmt w:val="decimal"/>
      <w:lvlText w:val="(%1)"/>
      <w:lvlJc w:val="left"/>
      <w:pPr>
        <w:ind w:left="425" w:hanging="425"/>
      </w:pPr>
      <w:rPr>
        <w:rFonts w:hint="default"/>
      </w:rPr>
    </w:lvl>
  </w:abstractNum>
  <w:abstractNum w:abstractNumId="7">
    <w:nsid w:val="CB65593D"/>
    <w:multiLevelType w:val="singleLevel"/>
    <w:tmpl w:val="CB65593D"/>
    <w:lvl w:ilvl="0" w:tentative="0">
      <w:start w:val="1"/>
      <w:numFmt w:val="decimal"/>
      <w:lvlText w:val="(%1)"/>
      <w:lvlJc w:val="left"/>
      <w:pPr>
        <w:ind w:left="425" w:hanging="425"/>
      </w:pPr>
      <w:rPr>
        <w:rFonts w:hint="default"/>
      </w:rPr>
    </w:lvl>
  </w:abstractNum>
  <w:abstractNum w:abstractNumId="8">
    <w:nsid w:val="DA9506FB"/>
    <w:multiLevelType w:val="singleLevel"/>
    <w:tmpl w:val="DA9506FB"/>
    <w:lvl w:ilvl="0" w:tentative="0">
      <w:start w:val="1"/>
      <w:numFmt w:val="decimal"/>
      <w:lvlText w:val="(%1)"/>
      <w:lvlJc w:val="left"/>
      <w:pPr>
        <w:ind w:left="425" w:hanging="425"/>
      </w:pPr>
      <w:rPr>
        <w:rFonts w:hint="default"/>
      </w:rPr>
    </w:lvl>
  </w:abstractNum>
  <w:abstractNum w:abstractNumId="9">
    <w:nsid w:val="E000EB0D"/>
    <w:multiLevelType w:val="singleLevel"/>
    <w:tmpl w:val="E000EB0D"/>
    <w:lvl w:ilvl="0" w:tentative="0">
      <w:start w:val="2"/>
      <w:numFmt w:val="decimal"/>
      <w:suff w:val="nothing"/>
      <w:lvlText w:val="%1、"/>
      <w:lvlJc w:val="left"/>
    </w:lvl>
  </w:abstractNum>
  <w:abstractNum w:abstractNumId="10">
    <w:nsid w:val="E9639A09"/>
    <w:multiLevelType w:val="multilevel"/>
    <w:tmpl w:val="E9639A09"/>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1">
    <w:nsid w:val="EFBACE66"/>
    <w:multiLevelType w:val="multilevel"/>
    <w:tmpl w:val="EFBACE66"/>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2">
    <w:nsid w:val="F999C2FE"/>
    <w:multiLevelType w:val="multilevel"/>
    <w:tmpl w:val="F999C2FE"/>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F9FDA36A"/>
    <w:multiLevelType w:val="singleLevel"/>
    <w:tmpl w:val="F9FDA36A"/>
    <w:lvl w:ilvl="0" w:tentative="0">
      <w:start w:val="5"/>
      <w:numFmt w:val="chineseCounting"/>
      <w:suff w:val="space"/>
      <w:lvlText w:val="第%1章"/>
      <w:lvlJc w:val="left"/>
      <w:rPr>
        <w:rFonts w:hint="eastAsia"/>
      </w:rPr>
    </w:lvl>
  </w:abstractNum>
  <w:abstractNum w:abstractNumId="14">
    <w:nsid w:val="15A1AE79"/>
    <w:multiLevelType w:val="singleLevel"/>
    <w:tmpl w:val="15A1AE79"/>
    <w:lvl w:ilvl="0" w:tentative="0">
      <w:start w:val="1"/>
      <w:numFmt w:val="decimal"/>
      <w:lvlText w:val="(%1)"/>
      <w:lvlJc w:val="left"/>
      <w:pPr>
        <w:ind w:left="425" w:hanging="425"/>
      </w:pPr>
      <w:rPr>
        <w:rFonts w:hint="default"/>
      </w:rPr>
    </w:lvl>
  </w:abstractNum>
  <w:abstractNum w:abstractNumId="15">
    <w:nsid w:val="1B2D33A9"/>
    <w:multiLevelType w:val="multilevel"/>
    <w:tmpl w:val="1B2D33A9"/>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6">
    <w:nsid w:val="1F47E1DE"/>
    <w:multiLevelType w:val="multilevel"/>
    <w:tmpl w:val="1F47E1DE"/>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7">
    <w:nsid w:val="22523C0E"/>
    <w:multiLevelType w:val="singleLevel"/>
    <w:tmpl w:val="22523C0E"/>
    <w:lvl w:ilvl="0" w:tentative="0">
      <w:start w:val="1"/>
      <w:numFmt w:val="decimal"/>
      <w:lvlText w:val="(%1)"/>
      <w:lvlJc w:val="left"/>
      <w:pPr>
        <w:ind w:left="425" w:hanging="425"/>
      </w:pPr>
      <w:rPr>
        <w:rFonts w:hint="default"/>
      </w:rPr>
    </w:lvl>
  </w:abstractNum>
  <w:abstractNum w:abstractNumId="18">
    <w:nsid w:val="33F9465A"/>
    <w:multiLevelType w:val="multilevel"/>
    <w:tmpl w:val="33F9465A"/>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9">
    <w:nsid w:val="35688E77"/>
    <w:multiLevelType w:val="singleLevel"/>
    <w:tmpl w:val="35688E77"/>
    <w:lvl w:ilvl="0" w:tentative="0">
      <w:start w:val="2"/>
      <w:numFmt w:val="chineseCounting"/>
      <w:suff w:val="nothing"/>
      <w:lvlText w:val="%1、"/>
      <w:lvlJc w:val="left"/>
      <w:rPr>
        <w:rFonts w:hint="eastAsia"/>
      </w:rPr>
    </w:lvl>
  </w:abstractNum>
  <w:abstractNum w:abstractNumId="20">
    <w:nsid w:val="382DAE8E"/>
    <w:multiLevelType w:val="singleLevel"/>
    <w:tmpl w:val="382DAE8E"/>
    <w:lvl w:ilvl="0" w:tentative="0">
      <w:start w:val="1"/>
      <w:numFmt w:val="decimal"/>
      <w:lvlText w:val="(%1)"/>
      <w:lvlJc w:val="left"/>
      <w:pPr>
        <w:ind w:left="425" w:hanging="425"/>
      </w:pPr>
      <w:rPr>
        <w:rFonts w:hint="default"/>
      </w:rPr>
    </w:lvl>
  </w:abstractNum>
  <w:abstractNum w:abstractNumId="21">
    <w:nsid w:val="3D5F6B75"/>
    <w:multiLevelType w:val="singleLevel"/>
    <w:tmpl w:val="3D5F6B75"/>
    <w:lvl w:ilvl="0" w:tentative="0">
      <w:start w:val="1"/>
      <w:numFmt w:val="decimal"/>
      <w:lvlText w:val="(%1)"/>
      <w:lvlJc w:val="left"/>
      <w:pPr>
        <w:ind w:left="425" w:hanging="425"/>
      </w:pPr>
      <w:rPr>
        <w:rFonts w:hint="default"/>
      </w:rPr>
    </w:lvl>
  </w:abstractNum>
  <w:abstractNum w:abstractNumId="22">
    <w:nsid w:val="410A5102"/>
    <w:multiLevelType w:val="singleLevel"/>
    <w:tmpl w:val="410A5102"/>
    <w:lvl w:ilvl="0" w:tentative="0">
      <w:start w:val="1"/>
      <w:numFmt w:val="decimal"/>
      <w:lvlText w:val="(%1)"/>
      <w:lvlJc w:val="left"/>
      <w:pPr>
        <w:ind w:left="425" w:hanging="425"/>
      </w:pPr>
      <w:rPr>
        <w:rFonts w:hint="default"/>
      </w:rPr>
    </w:lvl>
  </w:abstractNum>
  <w:abstractNum w:abstractNumId="23">
    <w:nsid w:val="42917761"/>
    <w:multiLevelType w:val="multilevel"/>
    <w:tmpl w:val="42917761"/>
    <w:lvl w:ilvl="0" w:tentative="0">
      <w:start w:val="1"/>
      <w:numFmt w:val="japaneseCounting"/>
      <w:lvlText w:val="（%1）"/>
      <w:lvlJc w:val="left"/>
      <w:pPr>
        <w:tabs>
          <w:tab w:val="left" w:pos="1200"/>
        </w:tabs>
        <w:ind w:left="1200"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5160D346"/>
    <w:multiLevelType w:val="singleLevel"/>
    <w:tmpl w:val="5160D346"/>
    <w:lvl w:ilvl="0" w:tentative="0">
      <w:start w:val="1"/>
      <w:numFmt w:val="decimal"/>
      <w:lvlText w:val="(%1)"/>
      <w:lvlJc w:val="left"/>
      <w:pPr>
        <w:ind w:left="425" w:hanging="425"/>
      </w:pPr>
      <w:rPr>
        <w:rFonts w:hint="default"/>
      </w:rPr>
    </w:lvl>
  </w:abstractNum>
  <w:abstractNum w:abstractNumId="25">
    <w:nsid w:val="54913109"/>
    <w:multiLevelType w:val="singleLevel"/>
    <w:tmpl w:val="54913109"/>
    <w:lvl w:ilvl="0" w:tentative="0">
      <w:start w:val="1"/>
      <w:numFmt w:val="decimal"/>
      <w:lvlText w:val="(%1)"/>
      <w:lvlJc w:val="left"/>
      <w:pPr>
        <w:ind w:left="425" w:hanging="425"/>
      </w:pPr>
      <w:rPr>
        <w:rFonts w:hint="default"/>
      </w:rPr>
    </w:lvl>
  </w:abstractNum>
  <w:abstractNum w:abstractNumId="26">
    <w:nsid w:val="5FD27127"/>
    <w:multiLevelType w:val="singleLevel"/>
    <w:tmpl w:val="5FD27127"/>
    <w:lvl w:ilvl="0" w:tentative="0">
      <w:start w:val="1"/>
      <w:numFmt w:val="decimalEnclosedCircleChinese"/>
      <w:suff w:val="nothing"/>
      <w:lvlText w:val="%1　"/>
      <w:lvlJc w:val="left"/>
      <w:pPr>
        <w:ind w:left="0" w:firstLine="400"/>
      </w:pPr>
      <w:rPr>
        <w:rFonts w:hint="eastAsia"/>
      </w:rPr>
    </w:lvl>
  </w:abstractNum>
  <w:abstractNum w:abstractNumId="27">
    <w:nsid w:val="6107ED42"/>
    <w:multiLevelType w:val="multilevel"/>
    <w:tmpl w:val="6107ED42"/>
    <w:lvl w:ilvl="0" w:tentative="0">
      <w:start w:val="1"/>
      <w:numFmt w:val="japaneseCounting"/>
      <w:lvlText w:val="（%1）"/>
      <w:lvlJc w:val="left"/>
      <w:pPr>
        <w:tabs>
          <w:tab w:val="left" w:pos="1200"/>
        </w:tabs>
        <w:ind w:left="1200" w:hanging="720"/>
      </w:pPr>
      <w:rPr>
        <w:rFonts w:hint="eastAsia"/>
        <w:color w:val="FF0000"/>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2326B3B"/>
    <w:multiLevelType w:val="singleLevel"/>
    <w:tmpl w:val="62326B3B"/>
    <w:lvl w:ilvl="0" w:tentative="0">
      <w:start w:val="1"/>
      <w:numFmt w:val="decimal"/>
      <w:suff w:val="nothing"/>
      <w:lvlText w:val="%1、"/>
      <w:lvlJc w:val="left"/>
    </w:lvl>
  </w:abstractNum>
  <w:abstractNum w:abstractNumId="29">
    <w:nsid w:val="747DEB2F"/>
    <w:multiLevelType w:val="singleLevel"/>
    <w:tmpl w:val="747DEB2F"/>
    <w:lvl w:ilvl="0" w:tentative="0">
      <w:start w:val="1"/>
      <w:numFmt w:val="decimal"/>
      <w:lvlText w:val="(%1)"/>
      <w:lvlJc w:val="left"/>
      <w:pPr>
        <w:ind w:left="425" w:hanging="425"/>
      </w:pPr>
      <w:rPr>
        <w:rFonts w:hint="default"/>
      </w:rPr>
    </w:lvl>
  </w:abstractNum>
  <w:abstractNum w:abstractNumId="30">
    <w:nsid w:val="7AD8B35A"/>
    <w:multiLevelType w:val="singleLevel"/>
    <w:tmpl w:val="7AD8B35A"/>
    <w:lvl w:ilvl="0" w:tentative="0">
      <w:start w:val="1"/>
      <w:numFmt w:val="decimal"/>
      <w:lvlText w:val="(%1)"/>
      <w:lvlJc w:val="left"/>
      <w:pPr>
        <w:ind w:left="425" w:hanging="425"/>
      </w:pPr>
      <w:rPr>
        <w:rFonts w:hint="default"/>
      </w:rPr>
    </w:lvl>
  </w:abstractNum>
  <w:abstractNum w:abstractNumId="31">
    <w:nsid w:val="7E444A81"/>
    <w:multiLevelType w:val="singleLevel"/>
    <w:tmpl w:val="7E444A81"/>
    <w:lvl w:ilvl="0" w:tentative="0">
      <w:start w:val="1"/>
      <w:numFmt w:val="decimal"/>
      <w:lvlText w:val="(%1)"/>
      <w:lvlJc w:val="left"/>
      <w:pPr>
        <w:ind w:left="425" w:hanging="425"/>
      </w:pPr>
      <w:rPr>
        <w:rFonts w:hint="default"/>
      </w:rPr>
    </w:lvl>
  </w:abstractNum>
  <w:num w:numId="1">
    <w:abstractNumId w:val="23"/>
  </w:num>
  <w:num w:numId="2">
    <w:abstractNumId w:val="13"/>
  </w:num>
  <w:num w:numId="3">
    <w:abstractNumId w:val="9"/>
  </w:num>
  <w:num w:numId="4">
    <w:abstractNumId w:val="27"/>
  </w:num>
  <w:num w:numId="5">
    <w:abstractNumId w:val="8"/>
  </w:num>
  <w:num w:numId="6">
    <w:abstractNumId w:val="5"/>
  </w:num>
  <w:num w:numId="7">
    <w:abstractNumId w:val="31"/>
  </w:num>
  <w:num w:numId="8">
    <w:abstractNumId w:val="24"/>
  </w:num>
  <w:num w:numId="9">
    <w:abstractNumId w:val="14"/>
  </w:num>
  <w:num w:numId="10">
    <w:abstractNumId w:val="25"/>
  </w:num>
  <w:num w:numId="11">
    <w:abstractNumId w:val="1"/>
  </w:num>
  <w:num w:numId="12">
    <w:abstractNumId w:val="4"/>
  </w:num>
  <w:num w:numId="13">
    <w:abstractNumId w:val="22"/>
  </w:num>
  <w:num w:numId="14">
    <w:abstractNumId w:val="21"/>
  </w:num>
  <w:num w:numId="15">
    <w:abstractNumId w:val="20"/>
  </w:num>
  <w:num w:numId="16">
    <w:abstractNumId w:val="0"/>
  </w:num>
  <w:num w:numId="17">
    <w:abstractNumId w:val="2"/>
  </w:num>
  <w:num w:numId="18">
    <w:abstractNumId w:val="26"/>
  </w:num>
  <w:num w:numId="19">
    <w:abstractNumId w:val="6"/>
  </w:num>
  <w:num w:numId="20">
    <w:abstractNumId w:val="7"/>
  </w:num>
  <w:num w:numId="21">
    <w:abstractNumId w:val="29"/>
  </w:num>
  <w:num w:numId="22">
    <w:abstractNumId w:val="17"/>
  </w:num>
  <w:num w:numId="23">
    <w:abstractNumId w:val="30"/>
  </w:num>
  <w:num w:numId="24">
    <w:abstractNumId w:val="10"/>
  </w:num>
  <w:num w:numId="25">
    <w:abstractNumId w:val="15"/>
  </w:num>
  <w:num w:numId="26">
    <w:abstractNumId w:val="11"/>
  </w:num>
  <w:num w:numId="27">
    <w:abstractNumId w:val="16"/>
  </w:num>
  <w:num w:numId="28">
    <w:abstractNumId w:val="3"/>
  </w:num>
  <w:num w:numId="29">
    <w:abstractNumId w:val="18"/>
  </w:num>
  <w:num w:numId="30">
    <w:abstractNumId w:val="12"/>
  </w:num>
  <w:num w:numId="31">
    <w:abstractNumId w:val="2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NDVhNTNkNWRkMGQwNzE3ODRkNjQwNDQwNTFkOGYifQ=="/>
  </w:docVars>
  <w:rsids>
    <w:rsidRoot w:val="00C20750"/>
    <w:rsid w:val="00010161"/>
    <w:rsid w:val="001B2795"/>
    <w:rsid w:val="00262D6C"/>
    <w:rsid w:val="00434336"/>
    <w:rsid w:val="00453C70"/>
    <w:rsid w:val="00473B75"/>
    <w:rsid w:val="005A3C31"/>
    <w:rsid w:val="005B049A"/>
    <w:rsid w:val="006A102E"/>
    <w:rsid w:val="006E4A75"/>
    <w:rsid w:val="00784EFC"/>
    <w:rsid w:val="00787189"/>
    <w:rsid w:val="007B3519"/>
    <w:rsid w:val="00872F45"/>
    <w:rsid w:val="008C64A2"/>
    <w:rsid w:val="00912A81"/>
    <w:rsid w:val="0092606B"/>
    <w:rsid w:val="00975F39"/>
    <w:rsid w:val="00AC6C07"/>
    <w:rsid w:val="00BD408D"/>
    <w:rsid w:val="00BF4988"/>
    <w:rsid w:val="00C20750"/>
    <w:rsid w:val="00CA1E47"/>
    <w:rsid w:val="00D469B8"/>
    <w:rsid w:val="00F349D9"/>
    <w:rsid w:val="00F54B94"/>
    <w:rsid w:val="00FA51BF"/>
    <w:rsid w:val="00FC7D53"/>
    <w:rsid w:val="01643005"/>
    <w:rsid w:val="0C085D6A"/>
    <w:rsid w:val="0E574D15"/>
    <w:rsid w:val="0F2B2D58"/>
    <w:rsid w:val="10CB43C7"/>
    <w:rsid w:val="116E62A6"/>
    <w:rsid w:val="128E5294"/>
    <w:rsid w:val="13546A0E"/>
    <w:rsid w:val="158E1579"/>
    <w:rsid w:val="16782C45"/>
    <w:rsid w:val="196D576E"/>
    <w:rsid w:val="197B0212"/>
    <w:rsid w:val="198A4CC4"/>
    <w:rsid w:val="1B23757D"/>
    <w:rsid w:val="1B32594D"/>
    <w:rsid w:val="1B956FB9"/>
    <w:rsid w:val="1CB54D82"/>
    <w:rsid w:val="1CDE62CB"/>
    <w:rsid w:val="2352728D"/>
    <w:rsid w:val="23FB76EB"/>
    <w:rsid w:val="241712E3"/>
    <w:rsid w:val="25B0385B"/>
    <w:rsid w:val="26791BE1"/>
    <w:rsid w:val="2AFC0AE8"/>
    <w:rsid w:val="2C1C5756"/>
    <w:rsid w:val="2E971FD6"/>
    <w:rsid w:val="30FE51AB"/>
    <w:rsid w:val="33965FAF"/>
    <w:rsid w:val="35343E09"/>
    <w:rsid w:val="354A3C11"/>
    <w:rsid w:val="35D44B49"/>
    <w:rsid w:val="366C3B70"/>
    <w:rsid w:val="399F78DF"/>
    <w:rsid w:val="3B421E45"/>
    <w:rsid w:val="3E603CC3"/>
    <w:rsid w:val="415B0E43"/>
    <w:rsid w:val="41D43A1D"/>
    <w:rsid w:val="47C262C1"/>
    <w:rsid w:val="49C76D43"/>
    <w:rsid w:val="4AC9677C"/>
    <w:rsid w:val="4DB03590"/>
    <w:rsid w:val="521A564B"/>
    <w:rsid w:val="53457CDD"/>
    <w:rsid w:val="54391823"/>
    <w:rsid w:val="55995BDE"/>
    <w:rsid w:val="56076DD3"/>
    <w:rsid w:val="561D553B"/>
    <w:rsid w:val="578A468F"/>
    <w:rsid w:val="58E3278F"/>
    <w:rsid w:val="5B723E73"/>
    <w:rsid w:val="5C8B3C26"/>
    <w:rsid w:val="5CF61833"/>
    <w:rsid w:val="5CFD48DA"/>
    <w:rsid w:val="5D4C069A"/>
    <w:rsid w:val="5DA074AA"/>
    <w:rsid w:val="60C763B3"/>
    <w:rsid w:val="615E2877"/>
    <w:rsid w:val="63424AFF"/>
    <w:rsid w:val="642570DB"/>
    <w:rsid w:val="6654588C"/>
    <w:rsid w:val="668646F5"/>
    <w:rsid w:val="66E63C0C"/>
    <w:rsid w:val="67C72A4C"/>
    <w:rsid w:val="6B6B0E76"/>
    <w:rsid w:val="6BDA7CFF"/>
    <w:rsid w:val="6BE717A2"/>
    <w:rsid w:val="6DFD60FA"/>
    <w:rsid w:val="6E1A78B9"/>
    <w:rsid w:val="6ED65071"/>
    <w:rsid w:val="6F09517B"/>
    <w:rsid w:val="744740C6"/>
    <w:rsid w:val="77626DFA"/>
    <w:rsid w:val="78184A15"/>
    <w:rsid w:val="79351A6A"/>
    <w:rsid w:val="797B14EA"/>
    <w:rsid w:val="7A4150B3"/>
    <w:rsid w:val="7B3B2AD6"/>
    <w:rsid w:val="7CEC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
    <w:pPr>
      <w:keepNext/>
      <w:keepLines/>
      <w:spacing w:before="100" w:beforeLines="100" w:after="100" w:afterLines="100" w:line="360" w:lineRule="auto"/>
      <w:jc w:val="center"/>
      <w:outlineLvl w:val="0"/>
    </w:pPr>
    <w:rPr>
      <w:rFonts w:ascii="Times New Roman" w:hAnsi="Times New Roman" w:eastAsia="黑体"/>
      <w:bCs/>
      <w:kern w:val="44"/>
      <w:sz w:val="36"/>
      <w:szCs w:val="44"/>
    </w:rPr>
  </w:style>
  <w:style w:type="paragraph" w:styleId="3">
    <w:name w:val="heading 2"/>
    <w:basedOn w:val="1"/>
    <w:next w:val="1"/>
    <w:link w:val="36"/>
    <w:autoRedefine/>
    <w:unhideWhenUsed/>
    <w:qFormat/>
    <w:uiPriority w:val="9"/>
    <w:pPr>
      <w:keepNext/>
      <w:keepLines/>
      <w:spacing w:before="50" w:beforeLines="50" w:after="50" w:afterLines="50" w:line="360" w:lineRule="auto"/>
      <w:jc w:val="left"/>
      <w:outlineLvl w:val="1"/>
    </w:pPr>
    <w:rPr>
      <w:rFonts w:eastAsia="宋体" w:asciiTheme="majorHAnsi" w:hAnsiTheme="majorHAnsi" w:cstheme="majorBidi"/>
      <w:b/>
      <w:bCs/>
      <w:sz w:val="32"/>
      <w:szCs w:val="32"/>
    </w:rPr>
  </w:style>
  <w:style w:type="paragraph" w:styleId="4">
    <w:name w:val="heading 3"/>
    <w:basedOn w:val="1"/>
    <w:next w:val="1"/>
    <w:link w:val="37"/>
    <w:unhideWhenUsed/>
    <w:qFormat/>
    <w:uiPriority w:val="9"/>
    <w:pPr>
      <w:keepNext/>
      <w:keepLines/>
      <w:spacing w:line="360" w:lineRule="auto"/>
      <w:jc w:val="left"/>
      <w:outlineLvl w:val="2"/>
    </w:pPr>
    <w:rPr>
      <w:rFonts w:ascii="Times New Roman" w:hAnsi="Times New Roman" w:eastAsia="宋体"/>
      <w:b/>
      <w:bCs/>
      <w:sz w:val="30"/>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style>
  <w:style w:type="paragraph" w:styleId="7">
    <w:name w:val="caption"/>
    <w:basedOn w:val="1"/>
    <w:next w:val="1"/>
    <w:autoRedefine/>
    <w:qFormat/>
    <w:uiPriority w:val="0"/>
    <w:pPr>
      <w:ind w:firstLine="6290" w:firstLineChars="2282"/>
    </w:pPr>
    <w:rPr>
      <w:b/>
      <w:bCs/>
      <w:color w:val="000080"/>
      <w:sz w:val="28"/>
    </w:rPr>
  </w:style>
  <w:style w:type="paragraph" w:styleId="8">
    <w:name w:val="annotation text"/>
    <w:basedOn w:val="1"/>
    <w:autoRedefine/>
    <w:qFormat/>
    <w:uiPriority w:val="99"/>
    <w:pPr>
      <w:jc w:val="left"/>
    </w:pPr>
  </w:style>
  <w:style w:type="paragraph" w:styleId="9">
    <w:name w:val="Body Text"/>
    <w:basedOn w:val="1"/>
    <w:next w:val="1"/>
    <w:autoRedefine/>
    <w:qFormat/>
    <w:uiPriority w:val="0"/>
    <w:pPr>
      <w:spacing w:line="360" w:lineRule="auto"/>
    </w:pPr>
    <w:rPr>
      <w:sz w:val="24"/>
      <w:szCs w:val="20"/>
    </w:rPr>
  </w:style>
  <w:style w:type="paragraph" w:styleId="10">
    <w:name w:val="Body Text Indent"/>
    <w:basedOn w:val="11"/>
    <w:next w:val="12"/>
    <w:autoRedefine/>
    <w:qFormat/>
    <w:uiPriority w:val="99"/>
    <w:pPr>
      <w:ind w:left="420" w:leftChars="200"/>
    </w:pPr>
  </w:style>
  <w:style w:type="paragraph" w:customStyle="1" w:styleId="11">
    <w:name w:val="Normal_2"/>
    <w:next w:val="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Body Text First Indent 2"/>
    <w:basedOn w:val="10"/>
    <w:next w:val="13"/>
    <w:autoRedefine/>
    <w:qFormat/>
    <w:uiPriority w:val="0"/>
    <w:pPr>
      <w:spacing w:after="120"/>
      <w:ind w:firstLine="420" w:firstLineChars="200"/>
    </w:pPr>
  </w:style>
  <w:style w:type="paragraph" w:styleId="13">
    <w:name w:val="Body Text First Indent"/>
    <w:basedOn w:val="9"/>
    <w:next w:val="1"/>
    <w:autoRedefine/>
    <w:qFormat/>
    <w:uiPriority w:val="0"/>
    <w:pPr>
      <w:tabs>
        <w:tab w:val="left" w:pos="360"/>
      </w:tabs>
      <w:spacing w:line="220" w:lineRule="exact"/>
      <w:ind w:left="360" w:hanging="360" w:firstLineChars="200"/>
      <w:jc w:val="left"/>
    </w:pPr>
    <w:rPr>
      <w:color w:val="7030A0"/>
    </w:rPr>
  </w:style>
  <w:style w:type="paragraph" w:styleId="14">
    <w:name w:val="toc 5"/>
    <w:basedOn w:val="1"/>
    <w:next w:val="1"/>
    <w:autoRedefine/>
    <w:unhideWhenUsed/>
    <w:qFormat/>
    <w:uiPriority w:val="39"/>
    <w:pPr>
      <w:ind w:left="1680" w:leftChars="800"/>
    </w:pPr>
  </w:style>
  <w:style w:type="paragraph" w:styleId="15">
    <w:name w:val="toc 3"/>
    <w:basedOn w:val="1"/>
    <w:next w:val="1"/>
    <w:autoRedefine/>
    <w:unhideWhenUsed/>
    <w:qFormat/>
    <w:uiPriority w:val="39"/>
    <w:pPr>
      <w:ind w:left="840" w:leftChars="400"/>
    </w:pPr>
  </w:style>
  <w:style w:type="paragraph" w:styleId="16">
    <w:name w:val="Plain Text"/>
    <w:basedOn w:val="1"/>
    <w:autoRedefine/>
    <w:qFormat/>
    <w:uiPriority w:val="0"/>
    <w:rPr>
      <w:rFonts w:ascii="宋体"/>
      <w:szCs w:val="20"/>
    </w:rPr>
  </w:style>
  <w:style w:type="paragraph" w:styleId="17">
    <w:name w:val="toc 8"/>
    <w:basedOn w:val="1"/>
    <w:next w:val="1"/>
    <w:autoRedefine/>
    <w:unhideWhenUsed/>
    <w:qFormat/>
    <w:uiPriority w:val="39"/>
    <w:pPr>
      <w:ind w:left="2940" w:leftChars="1400"/>
    </w:pPr>
  </w:style>
  <w:style w:type="paragraph" w:styleId="18">
    <w:name w:val="Body Text Indent 2"/>
    <w:basedOn w:val="1"/>
    <w:autoRedefine/>
    <w:qFormat/>
    <w:uiPriority w:val="0"/>
    <w:pPr>
      <w:spacing w:after="120" w:line="480" w:lineRule="auto"/>
      <w:ind w:left="420" w:leftChars="200"/>
    </w:pPr>
  </w:style>
  <w:style w:type="paragraph" w:styleId="19">
    <w:name w:val="Balloon Text"/>
    <w:basedOn w:val="1"/>
    <w:link w:val="42"/>
    <w:autoRedefine/>
    <w:semiHidden/>
    <w:unhideWhenUsed/>
    <w:qFormat/>
    <w:uiPriority w:val="99"/>
    <w:rPr>
      <w:sz w:val="18"/>
      <w:szCs w:val="18"/>
    </w:rPr>
  </w:style>
  <w:style w:type="paragraph" w:styleId="20">
    <w:name w:val="footer"/>
    <w:basedOn w:val="1"/>
    <w:link w:val="40"/>
    <w:autoRedefine/>
    <w:unhideWhenUsed/>
    <w:qFormat/>
    <w:uiPriority w:val="99"/>
    <w:pPr>
      <w:tabs>
        <w:tab w:val="center" w:pos="4153"/>
        <w:tab w:val="right" w:pos="8306"/>
      </w:tabs>
      <w:snapToGrid w:val="0"/>
      <w:jc w:val="left"/>
    </w:pPr>
    <w:rPr>
      <w:sz w:val="18"/>
      <w:szCs w:val="18"/>
    </w:rPr>
  </w:style>
  <w:style w:type="paragraph" w:styleId="21">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toc 4"/>
    <w:basedOn w:val="1"/>
    <w:next w:val="1"/>
    <w:autoRedefine/>
    <w:unhideWhenUsed/>
    <w:qFormat/>
    <w:uiPriority w:val="39"/>
    <w:pPr>
      <w:ind w:left="1260" w:leftChars="600"/>
    </w:pPr>
  </w:style>
  <w:style w:type="paragraph" w:styleId="24">
    <w:name w:val="toc 6"/>
    <w:basedOn w:val="1"/>
    <w:next w:val="1"/>
    <w:autoRedefine/>
    <w:unhideWhenUsed/>
    <w:qFormat/>
    <w:uiPriority w:val="39"/>
    <w:pPr>
      <w:ind w:left="2100" w:leftChars="1000"/>
    </w:pPr>
  </w:style>
  <w:style w:type="paragraph" w:styleId="25">
    <w:name w:val="toc 2"/>
    <w:basedOn w:val="1"/>
    <w:next w:val="1"/>
    <w:autoRedefine/>
    <w:unhideWhenUsed/>
    <w:qFormat/>
    <w:uiPriority w:val="39"/>
    <w:pPr>
      <w:ind w:left="420" w:leftChars="200"/>
    </w:pPr>
  </w:style>
  <w:style w:type="paragraph" w:styleId="26">
    <w:name w:val="toc 9"/>
    <w:basedOn w:val="1"/>
    <w:next w:val="1"/>
    <w:autoRedefine/>
    <w:unhideWhenUsed/>
    <w:qFormat/>
    <w:uiPriority w:val="39"/>
    <w:pPr>
      <w:ind w:left="3360" w:leftChars="1600"/>
    </w:pPr>
  </w:style>
  <w:style w:type="paragraph" w:styleId="27">
    <w:name w:val="Body Text 2"/>
    <w:basedOn w:val="1"/>
    <w:autoRedefine/>
    <w:qFormat/>
    <w:uiPriority w:val="0"/>
    <w:pPr>
      <w:jc w:val="left"/>
    </w:pPr>
    <w:rPr>
      <w:rFonts w:ascii="仿宋_GB2312" w:hAnsi="宋体" w:eastAsia="仿宋_GB2312"/>
    </w:rPr>
  </w:style>
  <w:style w:type="paragraph" w:styleId="28">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bCs/>
    </w:rPr>
  </w:style>
  <w:style w:type="character" w:styleId="33">
    <w:name w:val="Emphasis"/>
    <w:basedOn w:val="31"/>
    <w:autoRedefine/>
    <w:qFormat/>
    <w:uiPriority w:val="20"/>
    <w:rPr>
      <w:i/>
    </w:rPr>
  </w:style>
  <w:style w:type="character" w:styleId="34">
    <w:name w:val="Hyperlink"/>
    <w:basedOn w:val="31"/>
    <w:autoRedefine/>
    <w:unhideWhenUsed/>
    <w:qFormat/>
    <w:uiPriority w:val="99"/>
    <w:rPr>
      <w:color w:val="0000FF" w:themeColor="hyperlink"/>
      <w:u w:val="single"/>
      <w14:textFill>
        <w14:solidFill>
          <w14:schemeClr w14:val="hlink"/>
        </w14:solidFill>
      </w14:textFill>
    </w:rPr>
  </w:style>
  <w:style w:type="character" w:customStyle="1" w:styleId="35">
    <w:name w:val="标题 1 字符"/>
    <w:basedOn w:val="31"/>
    <w:link w:val="2"/>
    <w:autoRedefine/>
    <w:qFormat/>
    <w:uiPriority w:val="9"/>
    <w:rPr>
      <w:rFonts w:ascii="Times New Roman" w:hAnsi="Times New Roman" w:eastAsia="黑体"/>
      <w:bCs/>
      <w:kern w:val="44"/>
      <w:sz w:val="36"/>
      <w:szCs w:val="44"/>
    </w:rPr>
  </w:style>
  <w:style w:type="character" w:customStyle="1" w:styleId="36">
    <w:name w:val="标题 2 字符"/>
    <w:basedOn w:val="31"/>
    <w:link w:val="3"/>
    <w:autoRedefine/>
    <w:qFormat/>
    <w:uiPriority w:val="9"/>
    <w:rPr>
      <w:rFonts w:eastAsia="宋体" w:asciiTheme="majorHAnsi" w:hAnsiTheme="majorHAnsi" w:cstheme="majorBidi"/>
      <w:b/>
      <w:bCs/>
      <w:sz w:val="32"/>
      <w:szCs w:val="32"/>
    </w:rPr>
  </w:style>
  <w:style w:type="character" w:customStyle="1" w:styleId="37">
    <w:name w:val="标题 3 字符"/>
    <w:basedOn w:val="31"/>
    <w:link w:val="4"/>
    <w:autoRedefine/>
    <w:qFormat/>
    <w:uiPriority w:val="9"/>
    <w:rPr>
      <w:rFonts w:ascii="Times New Roman" w:hAnsi="Times New Roman" w:eastAsia="宋体"/>
      <w:b/>
      <w:bCs/>
      <w:sz w:val="30"/>
      <w:szCs w:val="32"/>
    </w:rPr>
  </w:style>
  <w:style w:type="paragraph" w:styleId="38">
    <w:name w:val="List Paragraph"/>
    <w:basedOn w:val="1"/>
    <w:autoRedefine/>
    <w:qFormat/>
    <w:uiPriority w:val="34"/>
    <w:pPr>
      <w:ind w:firstLine="420" w:firstLineChars="200"/>
    </w:pPr>
  </w:style>
  <w:style w:type="character" w:customStyle="1" w:styleId="39">
    <w:name w:val="页眉 字符"/>
    <w:basedOn w:val="31"/>
    <w:link w:val="21"/>
    <w:autoRedefine/>
    <w:qFormat/>
    <w:uiPriority w:val="99"/>
    <w:rPr>
      <w:sz w:val="18"/>
      <w:szCs w:val="18"/>
    </w:rPr>
  </w:style>
  <w:style w:type="character" w:customStyle="1" w:styleId="40">
    <w:name w:val="页脚 字符"/>
    <w:basedOn w:val="31"/>
    <w:link w:val="20"/>
    <w:autoRedefine/>
    <w:qFormat/>
    <w:uiPriority w:val="99"/>
    <w:rPr>
      <w:sz w:val="18"/>
      <w:szCs w:val="18"/>
    </w:rPr>
  </w:style>
  <w:style w:type="paragraph" w:customStyle="1" w:styleId="41">
    <w:name w:val="TOC 标题1"/>
    <w:basedOn w:val="2"/>
    <w:next w:val="1"/>
    <w:autoRedefine/>
    <w:semiHidden/>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42">
    <w:name w:val="批注框文本 字符"/>
    <w:basedOn w:val="31"/>
    <w:link w:val="19"/>
    <w:autoRedefine/>
    <w:semiHidden/>
    <w:qFormat/>
    <w:uiPriority w:val="99"/>
    <w:rPr>
      <w:sz w:val="18"/>
      <w:szCs w:val="18"/>
    </w:rPr>
  </w:style>
  <w:style w:type="paragraph" w:customStyle="1" w:styleId="43">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p0"/>
    <w:basedOn w:val="1"/>
    <w:autoRedefine/>
    <w:qFormat/>
    <w:uiPriority w:val="0"/>
    <w:pPr>
      <w:widowControl/>
    </w:pPr>
    <w:rPr>
      <w:kern w:val="0"/>
      <w:szCs w:val="21"/>
    </w:rPr>
  </w:style>
  <w:style w:type="paragraph" w:customStyle="1" w:styleId="46">
    <w:name w:val="表格文字"/>
    <w:basedOn w:val="47"/>
    <w:next w:val="1"/>
    <w:autoRedefine/>
    <w:qFormat/>
    <w:uiPriority w:val="0"/>
  </w:style>
  <w:style w:type="paragraph" w:customStyle="1" w:styleId="47">
    <w:name w:val="表格文字图表文字"/>
    <w:basedOn w:val="1"/>
    <w:autoRedefine/>
    <w:qFormat/>
    <w:uiPriority w:val="0"/>
    <w:pPr>
      <w:snapToGrid w:val="0"/>
      <w:ind w:firstLine="200" w:firstLineChars="200"/>
      <w:jc w:val="center"/>
    </w:pPr>
    <w:rPr>
      <w:color w:val="7030A0"/>
      <w:szCs w:val="20"/>
    </w:rPr>
  </w:style>
  <w:style w:type="paragraph" w:customStyle="1" w:styleId="48">
    <w:name w:val="纯文本1"/>
    <w:basedOn w:val="1"/>
    <w:autoRedefine/>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49">
    <w:name w:val="列出段落1"/>
    <w:basedOn w:val="1"/>
    <w:autoRedefine/>
    <w:qFormat/>
    <w:uiPriority w:val="34"/>
    <w:pPr>
      <w:ind w:firstLine="420" w:firstLineChars="200"/>
    </w:pPr>
    <w:rPr>
      <w:szCs w:val="20"/>
    </w:rPr>
  </w:style>
  <w:style w:type="paragraph" w:customStyle="1" w:styleId="50">
    <w:name w:val="Table Paragraph"/>
    <w:basedOn w:val="1"/>
    <w:autoRedefine/>
    <w:qFormat/>
    <w:uiPriority w:val="1"/>
  </w:style>
  <w:style w:type="paragraph" w:customStyle="1" w:styleId="51">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character" w:customStyle="1" w:styleId="52">
    <w:name w:val="font51"/>
    <w:basedOn w:val="31"/>
    <w:autoRedefine/>
    <w:qFormat/>
    <w:uiPriority w:val="0"/>
    <w:rPr>
      <w:rFonts w:hint="default" w:ascii="方正兰亭黑简体" w:hAnsi="方正兰亭黑简体" w:eastAsia="方正兰亭黑简体" w:cs="方正兰亭黑简体"/>
      <w:color w:val="000000"/>
      <w:sz w:val="24"/>
      <w:szCs w:val="24"/>
      <w:u w:val="none"/>
    </w:rPr>
  </w:style>
  <w:style w:type="character" w:customStyle="1" w:styleId="53">
    <w:name w:val="font71"/>
    <w:basedOn w:val="31"/>
    <w:autoRedefine/>
    <w:qFormat/>
    <w:uiPriority w:val="0"/>
    <w:rPr>
      <w:rFonts w:hint="default" w:ascii="方正兰亭黑简体" w:hAnsi="方正兰亭黑简体" w:eastAsia="方正兰亭黑简体" w:cs="方正兰亭黑简体"/>
      <w:color w:val="000000"/>
      <w:sz w:val="24"/>
      <w:szCs w:val="24"/>
      <w:u w:val="none"/>
      <w:vertAlign w:val="subscript"/>
    </w:rPr>
  </w:style>
  <w:style w:type="character" w:customStyle="1" w:styleId="54">
    <w:name w:val="font41"/>
    <w:basedOn w:val="31"/>
    <w:autoRedefine/>
    <w:qFormat/>
    <w:uiPriority w:val="0"/>
    <w:rPr>
      <w:rFonts w:hint="default" w:ascii="方正兰亭黑简体" w:hAnsi="方正兰亭黑简体" w:eastAsia="方正兰亭黑简体" w:cs="方正兰亭黑简体"/>
      <w:color w:val="000000"/>
      <w:sz w:val="24"/>
      <w:szCs w:val="24"/>
      <w:u w:val="none"/>
    </w:rPr>
  </w:style>
  <w:style w:type="character" w:customStyle="1" w:styleId="55">
    <w:name w:val="font81"/>
    <w:basedOn w:val="31"/>
    <w:autoRedefine/>
    <w:qFormat/>
    <w:uiPriority w:val="0"/>
    <w:rPr>
      <w:rFonts w:hint="default" w:ascii="方正兰亭黑简体" w:hAnsi="方正兰亭黑简体" w:eastAsia="方正兰亭黑简体" w:cs="方正兰亭黑简体"/>
      <w:color w:val="000000"/>
      <w:sz w:val="24"/>
      <w:szCs w:val="24"/>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4B7-192F-41A5-86E1-BEFFB34C7D3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31174</Words>
  <Characters>33299</Characters>
  <Lines>230</Lines>
  <Paragraphs>64</Paragraphs>
  <TotalTime>12</TotalTime>
  <ScaleCrop>false</ScaleCrop>
  <LinksUpToDate>false</LinksUpToDate>
  <CharactersWithSpaces>35008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Administrator</dc:creator>
  <cp:lastModifiedBy>大贝小萌</cp:lastModifiedBy>
  <dcterms:modified xsi:type="dcterms:W3CDTF">2024-04-24T08:28:40Z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E7F5BE76290C4E79A8E9A795D2204AA6_13</vt:lpwstr>
  </property>
</Properties>
</file>