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12" w:lineRule="auto"/>
        <w:jc w:val="center"/>
        <w:outlineLvl w:val="1"/>
        <w:rPr>
          <w:rFonts w:hint="eastAsia" w:ascii="宋体" w:hAnsi="宋体" w:eastAsia="宋体" w:cs="宋体"/>
          <w:b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/>
          <w:kern w:val="2"/>
          <w:sz w:val="32"/>
          <w:szCs w:val="32"/>
          <w:highlight w:val="none"/>
          <w:lang w:val="en-US" w:eastAsia="zh-CN" w:bidi="ar-SA"/>
        </w:rPr>
        <w:t>评审标准</w:t>
      </w:r>
    </w:p>
    <w:tbl>
      <w:tblPr>
        <w:tblStyle w:val="3"/>
        <w:tblpPr w:leftFromText="180" w:rightFromText="180" w:vertAnchor="text" w:tblpXSpec="center" w:tblpY="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1269"/>
        <w:gridCol w:w="1216"/>
        <w:gridCol w:w="49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70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highlight w:val="none"/>
              </w:rPr>
              <w:t>评分因素</w:t>
            </w:r>
          </w:p>
        </w:tc>
        <w:tc>
          <w:tcPr>
            <w:tcW w:w="121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highlight w:val="none"/>
              </w:rPr>
              <w:t>分值</w:t>
            </w:r>
          </w:p>
        </w:tc>
        <w:tc>
          <w:tcPr>
            <w:tcW w:w="496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highlight w:val="none"/>
              </w:rPr>
              <w:t>评分标准（以下评分标准为举例）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3" w:hRule="atLeast"/>
        </w:trPr>
        <w:tc>
          <w:tcPr>
            <w:tcW w:w="70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outlineLvl w:val="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outlineLvl w:val="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投标报价</w:t>
            </w:r>
          </w:p>
        </w:tc>
        <w:tc>
          <w:tcPr>
            <w:tcW w:w="121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outlineLvl w:val="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20</w:t>
            </w:r>
          </w:p>
        </w:tc>
        <w:tc>
          <w:tcPr>
            <w:tcW w:w="4963" w:type="dxa"/>
            <w:noWrap w:val="0"/>
            <w:vAlign w:val="center"/>
          </w:tcPr>
          <w:p>
            <w:pPr>
              <w:pStyle w:val="2"/>
              <w:rPr>
                <w:rFonts w:hint="default" w:ascii="宋体" w:hAnsi="宋体" w:eastAsia="宋体" w:cs="宋体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报价在云建招协〔2023〕51号关于印发《云南省建设工程招标代理服务收费指导意见（试行）》基础上每下浮1%，得1分，满分20分。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0" w:hRule="atLeast"/>
        </w:trPr>
        <w:tc>
          <w:tcPr>
            <w:tcW w:w="70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outlineLvl w:val="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outlineLvl w:val="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服务方案评审</w:t>
            </w:r>
          </w:p>
        </w:tc>
        <w:tc>
          <w:tcPr>
            <w:tcW w:w="121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outlineLvl w:val="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30</w:t>
            </w:r>
          </w:p>
        </w:tc>
        <w:tc>
          <w:tcPr>
            <w:tcW w:w="4963" w:type="dxa"/>
            <w:noWrap w:val="0"/>
            <w:vAlign w:val="center"/>
          </w:tcPr>
          <w:p>
            <w:pPr>
              <w:widowControl/>
              <w:spacing w:line="300" w:lineRule="exact"/>
              <w:outlineLvl w:val="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根据对本项目的理解，制定合理可行的本项目服务方案</w:t>
            </w:r>
          </w:p>
          <w:p>
            <w:pPr>
              <w:widowControl/>
              <w:spacing w:line="300" w:lineRule="exact"/>
              <w:outlineLvl w:val="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1. 方案具有很强的针对性、可操作性、执行性，得26－3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分；</w:t>
            </w:r>
          </w:p>
          <w:p>
            <w:pPr>
              <w:widowControl/>
              <w:spacing w:line="300" w:lineRule="exact"/>
              <w:outlineLvl w:val="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2. 方案具有较强的针对性、可操作性、执行性，得19－25分；</w:t>
            </w:r>
          </w:p>
          <w:p>
            <w:pPr>
              <w:widowControl/>
              <w:spacing w:line="300" w:lineRule="exact"/>
              <w:outlineLvl w:val="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3. 方案的针对性、可操作性、执行性一般，得12－18分；</w:t>
            </w:r>
          </w:p>
          <w:p>
            <w:pPr>
              <w:widowControl/>
              <w:spacing w:line="300" w:lineRule="exact"/>
              <w:outlineLvl w:val="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4. 方案的针对性、可操作性、执行性较差，得5－11分；</w:t>
            </w:r>
          </w:p>
          <w:p>
            <w:pPr>
              <w:widowControl/>
              <w:spacing w:line="300" w:lineRule="exact"/>
              <w:outlineLvl w:val="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5. 方案的针对性、可操作性、执行性差，得0－4分；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2" w:hRule="atLeast"/>
        </w:trPr>
        <w:tc>
          <w:tcPr>
            <w:tcW w:w="70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outlineLvl w:val="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3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outlineLvl w:val="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内部管理制度</w:t>
            </w:r>
          </w:p>
        </w:tc>
        <w:tc>
          <w:tcPr>
            <w:tcW w:w="121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outlineLvl w:val="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15</w:t>
            </w:r>
          </w:p>
        </w:tc>
        <w:tc>
          <w:tcPr>
            <w:tcW w:w="4963" w:type="dxa"/>
            <w:noWrap w:val="0"/>
            <w:vAlign w:val="center"/>
          </w:tcPr>
          <w:p>
            <w:pPr>
              <w:widowControl/>
              <w:spacing w:line="300" w:lineRule="exact"/>
              <w:outlineLvl w:val="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根据内部建设进行评审。包括但不限于内部管理制度、招标采购代理各环节工作流程、质量保证措施。及其他说明等进行综合评审：</w:t>
            </w:r>
          </w:p>
          <w:p>
            <w:pPr>
              <w:widowControl/>
              <w:spacing w:line="300" w:lineRule="exact"/>
              <w:outlineLvl w:val="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1. 内部建设相对具有明显优势，得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12—15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分；</w:t>
            </w:r>
          </w:p>
          <w:p>
            <w:pPr>
              <w:widowControl/>
              <w:spacing w:line="300" w:lineRule="exact"/>
              <w:outlineLvl w:val="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2. 内部建设相对一般，得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9—11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分；</w:t>
            </w:r>
          </w:p>
          <w:p>
            <w:pPr>
              <w:widowControl/>
              <w:spacing w:line="300" w:lineRule="exact"/>
              <w:outlineLvl w:val="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3. 内部建设相对较差，得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5—8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分；</w:t>
            </w:r>
          </w:p>
          <w:p>
            <w:pPr>
              <w:widowControl/>
              <w:spacing w:line="300" w:lineRule="exact"/>
              <w:outlineLvl w:val="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4．内部建设相对极差，得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0-4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atLeast"/>
        </w:trPr>
        <w:tc>
          <w:tcPr>
            <w:tcW w:w="70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outlineLvl w:val="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4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outlineLvl w:val="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廉洁诚信承诺及保证措施</w:t>
            </w:r>
          </w:p>
        </w:tc>
        <w:tc>
          <w:tcPr>
            <w:tcW w:w="121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outlineLvl w:val="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15</w:t>
            </w:r>
          </w:p>
        </w:tc>
        <w:tc>
          <w:tcPr>
            <w:tcW w:w="4963" w:type="dxa"/>
            <w:noWrap w:val="0"/>
            <w:vAlign w:val="center"/>
          </w:tcPr>
          <w:p>
            <w:pPr>
              <w:widowControl/>
              <w:spacing w:line="300" w:lineRule="exact"/>
              <w:outlineLvl w:val="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1.廉洁从业承诺及保证措施具体、切实可行，保证措施针对性强的，得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11-15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分；</w:t>
            </w:r>
          </w:p>
          <w:p>
            <w:pPr>
              <w:widowControl/>
              <w:spacing w:line="300" w:lineRule="exact"/>
              <w:outlineLvl w:val="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2.廉洁从业承诺及保证措施较为具体、切实可行，保证措施针对性一般的，得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6-10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分；</w:t>
            </w:r>
          </w:p>
          <w:p>
            <w:pPr>
              <w:widowControl/>
              <w:spacing w:line="300" w:lineRule="exact"/>
              <w:outlineLvl w:val="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3.廉洁从业承诺及保证措施较差，保证措施针对性较差的，得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0-5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70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outlineLvl w:val="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5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outlineLvl w:val="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人员配备情况</w:t>
            </w:r>
          </w:p>
        </w:tc>
        <w:tc>
          <w:tcPr>
            <w:tcW w:w="121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outlineLvl w:val="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15</w:t>
            </w:r>
          </w:p>
        </w:tc>
        <w:tc>
          <w:tcPr>
            <w:tcW w:w="4963" w:type="dxa"/>
            <w:noWrap w:val="0"/>
            <w:vAlign w:val="center"/>
          </w:tcPr>
          <w:p>
            <w:pPr>
              <w:widowControl/>
              <w:spacing w:line="300" w:lineRule="exact"/>
              <w:outlineLvl w:val="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根据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>报价单位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拟出人员进行评审。包括但不限于项目负责人、项目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组成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人员，项目组人员配置方案合理，职责分工明确，项目负责人及业务人员具有较强业务专业素养。及其他说明等进行综合评审：</w:t>
            </w:r>
          </w:p>
          <w:p>
            <w:pPr>
              <w:widowControl/>
              <w:spacing w:line="300" w:lineRule="exact"/>
              <w:outlineLvl w:val="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1. 派出人及合理性员配置实力相对具有明显优势，得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12-15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分；</w:t>
            </w:r>
          </w:p>
          <w:p>
            <w:pPr>
              <w:widowControl/>
              <w:spacing w:line="300" w:lineRule="exact"/>
              <w:outlineLvl w:val="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2. 派出人及合理性员配置实力相对一般，得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8-11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分；</w:t>
            </w:r>
          </w:p>
          <w:p>
            <w:pPr>
              <w:widowControl/>
              <w:spacing w:line="300" w:lineRule="exact"/>
              <w:outlineLvl w:val="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3. 派出人及合理性员配置实力相对较差，得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4-7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分；</w:t>
            </w:r>
          </w:p>
          <w:p>
            <w:pPr>
              <w:widowControl/>
              <w:spacing w:line="300" w:lineRule="exact"/>
              <w:outlineLvl w:val="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4．派出人及合理性员配置实力相对极差，得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0-3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atLeast"/>
        </w:trPr>
        <w:tc>
          <w:tcPr>
            <w:tcW w:w="70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outlineLvl w:val="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6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outlineLvl w:val="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业绩</w:t>
            </w:r>
          </w:p>
        </w:tc>
        <w:tc>
          <w:tcPr>
            <w:tcW w:w="121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outlineLvl w:val="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5</w:t>
            </w:r>
          </w:p>
        </w:tc>
        <w:tc>
          <w:tcPr>
            <w:tcW w:w="4963" w:type="dxa"/>
            <w:noWrap w:val="0"/>
            <w:vAlign w:val="center"/>
          </w:tcPr>
          <w:p>
            <w:pPr>
              <w:widowControl/>
              <w:spacing w:line="300" w:lineRule="exact"/>
              <w:outlineLvl w:val="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2022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年至今每完成1项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招标代理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业绩的得1分（一个项目只计算一次，不分标段），本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项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最多得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分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>。</w:t>
            </w:r>
          </w:p>
          <w:p>
            <w:pPr>
              <w:widowControl/>
              <w:spacing w:line="300" w:lineRule="exact"/>
              <w:outlineLvl w:val="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注：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须提供委托代理协议或招标代理合同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扫描件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或复印件等，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以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合同签订时间为准。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2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2MzlhNWJmZTBiNmE3YjE1MmQ3MjYzZjg1NDkzZTcifQ=="/>
  </w:docVars>
  <w:rsids>
    <w:rsidRoot w:val="2432164D"/>
    <w:rsid w:val="2432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仿宋_GB2312"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玉溪市江川区党政机关单位</Company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2024-04-22T07:22:00Z</dcterms:created>
  <dc:creator>Administrator</dc:creator>
  <cp:lastModifiedBy>Administrator</cp:lastModifiedBy>
  <dcterms:modified xsi:type="dcterms:W3CDTF">2024-04-22T07:22:56Z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7262E2A4088542249BF4F71CB609317F_11</vt:lpwstr>
  </property>
</Properties>
</file>