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790" w:rsidRDefault="009E1790" w:rsidP="009E1790">
      <w:pPr>
        <w:spacing w:line="312" w:lineRule="auto"/>
        <w:jc w:val="center"/>
        <w:rPr>
          <w:rFonts w:ascii="宋体" w:hAnsi="宋体" w:cs="宋体"/>
          <w:b/>
          <w:bCs/>
          <w:szCs w:val="28"/>
        </w:rPr>
      </w:pPr>
      <w:r>
        <w:rPr>
          <w:rFonts w:ascii="宋体" w:hAnsi="宋体" w:cs="宋体" w:hint="eastAsia"/>
          <w:b/>
          <w:bCs/>
          <w:szCs w:val="28"/>
        </w:rPr>
        <w:t>评审标准</w:t>
      </w:r>
    </w:p>
    <w:p w:rsidR="009E1790" w:rsidRDefault="009E1790" w:rsidP="009E1790">
      <w:pPr>
        <w:spacing w:line="312" w:lineRule="auto"/>
        <w:ind w:firstLineChars="200" w:firstLine="480"/>
        <w:jc w:val="center"/>
        <w:rPr>
          <w:rFonts w:ascii="宋体" w:hAnsi="宋体" w:cs="宋体"/>
          <w:sz w:val="24"/>
          <w:szCs w:val="24"/>
        </w:rPr>
      </w:pPr>
    </w:p>
    <w:tbl>
      <w:tblPr>
        <w:tblpPr w:leftFromText="180" w:rightFromText="180" w:vertAnchor="text" w:tblpXSpec="center" w:tblpY="1"/>
        <w:tblOverlap w:val="neve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69"/>
        <w:gridCol w:w="955"/>
        <w:gridCol w:w="5997"/>
        <w:gridCol w:w="1404"/>
      </w:tblGrid>
      <w:tr w:rsidR="009E1790" w:rsidTr="005F7F2D">
        <w:trPr>
          <w:trHeight w:val="647"/>
        </w:trPr>
        <w:tc>
          <w:tcPr>
            <w:tcW w:w="705" w:type="dxa"/>
            <w:vAlign w:val="center"/>
          </w:tcPr>
          <w:p w:rsidR="009E1790" w:rsidRDefault="009E1790" w:rsidP="005F7F2D">
            <w:pPr>
              <w:spacing w:line="440" w:lineRule="exact"/>
              <w:jc w:val="center"/>
              <w:rPr>
                <w:rFonts w:ascii="宋体" w:hAnsi="宋体" w:cs="宋体"/>
                <w:b/>
                <w:sz w:val="24"/>
                <w:szCs w:val="24"/>
              </w:rPr>
            </w:pPr>
            <w:r>
              <w:rPr>
                <w:rFonts w:ascii="宋体" w:hAnsi="宋体" w:cs="宋体" w:hint="eastAsia"/>
                <w:b/>
                <w:sz w:val="24"/>
                <w:szCs w:val="24"/>
              </w:rPr>
              <w:t>序号</w:t>
            </w:r>
          </w:p>
        </w:tc>
        <w:tc>
          <w:tcPr>
            <w:tcW w:w="1269" w:type="dxa"/>
            <w:vAlign w:val="center"/>
          </w:tcPr>
          <w:p w:rsidR="009E1790" w:rsidRDefault="009E1790" w:rsidP="005F7F2D">
            <w:pPr>
              <w:spacing w:line="440" w:lineRule="exact"/>
              <w:jc w:val="center"/>
              <w:rPr>
                <w:rFonts w:ascii="宋体" w:hAnsi="宋体" w:cs="宋体"/>
                <w:b/>
                <w:sz w:val="24"/>
                <w:szCs w:val="24"/>
              </w:rPr>
            </w:pPr>
            <w:r>
              <w:rPr>
                <w:rFonts w:ascii="宋体" w:hAnsi="宋体" w:cs="宋体" w:hint="eastAsia"/>
                <w:b/>
                <w:sz w:val="24"/>
                <w:szCs w:val="24"/>
              </w:rPr>
              <w:t>评分因素</w:t>
            </w:r>
          </w:p>
        </w:tc>
        <w:tc>
          <w:tcPr>
            <w:tcW w:w="955" w:type="dxa"/>
            <w:vAlign w:val="center"/>
          </w:tcPr>
          <w:p w:rsidR="009E1790" w:rsidRDefault="009E1790" w:rsidP="005F7F2D">
            <w:pPr>
              <w:spacing w:line="440" w:lineRule="exact"/>
              <w:jc w:val="center"/>
              <w:rPr>
                <w:rFonts w:ascii="宋体" w:hAnsi="宋体" w:cs="宋体"/>
                <w:b/>
                <w:sz w:val="24"/>
                <w:szCs w:val="24"/>
              </w:rPr>
            </w:pPr>
            <w:r>
              <w:rPr>
                <w:rFonts w:ascii="宋体" w:hAnsi="宋体" w:cs="宋体" w:hint="eastAsia"/>
                <w:b/>
                <w:sz w:val="24"/>
                <w:szCs w:val="24"/>
              </w:rPr>
              <w:t>分值</w:t>
            </w:r>
          </w:p>
        </w:tc>
        <w:tc>
          <w:tcPr>
            <w:tcW w:w="5997" w:type="dxa"/>
            <w:vAlign w:val="center"/>
          </w:tcPr>
          <w:p w:rsidR="009E1790" w:rsidRDefault="009E1790" w:rsidP="005F7F2D">
            <w:pPr>
              <w:spacing w:line="440" w:lineRule="exact"/>
              <w:jc w:val="center"/>
              <w:rPr>
                <w:rFonts w:ascii="宋体" w:hAnsi="宋体" w:cs="宋体"/>
                <w:b/>
                <w:sz w:val="24"/>
                <w:szCs w:val="24"/>
              </w:rPr>
            </w:pPr>
            <w:r>
              <w:rPr>
                <w:rFonts w:ascii="宋体" w:hAnsi="宋体" w:cs="宋体" w:hint="eastAsia"/>
                <w:b/>
                <w:sz w:val="24"/>
                <w:szCs w:val="24"/>
              </w:rPr>
              <w:t>评分标准（以下评分标准为举例）</w:t>
            </w:r>
          </w:p>
        </w:tc>
        <w:tc>
          <w:tcPr>
            <w:tcW w:w="1404" w:type="dxa"/>
            <w:vAlign w:val="center"/>
          </w:tcPr>
          <w:p w:rsidR="009E1790" w:rsidRDefault="009E1790" w:rsidP="005F7F2D">
            <w:pPr>
              <w:pStyle w:val="a5"/>
              <w:spacing w:before="0" w:after="0" w:line="440" w:lineRule="exact"/>
              <w:rPr>
                <w:rFonts w:ascii="宋体" w:eastAsia="宋体" w:hAnsi="宋体" w:cs="宋体"/>
                <w:szCs w:val="24"/>
              </w:rPr>
            </w:pPr>
            <w:r>
              <w:rPr>
                <w:rFonts w:ascii="宋体" w:eastAsia="宋体" w:hAnsi="宋体" w:cs="宋体" w:hint="eastAsia"/>
                <w:szCs w:val="24"/>
              </w:rPr>
              <w:t>说明</w:t>
            </w:r>
          </w:p>
        </w:tc>
      </w:tr>
      <w:tr w:rsidR="009E1790" w:rsidTr="005F7F2D">
        <w:trPr>
          <w:trHeight w:val="1193"/>
        </w:trPr>
        <w:tc>
          <w:tcPr>
            <w:tcW w:w="705" w:type="dxa"/>
            <w:vAlign w:val="center"/>
          </w:tcPr>
          <w:p w:rsidR="009E1790" w:rsidRDefault="009E1790" w:rsidP="005F7F2D">
            <w:pPr>
              <w:spacing w:line="360" w:lineRule="exact"/>
              <w:jc w:val="center"/>
              <w:rPr>
                <w:rFonts w:ascii="宋体" w:hAnsi="宋体" w:cs="方正仿宋_GBK"/>
                <w:sz w:val="24"/>
                <w:szCs w:val="24"/>
              </w:rPr>
            </w:pPr>
            <w:r>
              <w:rPr>
                <w:rFonts w:ascii="宋体" w:hAnsi="宋体" w:cs="方正仿宋_GBK" w:hint="eastAsia"/>
                <w:sz w:val="24"/>
                <w:szCs w:val="24"/>
              </w:rPr>
              <w:t>1</w:t>
            </w:r>
          </w:p>
        </w:tc>
        <w:tc>
          <w:tcPr>
            <w:tcW w:w="1269" w:type="dxa"/>
            <w:vAlign w:val="center"/>
          </w:tcPr>
          <w:p w:rsidR="009E1790" w:rsidRDefault="009E1790" w:rsidP="005F7F2D">
            <w:pPr>
              <w:spacing w:line="360" w:lineRule="exact"/>
              <w:rPr>
                <w:rFonts w:ascii="宋体" w:hAnsi="宋体" w:cs="方正仿宋_GBK"/>
                <w:sz w:val="24"/>
                <w:szCs w:val="24"/>
              </w:rPr>
            </w:pPr>
            <w:r>
              <w:rPr>
                <w:rFonts w:ascii="宋体" w:hAnsi="宋体" w:cs="方正仿宋_GBK" w:hint="eastAsia"/>
                <w:sz w:val="24"/>
                <w:szCs w:val="24"/>
              </w:rPr>
              <w:t>投标报价</w:t>
            </w:r>
          </w:p>
        </w:tc>
        <w:tc>
          <w:tcPr>
            <w:tcW w:w="955" w:type="dxa"/>
            <w:vAlign w:val="center"/>
          </w:tcPr>
          <w:p w:rsidR="009E1790" w:rsidRDefault="009E1790" w:rsidP="005F7F2D">
            <w:pPr>
              <w:spacing w:line="360" w:lineRule="exact"/>
              <w:jc w:val="center"/>
              <w:rPr>
                <w:rFonts w:ascii="宋体" w:hAnsi="宋体" w:cs="方正仿宋_GBK"/>
                <w:sz w:val="24"/>
                <w:szCs w:val="24"/>
              </w:rPr>
            </w:pPr>
            <w:r>
              <w:rPr>
                <w:rFonts w:ascii="宋体" w:hAnsi="宋体" w:cs="方正仿宋_GBK" w:hint="eastAsia"/>
                <w:sz w:val="24"/>
                <w:szCs w:val="24"/>
              </w:rPr>
              <w:t>20</w:t>
            </w:r>
          </w:p>
        </w:tc>
        <w:tc>
          <w:tcPr>
            <w:tcW w:w="5997" w:type="dxa"/>
            <w:vAlign w:val="center"/>
          </w:tcPr>
          <w:p w:rsidR="009E1790" w:rsidRDefault="009E1790" w:rsidP="005F7F2D">
            <w:pPr>
              <w:widowControl/>
              <w:wordWrap w:val="0"/>
              <w:spacing w:line="360" w:lineRule="auto"/>
              <w:rPr>
                <w:rFonts w:ascii="宋体" w:hAnsi="宋体" w:cs="宋体"/>
                <w:kern w:val="0"/>
                <w:sz w:val="24"/>
              </w:rPr>
            </w:pPr>
            <w:r>
              <w:rPr>
                <w:rFonts w:ascii="宋体" w:hAnsi="宋体" w:cs="宋体" w:hint="eastAsia"/>
                <w:kern w:val="0"/>
                <w:sz w:val="24"/>
              </w:rPr>
              <w:t>有效报价计算得分：在有效报价范围内，满足招标文件初步评审要求且</w:t>
            </w:r>
            <w:r>
              <w:rPr>
                <w:rFonts w:ascii="宋体" w:hAnsi="宋体" w:cs="宋体" w:hint="eastAsia"/>
                <w:b/>
                <w:bCs/>
                <w:sz w:val="24"/>
                <w:szCs w:val="24"/>
              </w:rPr>
              <w:t>二次报价</w:t>
            </w:r>
            <w:r>
              <w:rPr>
                <w:rFonts w:ascii="宋体" w:hAnsi="宋体" w:cs="宋体" w:hint="eastAsia"/>
                <w:b/>
                <w:bCs/>
                <w:kern w:val="0"/>
                <w:sz w:val="24"/>
              </w:rPr>
              <w:t>最低</w:t>
            </w:r>
            <w:r>
              <w:rPr>
                <w:rFonts w:ascii="宋体" w:hAnsi="宋体" w:cs="宋体" w:hint="eastAsia"/>
                <w:kern w:val="0"/>
                <w:sz w:val="24"/>
              </w:rPr>
              <w:t>的报价为报价基准价，其价格分为满分20分，其他供应商的报价分统一按照下列公式计算：</w:t>
            </w:r>
          </w:p>
          <w:p w:rsidR="009E1790" w:rsidRDefault="009E1790" w:rsidP="005F7F2D">
            <w:pPr>
              <w:widowControl/>
              <w:spacing w:line="360" w:lineRule="auto"/>
              <w:outlineLvl w:val="2"/>
              <w:rPr>
                <w:rFonts w:ascii="宋体" w:hAnsi="宋体" w:cs="方正仿宋_GBK"/>
                <w:sz w:val="24"/>
                <w:szCs w:val="24"/>
              </w:rPr>
            </w:pPr>
            <w:r>
              <w:rPr>
                <w:rFonts w:ascii="宋体" w:hAnsi="宋体" w:cs="宋体" w:hint="eastAsia"/>
                <w:kern w:val="0"/>
                <w:sz w:val="24"/>
              </w:rPr>
              <w:t>报价得分=(评标基准价/投标报价)×20</w:t>
            </w:r>
          </w:p>
        </w:tc>
        <w:tc>
          <w:tcPr>
            <w:tcW w:w="1404" w:type="dxa"/>
            <w:vAlign w:val="center"/>
          </w:tcPr>
          <w:p w:rsidR="009E1790" w:rsidRDefault="009E1790" w:rsidP="005F7F2D">
            <w:pPr>
              <w:spacing w:line="360" w:lineRule="exact"/>
              <w:rPr>
                <w:rFonts w:ascii="宋体" w:hAnsi="宋体" w:cs="方正仿宋_GBK"/>
                <w:sz w:val="24"/>
                <w:szCs w:val="24"/>
              </w:rPr>
            </w:pPr>
            <w:r>
              <w:rPr>
                <w:rFonts w:ascii="宋体" w:hAnsi="宋体" w:cs="宋体" w:hint="eastAsia"/>
                <w:sz w:val="24"/>
                <w:szCs w:val="24"/>
              </w:rPr>
              <w:t>高于预算价为无效报价</w:t>
            </w:r>
          </w:p>
        </w:tc>
      </w:tr>
      <w:tr w:rsidR="009E1790" w:rsidTr="005F7F2D">
        <w:trPr>
          <w:trHeight w:val="3640"/>
        </w:trPr>
        <w:tc>
          <w:tcPr>
            <w:tcW w:w="705" w:type="dxa"/>
            <w:vAlign w:val="center"/>
          </w:tcPr>
          <w:p w:rsidR="009E1790" w:rsidRDefault="009E1790" w:rsidP="005F7F2D">
            <w:pPr>
              <w:spacing w:line="360" w:lineRule="exact"/>
              <w:jc w:val="center"/>
              <w:rPr>
                <w:rFonts w:ascii="宋体" w:hAnsi="宋体" w:cs="方正仿宋_GBK"/>
                <w:sz w:val="24"/>
                <w:szCs w:val="24"/>
              </w:rPr>
            </w:pPr>
            <w:r>
              <w:rPr>
                <w:rFonts w:ascii="宋体" w:hAnsi="宋体" w:cs="方正仿宋_GBK" w:hint="eastAsia"/>
                <w:sz w:val="24"/>
                <w:szCs w:val="24"/>
              </w:rPr>
              <w:t>2</w:t>
            </w:r>
          </w:p>
        </w:tc>
        <w:tc>
          <w:tcPr>
            <w:tcW w:w="1269" w:type="dxa"/>
            <w:vAlign w:val="center"/>
          </w:tcPr>
          <w:p w:rsidR="009E1790" w:rsidRDefault="009E1790" w:rsidP="005F7F2D">
            <w:pPr>
              <w:spacing w:line="360" w:lineRule="exact"/>
              <w:jc w:val="center"/>
              <w:rPr>
                <w:rFonts w:ascii="宋体" w:hAnsi="宋体" w:cs="方正仿宋_GBK"/>
                <w:sz w:val="24"/>
                <w:szCs w:val="24"/>
              </w:rPr>
            </w:pPr>
            <w:r>
              <w:rPr>
                <w:rFonts w:ascii="宋体" w:hAnsi="宋体" w:cs="方正仿宋_GBK" w:hint="eastAsia"/>
                <w:sz w:val="24"/>
                <w:szCs w:val="24"/>
              </w:rPr>
              <w:t>服务部分</w:t>
            </w:r>
          </w:p>
        </w:tc>
        <w:tc>
          <w:tcPr>
            <w:tcW w:w="955" w:type="dxa"/>
            <w:vAlign w:val="center"/>
          </w:tcPr>
          <w:p w:rsidR="009E1790" w:rsidRDefault="009E1790" w:rsidP="005F7F2D">
            <w:pPr>
              <w:spacing w:line="240" w:lineRule="exact"/>
              <w:jc w:val="center"/>
              <w:rPr>
                <w:rFonts w:ascii="宋体" w:hAnsi="宋体" w:cs="方正仿宋_GBK"/>
                <w:sz w:val="24"/>
                <w:szCs w:val="24"/>
              </w:rPr>
            </w:pPr>
            <w:r>
              <w:rPr>
                <w:rFonts w:ascii="宋体" w:hAnsi="宋体" w:cs="方正仿宋_GBK" w:hint="eastAsia"/>
                <w:sz w:val="24"/>
                <w:szCs w:val="24"/>
              </w:rPr>
              <w:t>55</w:t>
            </w:r>
          </w:p>
        </w:tc>
        <w:tc>
          <w:tcPr>
            <w:tcW w:w="5997" w:type="dxa"/>
            <w:vAlign w:val="center"/>
          </w:tcPr>
          <w:p w:rsidR="009E1790" w:rsidRDefault="009E1790" w:rsidP="005F7F2D">
            <w:pPr>
              <w:widowControl/>
              <w:spacing w:line="360" w:lineRule="auto"/>
              <w:outlineLvl w:val="2"/>
              <w:rPr>
                <w:rFonts w:ascii="宋体" w:hAnsi="宋体" w:cs="宋体"/>
                <w:sz w:val="24"/>
                <w:szCs w:val="24"/>
              </w:rPr>
            </w:pPr>
            <w:r>
              <w:rPr>
                <w:rFonts w:ascii="宋体" w:hAnsi="宋体" w:cs="宋体" w:hint="eastAsia"/>
                <w:sz w:val="24"/>
              </w:rPr>
              <w:t>1、项目理解(10分）：对本项目的解读与理解程度评分，解读透彻、理解充分得10分；解读较透彻、理解较充分得5分；解读与理解程度一般得1分；未提供的不得分。</w:t>
            </w:r>
          </w:p>
          <w:p w:rsidR="009E1790" w:rsidRDefault="009E1790" w:rsidP="005F7F2D">
            <w:pPr>
              <w:widowControl/>
              <w:spacing w:line="360" w:lineRule="auto"/>
              <w:outlineLvl w:val="2"/>
              <w:rPr>
                <w:rFonts w:ascii="宋体" w:hAnsi="宋体" w:cs="宋体"/>
                <w:sz w:val="24"/>
                <w:szCs w:val="24"/>
              </w:rPr>
            </w:pPr>
            <w:r>
              <w:rPr>
                <w:rFonts w:ascii="宋体" w:hAnsi="宋体" w:cs="宋体" w:hint="eastAsia"/>
                <w:sz w:val="24"/>
              </w:rPr>
              <w:t>2、技术方案（15分）：技术方案完善，可实施性强。对项目内容及重点的理解把握全面、重点突出、程序清晰明确得 15 分；技术方案比较完善，工作内容比较全面、重点比较突出、程序清晰明确得 10 分；技术方案基本完善得 1分 ；未提供不得分 。</w:t>
            </w:r>
          </w:p>
          <w:p w:rsidR="009E1790" w:rsidRDefault="009E1790" w:rsidP="005F7F2D">
            <w:pPr>
              <w:widowControl/>
              <w:wordWrap w:val="0"/>
              <w:spacing w:line="360" w:lineRule="auto"/>
              <w:rPr>
                <w:rFonts w:ascii="宋体" w:hAnsi="宋体" w:cs="宋体"/>
                <w:sz w:val="24"/>
                <w:szCs w:val="24"/>
              </w:rPr>
            </w:pPr>
            <w:r>
              <w:rPr>
                <w:rFonts w:ascii="宋体" w:hAnsi="宋体" w:cs="宋体" w:hint="eastAsia"/>
                <w:sz w:val="24"/>
              </w:rPr>
              <w:t>3、进度计划安排（10分）：项目进度安排严谨、清晰、合理，进度保证措施完善、全面，具有针对性得 10 分；项目进度安排基本满足需求，切实可行得 5分；进度安排不合理得 1 分；未提供不得分。</w:t>
            </w:r>
          </w:p>
          <w:p w:rsidR="009E1790" w:rsidRDefault="009E1790" w:rsidP="005F7F2D">
            <w:pPr>
              <w:widowControl/>
              <w:spacing w:line="360" w:lineRule="auto"/>
              <w:outlineLvl w:val="2"/>
              <w:rPr>
                <w:rFonts w:ascii="宋体" w:hAnsi="宋体" w:cs="宋体"/>
                <w:sz w:val="24"/>
              </w:rPr>
            </w:pPr>
            <w:r>
              <w:rPr>
                <w:rFonts w:ascii="宋体" w:hAnsi="宋体" w:cs="宋体" w:hint="eastAsia"/>
                <w:sz w:val="24"/>
              </w:rPr>
              <w:t>4、质量保障（10分）：根据投标人提供的质量保证目标、质量保证措施，质量控制体系三项进行评分，以上内容完整、表述清楚、其可操作性强得 10 分；内容基本完整、表述清楚、其可操作性一般得 5 分；内容及标书模糊，操作性低得 1 分；未提供不得分。</w:t>
            </w:r>
          </w:p>
          <w:p w:rsidR="009E1790" w:rsidRDefault="009E1790" w:rsidP="005F7F2D">
            <w:pPr>
              <w:pStyle w:val="2"/>
              <w:spacing w:line="360" w:lineRule="auto"/>
              <w:ind w:leftChars="0" w:left="0" w:firstLineChars="0" w:firstLine="0"/>
            </w:pPr>
            <w:r>
              <w:rPr>
                <w:rFonts w:ascii="宋体" w:hAnsi="宋体" w:cs="宋体" w:hint="eastAsia"/>
                <w:sz w:val="24"/>
              </w:rPr>
              <w:t>5、服务承诺（10分）：服务承诺完备得10分；服务承诺较完备得5分；服务承诺一般得1分；未提供服务承诺不得分。</w:t>
            </w:r>
          </w:p>
        </w:tc>
        <w:tc>
          <w:tcPr>
            <w:tcW w:w="1404" w:type="dxa"/>
            <w:vAlign w:val="center"/>
          </w:tcPr>
          <w:p w:rsidR="009E1790" w:rsidRDefault="009E1790" w:rsidP="005F7F2D">
            <w:pPr>
              <w:spacing w:line="360" w:lineRule="exact"/>
              <w:rPr>
                <w:rFonts w:ascii="宋体" w:hAnsi="宋体" w:cs="方正仿宋_GBK"/>
                <w:sz w:val="24"/>
                <w:szCs w:val="24"/>
              </w:rPr>
            </w:pPr>
            <w:r>
              <w:rPr>
                <w:rFonts w:ascii="宋体" w:hAnsi="宋体" w:cs="宋体" w:hint="eastAsia"/>
                <w:sz w:val="24"/>
                <w:szCs w:val="24"/>
              </w:rPr>
              <w:t>采购人会根据采购服务要求为标准，对各供应商提供的书面方案进行横向比较评分。</w:t>
            </w:r>
          </w:p>
        </w:tc>
      </w:tr>
      <w:tr w:rsidR="009E1790" w:rsidTr="005F7F2D">
        <w:trPr>
          <w:trHeight w:val="1605"/>
        </w:trPr>
        <w:tc>
          <w:tcPr>
            <w:tcW w:w="705" w:type="dxa"/>
            <w:vAlign w:val="center"/>
          </w:tcPr>
          <w:p w:rsidR="009E1790" w:rsidRDefault="009E1790" w:rsidP="005F7F2D">
            <w:pPr>
              <w:spacing w:line="320" w:lineRule="exact"/>
              <w:jc w:val="center"/>
              <w:rPr>
                <w:rFonts w:ascii="宋体" w:hAnsi="宋体" w:cs="方正仿宋_GBK"/>
                <w:sz w:val="24"/>
                <w:szCs w:val="24"/>
              </w:rPr>
            </w:pPr>
            <w:r>
              <w:rPr>
                <w:rFonts w:ascii="宋体" w:hAnsi="宋体" w:cs="方正仿宋_GBK" w:hint="eastAsia"/>
                <w:sz w:val="24"/>
                <w:szCs w:val="24"/>
              </w:rPr>
              <w:lastRenderedPageBreak/>
              <w:t>3</w:t>
            </w:r>
          </w:p>
        </w:tc>
        <w:tc>
          <w:tcPr>
            <w:tcW w:w="1269" w:type="dxa"/>
            <w:vAlign w:val="center"/>
          </w:tcPr>
          <w:p w:rsidR="009E1790" w:rsidRDefault="009E1790" w:rsidP="005F7F2D">
            <w:pPr>
              <w:spacing w:line="320" w:lineRule="exact"/>
              <w:jc w:val="center"/>
              <w:rPr>
                <w:rFonts w:ascii="宋体" w:hAnsi="宋体" w:cs="方正仿宋_GBK"/>
                <w:sz w:val="24"/>
                <w:szCs w:val="24"/>
              </w:rPr>
            </w:pPr>
            <w:r>
              <w:rPr>
                <w:rFonts w:ascii="宋体" w:hAnsi="宋体" w:cs="方正仿宋_GBK" w:hint="eastAsia"/>
                <w:sz w:val="24"/>
                <w:szCs w:val="24"/>
              </w:rPr>
              <w:t>商务部分</w:t>
            </w:r>
          </w:p>
        </w:tc>
        <w:tc>
          <w:tcPr>
            <w:tcW w:w="955" w:type="dxa"/>
            <w:vAlign w:val="center"/>
          </w:tcPr>
          <w:p w:rsidR="009E1790" w:rsidRDefault="009E1790" w:rsidP="005F7F2D">
            <w:pPr>
              <w:widowControl/>
              <w:spacing w:line="300" w:lineRule="exact"/>
              <w:jc w:val="center"/>
              <w:outlineLvl w:val="2"/>
              <w:rPr>
                <w:rFonts w:ascii="宋体" w:hAnsi="宋体" w:cs="宋体"/>
                <w:sz w:val="24"/>
                <w:szCs w:val="24"/>
              </w:rPr>
            </w:pPr>
            <w:r>
              <w:rPr>
                <w:rFonts w:ascii="宋体" w:hAnsi="宋体" w:cs="宋体" w:hint="eastAsia"/>
                <w:sz w:val="24"/>
                <w:szCs w:val="24"/>
              </w:rPr>
              <w:t>15</w:t>
            </w:r>
          </w:p>
        </w:tc>
        <w:tc>
          <w:tcPr>
            <w:tcW w:w="5997" w:type="dxa"/>
            <w:vAlign w:val="center"/>
          </w:tcPr>
          <w:p w:rsidR="009E1790" w:rsidRDefault="009E1790" w:rsidP="005F7F2D">
            <w:pPr>
              <w:widowControl/>
              <w:spacing w:line="300" w:lineRule="exact"/>
              <w:outlineLvl w:val="2"/>
            </w:pPr>
            <w:r>
              <w:rPr>
                <w:rFonts w:ascii="宋体" w:hAnsi="宋体" w:cs="宋体" w:hint="eastAsia"/>
                <w:sz w:val="24"/>
              </w:rPr>
              <w:t>投标人 2021 年 1 月 1 日以来具有类似项目业绩的，每个得3 分，最高得15分。（提供成交通知书和合同扫描件并加盖公章）</w:t>
            </w:r>
          </w:p>
        </w:tc>
        <w:tc>
          <w:tcPr>
            <w:tcW w:w="1404" w:type="dxa"/>
            <w:vAlign w:val="center"/>
          </w:tcPr>
          <w:p w:rsidR="009E1790" w:rsidRDefault="009E1790" w:rsidP="005F7F2D">
            <w:pPr>
              <w:spacing w:line="320" w:lineRule="exact"/>
              <w:rPr>
                <w:rFonts w:ascii="宋体" w:hAnsi="宋体" w:cs="方正仿宋_GBK"/>
                <w:sz w:val="24"/>
                <w:szCs w:val="24"/>
              </w:rPr>
            </w:pPr>
            <w:r>
              <w:rPr>
                <w:rFonts w:ascii="宋体" w:hAnsi="宋体" w:cs="宋体" w:hint="eastAsia"/>
                <w:sz w:val="24"/>
                <w:szCs w:val="24"/>
              </w:rPr>
              <w:t>提供合同或其他有效证明文件扫描件，原件备查。</w:t>
            </w:r>
          </w:p>
        </w:tc>
      </w:tr>
      <w:tr w:rsidR="009E1790" w:rsidTr="005F7F2D">
        <w:trPr>
          <w:trHeight w:val="2355"/>
        </w:trPr>
        <w:tc>
          <w:tcPr>
            <w:tcW w:w="705" w:type="dxa"/>
            <w:vAlign w:val="center"/>
          </w:tcPr>
          <w:p w:rsidR="009E1790" w:rsidRDefault="009E1790" w:rsidP="005F7F2D">
            <w:pPr>
              <w:spacing w:line="320" w:lineRule="exact"/>
              <w:jc w:val="center"/>
              <w:rPr>
                <w:rFonts w:ascii="宋体" w:hAnsi="宋体" w:cs="方正仿宋_GBK"/>
                <w:sz w:val="24"/>
                <w:szCs w:val="24"/>
              </w:rPr>
            </w:pPr>
            <w:r>
              <w:rPr>
                <w:rFonts w:ascii="宋体" w:hAnsi="宋体" w:cs="方正仿宋_GBK" w:hint="eastAsia"/>
                <w:sz w:val="24"/>
                <w:szCs w:val="24"/>
              </w:rPr>
              <w:t>4</w:t>
            </w:r>
          </w:p>
        </w:tc>
        <w:tc>
          <w:tcPr>
            <w:tcW w:w="1269" w:type="dxa"/>
            <w:vAlign w:val="center"/>
          </w:tcPr>
          <w:p w:rsidR="009E1790" w:rsidRDefault="009E1790" w:rsidP="005F7F2D">
            <w:pPr>
              <w:spacing w:line="320" w:lineRule="exact"/>
              <w:jc w:val="center"/>
              <w:rPr>
                <w:rFonts w:ascii="宋体" w:hAnsi="宋体" w:cs="方正仿宋_GBK"/>
                <w:sz w:val="24"/>
                <w:szCs w:val="24"/>
              </w:rPr>
            </w:pPr>
            <w:r>
              <w:rPr>
                <w:rFonts w:ascii="宋体" w:hAnsi="宋体" w:cs="方正仿宋_GBK" w:hint="eastAsia"/>
                <w:sz w:val="24"/>
                <w:szCs w:val="24"/>
              </w:rPr>
              <w:t>人员配备</w:t>
            </w:r>
          </w:p>
        </w:tc>
        <w:tc>
          <w:tcPr>
            <w:tcW w:w="955" w:type="dxa"/>
            <w:vAlign w:val="center"/>
          </w:tcPr>
          <w:p w:rsidR="009E1790" w:rsidRDefault="009E1790" w:rsidP="005F7F2D">
            <w:pPr>
              <w:widowControl/>
              <w:spacing w:line="300" w:lineRule="exact"/>
              <w:jc w:val="center"/>
              <w:outlineLvl w:val="2"/>
              <w:rPr>
                <w:rFonts w:ascii="宋体" w:hAnsi="宋体" w:cs="宋体"/>
                <w:sz w:val="24"/>
                <w:szCs w:val="24"/>
              </w:rPr>
            </w:pPr>
            <w:r>
              <w:rPr>
                <w:rFonts w:ascii="宋体" w:hAnsi="宋体" w:cs="宋体" w:hint="eastAsia"/>
                <w:sz w:val="24"/>
                <w:szCs w:val="24"/>
              </w:rPr>
              <w:t>10</w:t>
            </w:r>
          </w:p>
        </w:tc>
        <w:tc>
          <w:tcPr>
            <w:tcW w:w="5997" w:type="dxa"/>
            <w:vAlign w:val="center"/>
          </w:tcPr>
          <w:p w:rsidR="009E1790" w:rsidRDefault="009E1790" w:rsidP="005F7F2D">
            <w:pPr>
              <w:widowControl/>
              <w:spacing w:line="300" w:lineRule="exact"/>
              <w:outlineLvl w:val="2"/>
              <w:rPr>
                <w:sz w:val="24"/>
                <w:szCs w:val="24"/>
              </w:rPr>
            </w:pPr>
            <w:r>
              <w:rPr>
                <w:rFonts w:ascii="宋体" w:hAnsi="宋体" w:cs="宋体" w:hint="eastAsia"/>
                <w:sz w:val="24"/>
              </w:rPr>
              <w:t>投标人拟派本项目的项目负责人同时具有测绘和林业类专业中级及以上职称得4分；项目组成员中（除项目负责人外）具有林业类专业职称的每提供 1 个得 2 分，最高得 6 分，须提供职称证书及在本单位缴纳近 3 个月的社保证明；</w:t>
            </w:r>
          </w:p>
        </w:tc>
        <w:tc>
          <w:tcPr>
            <w:tcW w:w="1404" w:type="dxa"/>
            <w:vAlign w:val="center"/>
          </w:tcPr>
          <w:p w:rsidR="009E1790" w:rsidRDefault="009E1790" w:rsidP="005F7F2D">
            <w:pPr>
              <w:spacing w:line="320" w:lineRule="exact"/>
              <w:rPr>
                <w:rFonts w:ascii="宋体" w:hAnsi="宋体" w:cs="宋体"/>
                <w:sz w:val="24"/>
                <w:szCs w:val="24"/>
              </w:rPr>
            </w:pPr>
          </w:p>
        </w:tc>
      </w:tr>
    </w:tbl>
    <w:p w:rsidR="007A0604" w:rsidRDefault="007A0604">
      <w:bookmarkStart w:id="0" w:name="_GoBack"/>
      <w:bookmarkEnd w:id="0"/>
    </w:p>
    <w:sectPr w:rsidR="007A06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仿宋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790"/>
    <w:rsid w:val="007A0604"/>
    <w:rsid w:val="009E1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591C0-A9DA-4463-8FB9-B4C0BCFB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autoRedefine/>
    <w:qFormat/>
    <w:rsid w:val="009E1790"/>
    <w:pPr>
      <w:widowControl w:val="0"/>
      <w:jc w:val="both"/>
    </w:pPr>
    <w:rPr>
      <w:rFonts w:ascii="Times New Roman" w:eastAsia="宋体"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9E1790"/>
    <w:pPr>
      <w:spacing w:after="120"/>
      <w:ind w:leftChars="200" w:left="420"/>
    </w:pPr>
  </w:style>
  <w:style w:type="character" w:customStyle="1" w:styleId="a4">
    <w:name w:val="正文文本缩进 字符"/>
    <w:basedOn w:val="a0"/>
    <w:link w:val="a3"/>
    <w:uiPriority w:val="99"/>
    <w:semiHidden/>
    <w:rsid w:val="009E1790"/>
    <w:rPr>
      <w:rFonts w:ascii="Times New Roman" w:eastAsia="宋体" w:hAnsi="Times New Roman" w:cs="Times New Roman"/>
      <w:sz w:val="28"/>
      <w:szCs w:val="20"/>
    </w:rPr>
  </w:style>
  <w:style w:type="paragraph" w:styleId="2">
    <w:name w:val="Body Text First Indent 2"/>
    <w:basedOn w:val="a3"/>
    <w:link w:val="20"/>
    <w:unhideWhenUsed/>
    <w:qFormat/>
    <w:rsid w:val="009E1790"/>
    <w:pPr>
      <w:ind w:firstLineChars="200" w:firstLine="420"/>
    </w:pPr>
  </w:style>
  <w:style w:type="character" w:customStyle="1" w:styleId="20">
    <w:name w:val="正文首行缩进 2 字符"/>
    <w:basedOn w:val="a4"/>
    <w:link w:val="2"/>
    <w:rsid w:val="009E1790"/>
    <w:rPr>
      <w:rFonts w:ascii="Times New Roman" w:eastAsia="宋体" w:hAnsi="Times New Roman" w:cs="Times New Roman"/>
      <w:sz w:val="28"/>
      <w:szCs w:val="20"/>
    </w:rPr>
  </w:style>
  <w:style w:type="paragraph" w:customStyle="1" w:styleId="a5">
    <w:name w:val="图例"/>
    <w:basedOn w:val="a"/>
    <w:autoRedefine/>
    <w:qFormat/>
    <w:rsid w:val="009E1790"/>
    <w:pPr>
      <w:spacing w:before="120" w:after="120" w:line="360" w:lineRule="auto"/>
      <w:jc w:val="center"/>
    </w:pPr>
    <w:rPr>
      <w:rFonts w:eastAsia="仿宋_GB2312"/>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2024-04-16T08:21:00Z</dcterms:created>
  <dcterms:modified xsi:type="dcterms:W3CDTF">2024-04-16T08:21:00Z</dcterms:modified>
</cp:coreProperties>
</file>