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ascii="宋体" w:hAnsi="宋体" w:cs="宋体"/>
          <w:b/>
          <w:bCs/>
          <w:szCs w:val="28"/>
        </w:rPr>
      </w:pPr>
      <w:r>
        <w:rPr>
          <w:rFonts w:hint="eastAsia" w:ascii="宋体" w:hAnsi="宋体" w:cs="宋体"/>
          <w:b/>
          <w:bCs/>
          <w:szCs w:val="28"/>
        </w:rPr>
        <w:t>评审标准</w:t>
      </w:r>
    </w:p>
    <w:tbl>
      <w:tblPr>
        <w:tblStyle w:val="5"/>
        <w:tblpPr w:leftFromText="180" w:rightFromText="180" w:vertAnchor="text" w:tblpXSpec="center" w:tblpY="1"/>
        <w:tblOverlap w:val="never"/>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641"/>
        <w:gridCol w:w="6729"/>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序号</w:t>
            </w:r>
          </w:p>
        </w:tc>
        <w:tc>
          <w:tcPr>
            <w:tcW w:w="1269" w:type="dxa"/>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评分因素</w:t>
            </w:r>
          </w:p>
        </w:tc>
        <w:tc>
          <w:tcPr>
            <w:tcW w:w="641" w:type="dxa"/>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分值</w:t>
            </w:r>
          </w:p>
        </w:tc>
        <w:tc>
          <w:tcPr>
            <w:tcW w:w="6729" w:type="dxa"/>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评分标准（以下评分标准为举例）</w:t>
            </w:r>
          </w:p>
        </w:tc>
        <w:tc>
          <w:tcPr>
            <w:tcW w:w="986" w:type="dxa"/>
            <w:vAlign w:val="center"/>
          </w:tcPr>
          <w:p>
            <w:pPr>
              <w:pStyle w:val="7"/>
              <w:spacing w:before="0" w:after="0" w:line="44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5" w:type="dxa"/>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1</w:t>
            </w:r>
          </w:p>
        </w:tc>
        <w:tc>
          <w:tcPr>
            <w:tcW w:w="1269" w:type="dxa"/>
            <w:vAlign w:val="center"/>
          </w:tcPr>
          <w:p>
            <w:pPr>
              <w:spacing w:line="360" w:lineRule="exact"/>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投标报价</w:t>
            </w:r>
          </w:p>
        </w:tc>
        <w:tc>
          <w:tcPr>
            <w:tcW w:w="641" w:type="dxa"/>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30</w:t>
            </w:r>
          </w:p>
        </w:tc>
        <w:tc>
          <w:tcPr>
            <w:tcW w:w="6729" w:type="dxa"/>
            <w:vAlign w:val="center"/>
          </w:tcPr>
          <w:p>
            <w:pPr>
              <w:widowControl/>
              <w:spacing w:line="300" w:lineRule="exact"/>
              <w:outlineLvl w:val="2"/>
              <w:rPr>
                <w:rFonts w:hint="default" w:ascii="宋体" w:hAnsi="宋体" w:eastAsia="宋体" w:cs="方正仿宋_GBK"/>
                <w:color w:val="000000" w:themeColor="text1"/>
                <w:sz w:val="24"/>
                <w:szCs w:val="24"/>
                <w:lang w:val="en-US" w:eastAsia="zh-CN"/>
                <w14:textFill>
                  <w14:solidFill>
                    <w14:schemeClr w14:val="tx1"/>
                  </w14:solidFill>
                </w14:textFill>
              </w:rPr>
            </w:pPr>
            <w:r>
              <w:rPr>
                <w:rFonts w:hint="default" w:ascii="宋体" w:hAnsi="宋体" w:eastAsia="宋体" w:cs="方正仿宋_GBK"/>
                <w:color w:val="000000" w:themeColor="text1"/>
                <w:sz w:val="24"/>
                <w:szCs w:val="24"/>
                <w:lang w:val="en-US" w:eastAsia="zh-CN"/>
                <w14:textFill>
                  <w14:solidFill>
                    <w14:schemeClr w14:val="tx1"/>
                  </w14:solidFill>
                </w14:textFill>
              </w:rPr>
              <w:t>报价：最终费用以批复为准，所以报价分均为</w:t>
            </w:r>
            <w:r>
              <w:rPr>
                <w:rFonts w:hint="eastAsia" w:ascii="宋体" w:hAnsi="宋体" w:cs="方正仿宋_GBK"/>
                <w:color w:val="000000" w:themeColor="text1"/>
                <w:sz w:val="24"/>
                <w:szCs w:val="24"/>
                <w:lang w:val="en-US" w:eastAsia="zh-CN"/>
                <w14:textFill>
                  <w14:solidFill>
                    <w14:schemeClr w14:val="tx1"/>
                  </w14:solidFill>
                </w14:textFill>
              </w:rPr>
              <w:t>30</w:t>
            </w:r>
            <w:r>
              <w:rPr>
                <w:rFonts w:hint="default" w:ascii="宋体" w:hAnsi="宋体" w:eastAsia="宋体" w:cs="方正仿宋_GBK"/>
                <w:color w:val="000000" w:themeColor="text1"/>
                <w:sz w:val="24"/>
                <w:szCs w:val="24"/>
                <w:lang w:val="en-US" w:eastAsia="zh-CN"/>
                <w14:textFill>
                  <w14:solidFill>
                    <w14:schemeClr w14:val="tx1"/>
                  </w14:solidFill>
                </w14:textFill>
              </w:rPr>
              <w:t>分。</w:t>
            </w:r>
          </w:p>
        </w:tc>
        <w:tc>
          <w:tcPr>
            <w:tcW w:w="986" w:type="dxa"/>
            <w:vAlign w:val="center"/>
          </w:tcPr>
          <w:p>
            <w:pPr>
              <w:spacing w:line="360" w:lineRule="exact"/>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trPr>
        <w:tc>
          <w:tcPr>
            <w:tcW w:w="705" w:type="dxa"/>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2</w:t>
            </w:r>
          </w:p>
        </w:tc>
        <w:tc>
          <w:tcPr>
            <w:tcW w:w="1269" w:type="dxa"/>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商务部分</w:t>
            </w:r>
          </w:p>
        </w:tc>
        <w:tc>
          <w:tcPr>
            <w:tcW w:w="641" w:type="dxa"/>
            <w:vAlign w:val="center"/>
          </w:tcPr>
          <w:p>
            <w:pPr>
              <w:spacing w:line="240" w:lineRule="exact"/>
              <w:jc w:val="center"/>
              <w:rPr>
                <w:rFonts w:ascii="宋体" w:hAnsi="宋体" w:eastAsia="微软雅黑" w:cs="方正仿宋_GBK"/>
                <w:color w:val="000000" w:themeColor="text1"/>
                <w:sz w:val="24"/>
                <w:szCs w:val="24"/>
                <w14:textFill>
                  <w14:solidFill>
                    <w14:schemeClr w14:val="tx1"/>
                  </w14:solidFill>
                </w14:textFill>
              </w:rPr>
            </w:pPr>
            <w:r>
              <w:rPr>
                <w:rFonts w:ascii="宋体" w:hAnsi="宋体" w:cs="方正仿宋_GBK"/>
                <w:color w:val="000000" w:themeColor="text1"/>
                <w:sz w:val="24"/>
                <w:szCs w:val="24"/>
                <w14:textFill>
                  <w14:solidFill>
                    <w14:schemeClr w14:val="tx1"/>
                  </w14:solidFill>
                </w14:textFill>
              </w:rPr>
              <w:t>3</w:t>
            </w:r>
            <w:r>
              <w:rPr>
                <w:rFonts w:hint="eastAsia" w:ascii="宋体" w:hAnsi="宋体" w:cs="方正仿宋_GBK"/>
                <w:color w:val="000000" w:themeColor="text1"/>
                <w:sz w:val="24"/>
                <w:szCs w:val="24"/>
                <w14:textFill>
                  <w14:solidFill>
                    <w14:schemeClr w14:val="tx1"/>
                  </w14:solidFill>
                </w14:textFill>
              </w:rPr>
              <w:t>0</w:t>
            </w:r>
          </w:p>
        </w:tc>
        <w:tc>
          <w:tcPr>
            <w:tcW w:w="6729" w:type="dxa"/>
            <w:vAlign w:val="center"/>
          </w:tcPr>
          <w:p>
            <w:pPr>
              <w:pStyle w:val="10"/>
              <w:widowControl/>
              <w:numPr>
                <w:ilvl w:val="0"/>
                <w:numId w:val="0"/>
              </w:numPr>
              <w:spacing w:line="300" w:lineRule="exact"/>
              <w:outlineLvl w:val="2"/>
              <w:rPr>
                <w:rFonts w:hint="eastAsia" w:cs="宋体" w:asciiTheme="minorEastAsia" w:hAnsiTheme="minorEastAsia"/>
                <w:color w:val="000000" w:themeColor="text1"/>
                <w:sz w:val="24"/>
                <w:lang w:val="en-US" w:eastAsia="zh-CN"/>
                <w14:textFill>
                  <w14:solidFill>
                    <w14:schemeClr w14:val="tx1"/>
                  </w14:solidFill>
                </w14:textFill>
              </w:rPr>
            </w:pPr>
            <w:r>
              <w:rPr>
                <w:rFonts w:hint="eastAsia" w:cs="宋体" w:asciiTheme="minorEastAsia" w:hAnsiTheme="minorEastAsia"/>
                <w:color w:val="000000" w:themeColor="text1"/>
                <w:sz w:val="24"/>
                <w:lang w:val="en-US" w:eastAsia="zh-CN"/>
                <w14:textFill>
                  <w14:solidFill>
                    <w14:schemeClr w14:val="tx1"/>
                  </w14:solidFill>
                </w14:textFill>
              </w:rPr>
              <w:t>1、人员配备（11分）</w:t>
            </w:r>
          </w:p>
          <w:p>
            <w:pPr>
              <w:pStyle w:val="10"/>
              <w:widowControl/>
              <w:numPr>
                <w:ilvl w:val="0"/>
                <w:numId w:val="0"/>
              </w:numPr>
              <w:spacing w:line="300" w:lineRule="exact"/>
              <w:outlineLvl w:val="2"/>
              <w:rPr>
                <w:rFonts w:ascii="宋体" w:hAnsi="宋体"/>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项目负责人具有中级</w:t>
            </w:r>
            <w:bookmarkStart w:id="0" w:name="_GoBack"/>
            <w:bookmarkEnd w:id="0"/>
            <w:r>
              <w:rPr>
                <w:rFonts w:hint="eastAsia" w:cs="宋体" w:asciiTheme="minorEastAsia" w:hAnsiTheme="minorEastAsia"/>
                <w:color w:val="000000" w:themeColor="text1"/>
                <w:sz w:val="24"/>
                <w14:textFill>
                  <w14:solidFill>
                    <w14:schemeClr w14:val="tx1"/>
                  </w14:solidFill>
                </w14:textFill>
              </w:rPr>
              <w:t>职称得2分，具有高级职称得3分；拟派到本项目的专业技术人员(项目负责人除外)具有高级及以上职称的，每有一人得2分，具有中级职称的，每有一人得1分，此项最多可得8分； (</w:t>
            </w:r>
            <w:r>
              <w:rPr>
                <w:rFonts w:hint="eastAsia" w:cs="宋体" w:asciiTheme="minorEastAsia" w:hAnsiTheme="minorEastAsia"/>
                <w:color w:val="000000" w:themeColor="text1"/>
                <w:sz w:val="24"/>
                <w:lang w:val="en-US" w:eastAsia="zh-CN"/>
                <w14:textFill>
                  <w14:solidFill>
                    <w14:schemeClr w14:val="tx1"/>
                  </w14:solidFill>
                </w14:textFill>
              </w:rPr>
              <w:t>本项最多得</w:t>
            </w:r>
            <w:r>
              <w:rPr>
                <w:rFonts w:hint="eastAsia" w:cs="宋体" w:asciiTheme="minorEastAsia" w:hAnsiTheme="minorEastAsia"/>
                <w:color w:val="000000" w:themeColor="text1"/>
                <w:sz w:val="24"/>
                <w14:textFill>
                  <w14:solidFill>
                    <w14:schemeClr w14:val="tx1"/>
                  </w14:solidFill>
                </w14:textFill>
              </w:rPr>
              <w:t>11分)</w:t>
            </w:r>
          </w:p>
          <w:p>
            <w:pPr>
              <w:widowControl/>
              <w:spacing w:line="300" w:lineRule="exact"/>
              <w:outlineLvl w:val="2"/>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2、企业实力（</w:t>
            </w:r>
            <w:r>
              <w:rPr>
                <w:rFonts w:hint="eastAsia" w:cs="宋体" w:asciiTheme="minorEastAsia" w:hAnsiTheme="minorEastAsia"/>
                <w:color w:val="000000" w:themeColor="text1"/>
                <w:sz w:val="24"/>
                <w:lang w:val="en-US" w:eastAsia="zh-CN"/>
                <w14:textFill>
                  <w14:solidFill>
                    <w14:schemeClr w14:val="tx1"/>
                  </w14:solidFill>
                </w14:textFill>
              </w:rPr>
              <w:t>本项最多得</w:t>
            </w:r>
            <w:r>
              <w:rPr>
                <w:rFonts w:hint="eastAsia" w:ascii="宋体" w:hAnsi="宋体"/>
                <w:color w:val="000000" w:themeColor="text1"/>
                <w:sz w:val="24"/>
                <w:lang w:val="en-US" w:eastAsia="zh-CN"/>
                <w14:textFill>
                  <w14:solidFill>
                    <w14:schemeClr w14:val="tx1"/>
                  </w14:solidFill>
                </w14:textFill>
              </w:rPr>
              <w:t>9分）</w:t>
            </w:r>
          </w:p>
          <w:p>
            <w:pPr>
              <w:widowControl/>
              <w:spacing w:line="300" w:lineRule="exact"/>
              <w:outlineLvl w:val="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有ISO9001系列质量管理体系认证证书的得</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分；</w:t>
            </w:r>
          </w:p>
          <w:p>
            <w:pPr>
              <w:widowControl/>
              <w:spacing w:line="300" w:lineRule="exact"/>
              <w:outlineLvl w:val="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有ISO14001系列环境管理体系认证证书得</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 xml:space="preserve">分； </w:t>
            </w:r>
          </w:p>
          <w:p>
            <w:pPr>
              <w:widowControl/>
              <w:spacing w:line="300" w:lineRule="exact"/>
              <w:outlineLvl w:val="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有ISO45001系列职业健康与安全管理体 系认证证书得</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、供应商业绩要求。（10分）</w:t>
            </w:r>
          </w:p>
          <w:p>
            <w:pPr>
              <w:widowControl/>
              <w:spacing w:line="300" w:lineRule="exact"/>
              <w:outlineLvl w:val="2"/>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供应商在全国范围内签订的类似项目服务的，每提供1份合同或中标通知书得2分</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本项</w:t>
            </w:r>
            <w:r>
              <w:rPr>
                <w:rFonts w:hint="eastAsia" w:ascii="宋体" w:hAnsi="宋体" w:cs="宋体"/>
                <w:color w:val="000000" w:themeColor="text1"/>
                <w:sz w:val="24"/>
                <w:szCs w:val="24"/>
                <w14:textFill>
                  <w14:solidFill>
                    <w14:schemeClr w14:val="tx1"/>
                  </w14:solidFill>
                </w14:textFill>
              </w:rPr>
              <w:t>最高得10分</w:t>
            </w:r>
            <w:r>
              <w:rPr>
                <w:rFonts w:hint="eastAsia" w:ascii="宋体" w:hAnsi="宋体" w:cs="宋体"/>
                <w:color w:val="000000" w:themeColor="text1"/>
                <w:sz w:val="24"/>
                <w:szCs w:val="24"/>
                <w:lang w:eastAsia="zh-CN"/>
                <w14:textFill>
                  <w14:solidFill>
                    <w14:schemeClr w14:val="tx1"/>
                  </w14:solidFill>
                </w14:textFill>
              </w:rPr>
              <w:t>）</w:t>
            </w:r>
          </w:p>
        </w:tc>
        <w:tc>
          <w:tcPr>
            <w:tcW w:w="986" w:type="dxa"/>
            <w:vAlign w:val="center"/>
          </w:tcPr>
          <w:p>
            <w:pPr>
              <w:spacing w:line="360" w:lineRule="exact"/>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6" w:hRule="atLeast"/>
        </w:trPr>
        <w:tc>
          <w:tcPr>
            <w:tcW w:w="705" w:type="dxa"/>
            <w:vAlign w:val="center"/>
          </w:tcPr>
          <w:p>
            <w:pPr>
              <w:spacing w:line="32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3</w:t>
            </w:r>
          </w:p>
        </w:tc>
        <w:tc>
          <w:tcPr>
            <w:tcW w:w="1269" w:type="dxa"/>
            <w:vAlign w:val="center"/>
          </w:tcPr>
          <w:p>
            <w:pPr>
              <w:spacing w:line="32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技术部分</w:t>
            </w:r>
          </w:p>
        </w:tc>
        <w:tc>
          <w:tcPr>
            <w:tcW w:w="641" w:type="dxa"/>
            <w:vAlign w:val="center"/>
          </w:tcPr>
          <w:p>
            <w:pPr>
              <w:widowControl/>
              <w:spacing w:line="300" w:lineRule="exact"/>
              <w:jc w:val="center"/>
              <w:outlineLvl w:val="2"/>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0</w:t>
            </w:r>
          </w:p>
        </w:tc>
        <w:tc>
          <w:tcPr>
            <w:tcW w:w="6729" w:type="dxa"/>
            <w:vAlign w:val="center"/>
          </w:tcPr>
          <w:p>
            <w:pPr>
              <w:widowControl/>
              <w:spacing w:line="300" w:lineRule="exact"/>
              <w:outlineLvl w:val="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工作纲要的完整性及合理性</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纲要完整</w:t>
            </w:r>
            <w:r>
              <w:rPr>
                <w:rFonts w:hint="eastAsia" w:ascii="宋体" w:hAnsi="宋体"/>
                <w:color w:val="000000" w:themeColor="text1"/>
                <w:sz w:val="24"/>
                <w14:textFill>
                  <w14:solidFill>
                    <w14:schemeClr w14:val="tx1"/>
                  </w14:solidFill>
                </w14:textFill>
              </w:rPr>
              <w:t>性及合理性较强5-3分，</w:t>
            </w:r>
            <w:r>
              <w:rPr>
                <w:rFonts w:ascii="宋体" w:hAnsi="宋体"/>
                <w:color w:val="000000" w:themeColor="text1"/>
                <w:sz w:val="24"/>
                <w14:textFill>
                  <w14:solidFill>
                    <w14:schemeClr w14:val="tx1"/>
                  </w14:solidFill>
                </w14:textFill>
              </w:rPr>
              <w:t>纲要完整</w:t>
            </w:r>
            <w:r>
              <w:rPr>
                <w:rFonts w:hint="eastAsia" w:ascii="宋体" w:hAnsi="宋体"/>
                <w:color w:val="000000" w:themeColor="text1"/>
                <w:sz w:val="24"/>
                <w14:textFill>
                  <w14:solidFill>
                    <w14:schemeClr w14:val="tx1"/>
                  </w14:solidFill>
                </w14:textFill>
              </w:rPr>
              <w:t>性及合理性一般3-1分，</w:t>
            </w:r>
            <w:r>
              <w:rPr>
                <w:rFonts w:ascii="宋体" w:hAnsi="宋体"/>
                <w:color w:val="000000" w:themeColor="text1"/>
                <w:sz w:val="24"/>
                <w14:textFill>
                  <w14:solidFill>
                    <w14:schemeClr w14:val="tx1"/>
                  </w14:solidFill>
                </w14:textFill>
              </w:rPr>
              <w:t>纲要完整</w:t>
            </w:r>
            <w:r>
              <w:rPr>
                <w:rFonts w:hint="eastAsia" w:ascii="宋体" w:hAnsi="宋体"/>
                <w:color w:val="000000" w:themeColor="text1"/>
                <w:sz w:val="24"/>
                <w14:textFill>
                  <w14:solidFill>
                    <w14:schemeClr w14:val="tx1"/>
                  </w14:solidFill>
                </w14:textFill>
              </w:rPr>
              <w:t>性及合理性较差1分。</w:t>
            </w:r>
          </w:p>
          <w:p>
            <w:pPr>
              <w:widowControl/>
              <w:spacing w:line="300" w:lineRule="exact"/>
              <w:outlineLvl w:val="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目的和任务</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地灾评估工作纲要描述评估的目的和任务满足招标文件及相关规范规定要求得</w:t>
            </w:r>
            <w:r>
              <w:rPr>
                <w:rFonts w:hint="eastAsia" w:ascii="宋体" w:hAnsi="宋体"/>
                <w:color w:val="000000" w:themeColor="text1"/>
                <w:sz w:val="24"/>
                <w14:textFill>
                  <w14:solidFill>
                    <w14:schemeClr w14:val="tx1"/>
                  </w14:solidFill>
                </w14:textFill>
              </w:rPr>
              <w:t>8-5分，基本满足得</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2分，不满足则根据实际情况得</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2分</w:t>
            </w:r>
            <w:r>
              <w:rPr>
                <w:rFonts w:ascii="宋体" w:hAnsi="宋体"/>
                <w:color w:val="000000" w:themeColor="text1"/>
                <w:sz w:val="24"/>
                <w14:textFill>
                  <w14:solidFill>
                    <w14:schemeClr w14:val="tx1"/>
                  </w14:solidFill>
                </w14:textFill>
              </w:rPr>
              <w:t>。</w:t>
            </w:r>
          </w:p>
          <w:p>
            <w:pPr>
              <w:widowControl/>
              <w:spacing w:line="300" w:lineRule="exact"/>
              <w:outlineLvl w:val="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强制性标准</w:t>
            </w:r>
            <w:r>
              <w:rPr>
                <w:rFonts w:hint="eastAsia" w:ascii="宋体" w:hAnsi="宋体"/>
                <w:color w:val="000000" w:themeColor="text1"/>
                <w:sz w:val="24"/>
                <w14:textFill>
                  <w14:solidFill>
                    <w14:schemeClr w14:val="tx1"/>
                  </w14:solidFill>
                </w14:textFill>
              </w:rPr>
              <w:t>：本项基本分为7分。</w:t>
            </w:r>
            <w:r>
              <w:rPr>
                <w:rFonts w:ascii="宋体" w:hAnsi="宋体"/>
                <w:color w:val="000000" w:themeColor="text1"/>
                <w:sz w:val="24"/>
                <w14:textFill>
                  <w14:solidFill>
                    <w14:schemeClr w14:val="tx1"/>
                  </w14:solidFill>
                </w14:textFill>
              </w:rPr>
              <w:t>根据项目性质特征</w:t>
            </w:r>
            <w:r>
              <w:rPr>
                <w:rFonts w:hint="eastAsia" w:ascii="宋体" w:hAnsi="宋体"/>
                <w:color w:val="000000" w:themeColor="text1"/>
                <w:sz w:val="24"/>
                <w14:textFill>
                  <w14:solidFill>
                    <w14:schemeClr w14:val="tx1"/>
                  </w14:solidFill>
                </w14:textFill>
              </w:rPr>
              <w:t>及</w:t>
            </w:r>
            <w:r>
              <w:rPr>
                <w:rFonts w:ascii="宋体" w:hAnsi="宋体"/>
                <w:color w:val="000000" w:themeColor="text1"/>
                <w:sz w:val="24"/>
                <w14:textFill>
                  <w14:solidFill>
                    <w14:schemeClr w14:val="tx1"/>
                  </w14:solidFill>
                </w14:textFill>
              </w:rPr>
              <w:t>相关规范</w:t>
            </w:r>
            <w:r>
              <w:rPr>
                <w:rFonts w:hint="eastAsia" w:ascii="宋体" w:hAnsi="宋体"/>
                <w:color w:val="000000" w:themeColor="text1"/>
                <w:sz w:val="24"/>
                <w14:textFill>
                  <w14:solidFill>
                    <w14:schemeClr w14:val="tx1"/>
                  </w14:solidFill>
                </w14:textFill>
              </w:rPr>
              <w:t>，若技术文件（工作纲要）违反相关强制性标准，每违反一条扣3.5分，超过2条直接得0分。</w:t>
            </w:r>
          </w:p>
          <w:p>
            <w:pPr>
              <w:widowControl/>
              <w:spacing w:line="300" w:lineRule="exact"/>
              <w:outlineLvl w:val="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评估过程中质量、安全控制措施</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体系健全、措施可行且针对性强</w:t>
            </w:r>
            <w:r>
              <w:rPr>
                <w:rFonts w:hint="eastAsia" w:ascii="宋体" w:hAnsi="宋体"/>
                <w:color w:val="000000" w:themeColor="text1"/>
                <w:sz w:val="24"/>
                <w14:textFill>
                  <w14:solidFill>
                    <w14:schemeClr w14:val="tx1"/>
                  </w14:solidFill>
                </w14:textFill>
              </w:rPr>
              <w:t>5-2</w:t>
            </w:r>
            <w:r>
              <w:rPr>
                <w:rFonts w:ascii="宋体" w:hAnsi="宋体"/>
                <w:color w:val="000000" w:themeColor="text1"/>
                <w:sz w:val="24"/>
                <w14:textFill>
                  <w14:solidFill>
                    <w14:schemeClr w14:val="tx1"/>
                  </w14:solidFill>
                </w14:textFill>
              </w:rPr>
              <w:t>分，体系不健全、措施一般</w:t>
            </w:r>
            <w:r>
              <w:rPr>
                <w:rFonts w:hint="eastAsia" w:ascii="宋体" w:hAnsi="宋体"/>
                <w:color w:val="000000" w:themeColor="text1"/>
                <w:sz w:val="24"/>
                <w14:textFill>
                  <w14:solidFill>
                    <w14:schemeClr w14:val="tx1"/>
                  </w14:solidFill>
                </w14:textFill>
              </w:rPr>
              <w:t>2-0</w:t>
            </w:r>
            <w:r>
              <w:rPr>
                <w:rFonts w:ascii="宋体" w:hAnsi="宋体"/>
                <w:color w:val="000000" w:themeColor="text1"/>
                <w:sz w:val="24"/>
                <w14:textFill>
                  <w14:solidFill>
                    <w14:schemeClr w14:val="tx1"/>
                  </w14:solidFill>
                </w14:textFill>
              </w:rPr>
              <w:t>分。</w:t>
            </w:r>
          </w:p>
          <w:p>
            <w:pPr>
              <w:widowControl/>
              <w:spacing w:line="300" w:lineRule="exact"/>
              <w:outlineLvl w:val="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评估进度计划和评估工期控制措施</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进度计划、工期安排合理，工期保证措施可行</w:t>
            </w:r>
            <w:r>
              <w:rPr>
                <w:rFonts w:hint="eastAsia" w:ascii="宋体" w:hAnsi="宋体"/>
                <w:color w:val="000000" w:themeColor="text1"/>
                <w:sz w:val="24"/>
                <w14:textFill>
                  <w14:solidFill>
                    <w14:schemeClr w14:val="tx1"/>
                  </w14:solidFill>
                </w14:textFill>
              </w:rPr>
              <w:t>7-3</w:t>
            </w:r>
            <w:r>
              <w:rPr>
                <w:rFonts w:ascii="宋体" w:hAnsi="宋体"/>
                <w:color w:val="000000" w:themeColor="text1"/>
                <w:sz w:val="24"/>
                <w14:textFill>
                  <w14:solidFill>
                    <w14:schemeClr w14:val="tx1"/>
                  </w14:solidFill>
                </w14:textFill>
              </w:rPr>
              <w:t>分，工程进度、工期计划较合理，工期保证措施较差</w:t>
            </w:r>
            <w:r>
              <w:rPr>
                <w:rFonts w:hint="eastAsia" w:ascii="宋体" w:hAnsi="宋体"/>
                <w:color w:val="000000" w:themeColor="text1"/>
                <w:sz w:val="24"/>
                <w14:textFill>
                  <w14:solidFill>
                    <w14:schemeClr w14:val="tx1"/>
                  </w14:solidFill>
                </w14:textFill>
              </w:rPr>
              <w:t>3-0</w:t>
            </w:r>
            <w:r>
              <w:rPr>
                <w:rFonts w:ascii="宋体" w:hAnsi="宋体"/>
                <w:color w:val="000000" w:themeColor="text1"/>
                <w:sz w:val="24"/>
                <w14:textFill>
                  <w14:solidFill>
                    <w14:schemeClr w14:val="tx1"/>
                  </w14:solidFill>
                </w14:textFill>
              </w:rPr>
              <w:t>分。</w:t>
            </w:r>
          </w:p>
          <w:p>
            <w:pPr>
              <w:widowControl/>
              <w:spacing w:line="300" w:lineRule="exact"/>
              <w:outlineLvl w:val="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评估工作重点与难点分析及对策</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重点与难点分析及对策可行且针对性强</w:t>
            </w:r>
            <w:r>
              <w:rPr>
                <w:rFonts w:hint="eastAsia" w:ascii="宋体" w:hAnsi="宋体"/>
                <w:color w:val="000000" w:themeColor="text1"/>
                <w:sz w:val="24"/>
                <w14:textFill>
                  <w14:solidFill>
                    <w14:schemeClr w14:val="tx1"/>
                  </w14:solidFill>
                </w14:textFill>
              </w:rPr>
              <w:t>8-4</w:t>
            </w:r>
            <w:r>
              <w:rPr>
                <w:rFonts w:ascii="宋体" w:hAnsi="宋体"/>
                <w:color w:val="000000" w:themeColor="text1"/>
                <w:sz w:val="24"/>
                <w14:textFill>
                  <w14:solidFill>
                    <w14:schemeClr w14:val="tx1"/>
                  </w14:solidFill>
                </w14:textFill>
              </w:rPr>
              <w:t>分，重点与难点分析及对策可行且针对性一般</w:t>
            </w:r>
            <w:r>
              <w:rPr>
                <w:rFonts w:hint="eastAsia" w:ascii="宋体" w:hAnsi="宋体"/>
                <w:color w:val="000000" w:themeColor="text1"/>
                <w:sz w:val="24"/>
                <w14:textFill>
                  <w14:solidFill>
                    <w14:schemeClr w14:val="tx1"/>
                  </w14:solidFill>
                </w14:textFill>
              </w:rPr>
              <w:t>4-0</w:t>
            </w:r>
            <w:r>
              <w:rPr>
                <w:rFonts w:ascii="宋体" w:hAnsi="宋体"/>
                <w:color w:val="000000" w:themeColor="text1"/>
                <w:sz w:val="24"/>
                <w14:textFill>
                  <w14:solidFill>
                    <w14:schemeClr w14:val="tx1"/>
                  </w14:solidFill>
                </w14:textFill>
              </w:rPr>
              <w:t>分。</w:t>
            </w:r>
          </w:p>
        </w:tc>
        <w:tc>
          <w:tcPr>
            <w:tcW w:w="986" w:type="dxa"/>
            <w:vAlign w:val="center"/>
          </w:tcPr>
          <w:p>
            <w:pPr>
              <w:spacing w:line="320" w:lineRule="exact"/>
              <w:rPr>
                <w:rFonts w:ascii="宋体" w:hAnsi="宋体" w:cs="方正仿宋_GBK"/>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采购人会根据采购服务要求为标准，对各供应商提供的书面方案进行横向比较评分。</w:t>
            </w:r>
          </w:p>
        </w:tc>
      </w:tr>
    </w:tbl>
    <w:p>
      <w:pPr>
        <w:spacing w:line="312"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5N2FmOTEwOTU4M2Y4MzdhYWFkYzZiMmMwYTdhODcifQ=="/>
  </w:docVars>
  <w:rsids>
    <w:rsidRoot w:val="1ED27CBE"/>
    <w:rsid w:val="00032E20"/>
    <w:rsid w:val="004E6EFB"/>
    <w:rsid w:val="005A58FC"/>
    <w:rsid w:val="005F726B"/>
    <w:rsid w:val="006446DE"/>
    <w:rsid w:val="00701FBD"/>
    <w:rsid w:val="00750118"/>
    <w:rsid w:val="0091075C"/>
    <w:rsid w:val="00945DB0"/>
    <w:rsid w:val="00A07E03"/>
    <w:rsid w:val="00A12B3D"/>
    <w:rsid w:val="00C640F0"/>
    <w:rsid w:val="00C80FC6"/>
    <w:rsid w:val="00CB5CFF"/>
    <w:rsid w:val="00D438DF"/>
    <w:rsid w:val="00E1747A"/>
    <w:rsid w:val="00E721B5"/>
    <w:rsid w:val="00F71D3B"/>
    <w:rsid w:val="020C72E5"/>
    <w:rsid w:val="0BE67215"/>
    <w:rsid w:val="11C05A82"/>
    <w:rsid w:val="17AC3384"/>
    <w:rsid w:val="1E206C17"/>
    <w:rsid w:val="1ED27CBE"/>
    <w:rsid w:val="26662365"/>
    <w:rsid w:val="27620B2F"/>
    <w:rsid w:val="29E11427"/>
    <w:rsid w:val="30E261ED"/>
    <w:rsid w:val="42544075"/>
    <w:rsid w:val="46CC5793"/>
    <w:rsid w:val="47E82F62"/>
    <w:rsid w:val="4A952E6D"/>
    <w:rsid w:val="4B103BCE"/>
    <w:rsid w:val="4C7B78B7"/>
    <w:rsid w:val="59D96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24"/>
      <w:szCs w:val="24"/>
      <w:lang w:val="zh-CN" w:bidi="zh-CN"/>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图例"/>
    <w:basedOn w:val="1"/>
    <w:autoRedefine/>
    <w:qFormat/>
    <w:uiPriority w:val="0"/>
    <w:pPr>
      <w:spacing w:before="120" w:after="120" w:line="360" w:lineRule="auto"/>
      <w:jc w:val="center"/>
    </w:pPr>
    <w:rPr>
      <w:rFonts w:eastAsia="仿宋_GB2312"/>
      <w:b/>
      <w:sz w:val="24"/>
    </w:rPr>
  </w:style>
  <w:style w:type="character" w:customStyle="1" w:styleId="8">
    <w:name w:val="页眉 字符"/>
    <w:basedOn w:val="6"/>
    <w:link w:val="4"/>
    <w:autoRedefine/>
    <w:qFormat/>
    <w:uiPriority w:val="0"/>
    <w:rPr>
      <w:rFonts w:ascii="Times New Roman" w:hAnsi="Times New Roman" w:eastAsia="宋体" w:cs="Times New Roman"/>
      <w:kern w:val="2"/>
      <w:sz w:val="18"/>
      <w:szCs w:val="18"/>
    </w:rPr>
  </w:style>
  <w:style w:type="character" w:customStyle="1" w:styleId="9">
    <w:name w:val="页脚 字符"/>
    <w:basedOn w:val="6"/>
    <w:link w:val="3"/>
    <w:autoRedefine/>
    <w:qFormat/>
    <w:uiPriority w:val="0"/>
    <w:rPr>
      <w:rFonts w:ascii="Times New Roman" w:hAnsi="Times New Roman" w:eastAsia="宋体" w:cs="Times New Roman"/>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1143</Words>
  <Characters>1208</Characters>
  <Lines>11</Lines>
  <Paragraphs>3</Paragraphs>
  <TotalTime>0</TotalTime>
  <ScaleCrop>false</ScaleCrop>
  <LinksUpToDate>false</LinksUpToDate>
  <CharactersWithSpaces>1238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2022-07-20T10:07:00Z</dcterms:created>
  <dc:creator>Ποτέ δεν σε αγαπώ</dc:creator>
  <cp:lastModifiedBy>顾念</cp:lastModifiedBy>
  <dcterms:modified xsi:type="dcterms:W3CDTF">2024-01-18T04:00:06Z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DD77395668C94B0A904D29F734413993</vt:lpwstr>
  </property>
</Properties>
</file>