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5"/>
        <w:spacing w:before="0" w:after="0" w:line="312" w:lineRule="auto"/>
        <w:rPr>
          <w:rFonts w:ascii="宋体" w:hAnsi="宋体" w:cs="宋体"/>
          <w:color w:val="000000" w:themeColor="text1"/>
          <w:sz w:val="24"/>
          <w:szCs w:val="24"/>
          <w14:textFill>
            <w14:solidFill>
              <w14:schemeClr w14:val="tx1"/>
            </w14:solidFill>
          </w14:textFill>
        </w:rPr>
      </w:pPr>
      <w:bookmarkStart w:id="0" w:name="_Toc313893526"/>
      <w:bookmarkStart w:id="1" w:name="_Toc26820"/>
      <w:bookmarkStart w:id="2" w:name="_Toc317775175"/>
      <w:bookmarkStart w:id="3" w:name="_Toc12808"/>
      <w:bookmarkStart w:id="4" w:name="_Toc18881"/>
      <w:bookmarkStart w:id="5" w:name="_Toc18159"/>
      <w:bookmarkStart w:id="6" w:name="_Toc3463"/>
      <w:bookmarkStart w:id="7" w:name="_Toc7625"/>
      <w:bookmarkStart w:id="8" w:name="_Toc25458"/>
      <w:r>
        <w:rPr>
          <w:rFonts w:hint="eastAsia" w:ascii="宋体" w:hAnsi="宋体" w:cs="宋体"/>
          <w:color w:val="000000" w:themeColor="text1"/>
          <w:sz w:val="24"/>
          <w:szCs w:val="24"/>
          <w14:textFill>
            <w14:solidFill>
              <w14:schemeClr w14:val="tx1"/>
            </w14:solidFill>
          </w14:textFill>
        </w:rPr>
        <w:t>一、谈判采购内容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bookmarkStart w:id="9" w:name="_Hlk344477914"/>
            <w:r>
              <w:rPr>
                <w:rFonts w:hint="eastAsia" w:ascii="宋体" w:hAnsi="宋体" w:cs="宋体"/>
                <w:color w:val="000000" w:themeColor="text1"/>
                <w:kern w:val="0"/>
                <w:sz w:val="24"/>
                <w:szCs w:val="24"/>
                <w14:textFill>
                  <w14:solidFill>
                    <w14:schemeClr w14:val="tx1"/>
                  </w14:solidFill>
                </w14:textFill>
              </w:rPr>
              <w:t xml:space="preserve">焦作文旅大数据平台运营运维项目 </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490000 </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000000" w:themeColor="text1"/>
                <w:sz w:val="24"/>
                <w:szCs w:val="24"/>
                <w14:textFill>
                  <w14:solidFill>
                    <w14:schemeClr w14:val="tx1"/>
                  </w14:solidFill>
                </w14:textFill>
              </w:rPr>
            </w:pPr>
          </w:p>
        </w:tc>
      </w:tr>
      <w:bookmarkEnd w:id="9"/>
    </w:tbl>
    <w:p>
      <w:pPr>
        <w:pStyle w:val="5"/>
        <w:spacing w:before="0" w:after="0" w:line="312" w:lineRule="auto"/>
        <w:rPr>
          <w:rFonts w:ascii="宋体" w:hAnsi="宋体" w:cs="宋体"/>
          <w:color w:val="000000" w:themeColor="text1"/>
          <w:sz w:val="24"/>
          <w:szCs w:val="24"/>
          <w14:textFill>
            <w14:solidFill>
              <w14:schemeClr w14:val="tx1"/>
            </w14:solidFill>
          </w14:textFill>
        </w:rPr>
      </w:pPr>
      <w:bookmarkStart w:id="10" w:name="_Toc6462"/>
      <w:bookmarkStart w:id="11" w:name="_Toc25190"/>
      <w:bookmarkStart w:id="12" w:name="_Toc15727"/>
      <w:bookmarkStart w:id="13" w:name="_Toc19437"/>
      <w:bookmarkStart w:id="14" w:name="_Toc317775178"/>
      <w:bookmarkStart w:id="15" w:name="_Toc15576"/>
      <w:bookmarkStart w:id="16" w:name="_Toc373860293"/>
      <w:bookmarkStart w:id="17" w:name="_Toc22399"/>
      <w:bookmarkStart w:id="18" w:name="_Toc1790"/>
      <w:r>
        <w:rPr>
          <w:rFonts w:hint="eastAsia" w:ascii="宋体" w:hAnsi="宋体" w:cs="宋体"/>
          <w:color w:val="000000" w:themeColor="text1"/>
          <w:sz w:val="24"/>
          <w:szCs w:val="24"/>
          <w14:textFill>
            <w14:solidFill>
              <w14:schemeClr w14:val="tx1"/>
            </w14:solidFill>
          </w14:textFill>
        </w:rPr>
        <w:t>二、谈判</w:t>
      </w:r>
      <w:bookmarkEnd w:id="10"/>
      <w:bookmarkEnd w:id="11"/>
      <w:bookmarkEnd w:id="12"/>
      <w:bookmarkEnd w:id="13"/>
      <w:bookmarkEnd w:id="14"/>
      <w:bookmarkEnd w:id="15"/>
      <w:bookmarkEnd w:id="16"/>
      <w:bookmarkEnd w:id="17"/>
      <w:bookmarkEnd w:id="18"/>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7、根据《〈政府采购法实施条例〉释义》，银行、保险、石油石化、电力、电信等有行业特殊情况的，取得营业执照的分支机构可以分公司名义参与投标，但同一上级公司的两个分支机构不得同时参加投标，招标文件中涉及的“法定代表人”在前述特殊行业中即对应为“分支机构负责人”。</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pStyle w:val="5"/>
        <w:spacing w:before="0" w:after="0" w:line="312" w:lineRule="auto"/>
        <w:rPr>
          <w:rFonts w:ascii="宋体" w:hAnsi="宋体" w:cs="宋体"/>
          <w:b w:val="0"/>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三、采购服务内容</w:t>
      </w:r>
    </w:p>
    <w:tbl>
      <w:tblPr>
        <w:tblStyle w:val="57"/>
        <w:tblW w:w="10277" w:type="dxa"/>
        <w:tblInd w:w="96" w:type="dxa"/>
        <w:tblLayout w:type="autofit"/>
        <w:tblCellMar>
          <w:top w:w="0" w:type="dxa"/>
          <w:left w:w="108" w:type="dxa"/>
          <w:bottom w:w="0" w:type="dxa"/>
          <w:right w:w="108" w:type="dxa"/>
        </w:tblCellMar>
      </w:tblPr>
      <w:tblGrid>
        <w:gridCol w:w="753"/>
        <w:gridCol w:w="1611"/>
        <w:gridCol w:w="2705"/>
        <w:gridCol w:w="3408"/>
        <w:gridCol w:w="880"/>
        <w:gridCol w:w="920"/>
      </w:tblGrid>
      <w:tr>
        <w:tblPrEx>
          <w:tblCellMar>
            <w:top w:w="0" w:type="dxa"/>
            <w:left w:w="108" w:type="dxa"/>
            <w:bottom w:w="0" w:type="dxa"/>
            <w:right w:w="108" w:type="dxa"/>
          </w:tblCellMar>
        </w:tblPrEx>
        <w:trPr>
          <w:trHeight w:val="31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类型</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名称</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功能及技术指标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参数要求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服务期</w:t>
            </w:r>
          </w:p>
        </w:tc>
      </w:tr>
      <w:tr>
        <w:tblPrEx>
          <w:tblCellMar>
            <w:top w:w="0" w:type="dxa"/>
            <w:left w:w="108" w:type="dxa"/>
            <w:bottom w:w="0" w:type="dxa"/>
            <w:right w:w="108" w:type="dxa"/>
          </w:tblCellMar>
        </w:tblPrEx>
        <w:trPr>
          <w:trHeight w:val="614"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平台</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运营运维</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“焦作文旅大数据平台”</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运营运维</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“焦作智慧文旅公共服务平台”对接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“焦作文物综合监管平台”对接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“数据上报小程序”对接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233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“舆情监控”系统提升服务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按照上级单位相关工作要求，实现对各大视频网站，贴吧，等平台关键信息的及时预警分析功能。</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80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“游客态势感知”提升服务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实现对指定区域游客的画像分析，触网短信发送功能。</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3531"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视联网服务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1.提供电脑端管理平台及手机APP，平台可按照“市、县、景区”三级实现分权分域功能</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★2.具备在区域入侵、人脸布控、火情预警、车牌布控、电动车识别、抽烟识别、口罩识别、离岗识别、人群聚集识别等AI功能；(要求提供加盖功能提供厂商公章的AI功能截图或现场演示操作)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3.系统后台采用全云化部署模式，双中心+多分省节点架构，具备灾备能力，符合等保三级要求，系统后台可靠性高，支持弹性动态扩容。系统后台支持视频流加密传输。（要求提供等保三级证书）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312"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组网服务</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全域旅游中心专线</w:t>
            </w:r>
          </w:p>
        </w:tc>
        <w:tc>
          <w:tcPr>
            <w:tcW w:w="6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100M</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60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4A级以上景区</w:t>
            </w:r>
            <w:r>
              <w:rPr>
                <w:rFonts w:hint="eastAsia" w:ascii="宋体" w:hAnsi="宋体" w:cs="宋体"/>
                <w:color w:val="000000" w:themeColor="text1"/>
                <w:kern w:val="0"/>
                <w:sz w:val="22"/>
                <w:szCs w:val="22"/>
                <w:lang w:val="en-US" w:eastAsia="zh-CN" w:bidi="ar"/>
                <w14:textFill>
                  <w14:solidFill>
                    <w14:schemeClr w14:val="tx1"/>
                  </w14:solidFill>
                </w14:textFill>
              </w:rPr>
              <w:t>及重点文博场所视频对接</w:t>
            </w:r>
          </w:p>
        </w:tc>
        <w:tc>
          <w:tcPr>
            <w:tcW w:w="6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符合《公共安全重点区域视频图像信息采集规范》（GB37300-2018）标准确保线路畅通，画面清晰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4495"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安全大脑服务</w:t>
            </w:r>
          </w:p>
        </w:tc>
        <w:tc>
          <w:tcPr>
            <w:tcW w:w="6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国产品牌，机架式硬件设备，基于高性能硬件平台和专业安全操作系统，多核处理器硬件架构。</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2.网络接口：配置≥5个千兆电口，≥4个Combo接口，USB3.0接口≥2个，CON口≥1个，标配单电源。</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3.整机网络吞吐量≥2Gbps，防病毒吞吐量≥600Mbps，IPS吞吐量≥800Mbps，并发连接数≥180万，新建并发连接≥4.5万/s，IPSecVPN≥2000个，SSLVPN最大用户数≥1000，SSLVPN授权用户数≥100个。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★4.支持配置源地址路由、源接口路由、目的接口路由、目的地址路由；（要求提供产品软件界面截图以证明）</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5</w:t>
            </w:r>
            <w:r>
              <w:rPr>
                <w:rFonts w:hint="eastAsia" w:ascii="宋体" w:hAnsi="宋体" w:cs="宋体"/>
                <w:color w:val="000000" w:themeColor="text1"/>
                <w:kern w:val="0"/>
                <w:sz w:val="22"/>
                <w:szCs w:val="22"/>
                <w:lang w:bidi="ar"/>
                <w14:textFill>
                  <w14:solidFill>
                    <w14:schemeClr w14:val="tx1"/>
                  </w14:solidFill>
                </w14:textFill>
              </w:rPr>
              <w:t>.支持对多层级管道进行最大带宽限制、最小带宽保证、每IP或每用户的最大带宽限制和最小带宽保证；实现基于应用的隧道流控及智能选路；（要求提供产品软件界面截图以证明）</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6</w:t>
            </w:r>
            <w:r>
              <w:rPr>
                <w:rFonts w:hint="eastAsia" w:ascii="宋体" w:hAnsi="宋体" w:cs="宋体"/>
                <w:color w:val="000000" w:themeColor="text1"/>
                <w:kern w:val="0"/>
                <w:sz w:val="22"/>
                <w:szCs w:val="22"/>
                <w:lang w:bidi="ar"/>
                <w14:textFill>
                  <w14:solidFill>
                    <w14:schemeClr w14:val="tx1"/>
                  </w14:solidFill>
                </w14:textFill>
              </w:rPr>
              <w:t>.具备8100种以上攻击特征库规则列表，至少支持基于协议类型、操作系统、攻击类型、流行程度、严重程度、特征ID等方式的查询 ；（要求提供产品软件界面截图以证明）</w:t>
            </w:r>
          </w:p>
          <w:p>
            <w:pPr>
              <w:pStyle w:val="2"/>
              <w:ind w:left="0" w:leftChars="0" w:firstLine="0" w:firstLineChars="0"/>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7.支持批量添加自定义URL，支持自定义URL分类过滤，并带三年特征库升级服务；</w:t>
            </w:r>
          </w:p>
          <w:p>
            <w:pPr>
              <w:widowControl/>
              <w:numPr>
                <w:ilvl w:val="0"/>
                <w:numId w:val="0"/>
              </w:numPr>
              <w:jc w:val="both"/>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w:t>
            </w:r>
            <w:r>
              <w:rPr>
                <w:rFonts w:hint="eastAsia" w:ascii="宋体" w:hAnsi="宋体" w:cs="宋体"/>
                <w:color w:val="000000" w:themeColor="text1"/>
                <w:kern w:val="0"/>
                <w:sz w:val="22"/>
                <w:szCs w:val="22"/>
                <w:lang w:bidi="ar"/>
                <w14:textFill>
                  <w14:solidFill>
                    <w14:schemeClr w14:val="tx1"/>
                  </w14:solidFill>
                </w14:textFill>
              </w:rPr>
              <w:t>支持2个系统软件并存，并支持系统软件回滚，防止配置不当或系统故障造成的网络中断，充分保证了系统的稳定性；（要求提供所投产品截图证明）</w:t>
            </w:r>
          </w:p>
          <w:p>
            <w:pPr>
              <w:widowControl/>
              <w:numPr>
                <w:ilvl w:val="0"/>
                <w:numId w:val="0"/>
              </w:numPr>
              <w:jc w:val="both"/>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9.</w:t>
            </w:r>
            <w:r>
              <w:rPr>
                <w:rFonts w:hint="eastAsia" w:ascii="宋体" w:hAnsi="宋体" w:cs="宋体"/>
                <w:color w:val="000000" w:themeColor="text1"/>
                <w:kern w:val="0"/>
                <w:sz w:val="22"/>
                <w:szCs w:val="22"/>
                <w:lang w:bidi="ar"/>
                <w14:textFill>
                  <w14:solidFill>
                    <w14:schemeClr w14:val="tx1"/>
                  </w14:solidFill>
                </w14:textFill>
              </w:rPr>
              <w:t>支持数据包路径检测，可以自定义新建检测对象，检测对象可基于接口、源地址、源用户、源端口、目的地址、目的URL、目的端口、协议、应用等参数配置；（要求提供所投产品截图证明）</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5443"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运维服务</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人员驻场服务及安全办公云电脑/云桌面</w:t>
            </w:r>
            <w:r>
              <w:rPr>
                <w:rFonts w:hint="eastAsia" w:ascii="宋体" w:hAnsi="宋体" w:cs="宋体"/>
                <w:color w:val="000000" w:themeColor="text1"/>
                <w:kern w:val="0"/>
                <w:sz w:val="22"/>
                <w:szCs w:val="22"/>
                <w:lang w:val="en-US" w:eastAsia="zh-CN" w:bidi="ar"/>
                <w14:textFill>
                  <w14:solidFill>
                    <w14:schemeClr w14:val="tx1"/>
                  </w14:solidFill>
                </w14:textFill>
              </w:rPr>
              <w:t>运营维护</w:t>
            </w:r>
          </w:p>
        </w:tc>
        <w:tc>
          <w:tcPr>
            <w:tcW w:w="2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人员：1人</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云电脑/云桌面</w:t>
            </w:r>
            <w:r>
              <w:rPr>
                <w:rFonts w:hint="eastAsia" w:ascii="宋体" w:hAnsi="宋体" w:cs="宋体"/>
                <w:color w:val="000000" w:themeColor="text1"/>
                <w:kern w:val="0"/>
                <w:sz w:val="22"/>
                <w:szCs w:val="22"/>
                <w:lang w:eastAsia="zh-CN" w:bidi="ar"/>
                <w14:textFill>
                  <w14:solidFill>
                    <w14:schemeClr w14:val="tx1"/>
                  </w14:solidFill>
                </w14:textFill>
              </w:rPr>
              <w:t>，</w:t>
            </w:r>
          </w:p>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运营维护</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1.基础配置：4核CPU,8G内存，国产操作系统及硬件设备；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2.工具栏支持多种画面质量传输模式，可按清晰优先、流畅优先、默认设置、自定义设置四种模式进行切换。(要求提供功能截图或现场演示操作)；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3.画面质量传输自定义模式支持个性化设置视频帧率、视频质量、图像帧率、图像色彩。(要求提供功能截图或现场演示操作)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★4.产品厂商通过云电脑/云桌面可信云认证。(提供可信云证书查询截图)</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5.支持软件内设置直接关闭终端电源，可实现快速关闭瘦终端。(要求提供功能截图或现场演示操作)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★6.支持批量订购资源包，包括计算资源、存储资源、网络资源，在资源包的资源内开通桌面。（要求提供功能截图或现场演示操作)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★7.支持自定义镜像和共享镜像创建流程。（要求提供功能截图或现场演示操作)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1803"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7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法定重要节假日人员支撑、数据保障，提供入焦游客画像分析报告及其他日常运维服务及辅助工作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r>
        <w:tblPrEx>
          <w:tblCellMar>
            <w:top w:w="0" w:type="dxa"/>
            <w:left w:w="108" w:type="dxa"/>
            <w:bottom w:w="0" w:type="dxa"/>
            <w:right w:w="108" w:type="dxa"/>
          </w:tblCellMar>
        </w:tblPrEx>
        <w:trPr>
          <w:trHeight w:val="146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硬件维护</w:t>
            </w:r>
          </w:p>
        </w:tc>
        <w:tc>
          <w:tcPr>
            <w:tcW w:w="6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（全域旅游中心大数据平台相关硬件维护）</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1年</w:t>
            </w:r>
          </w:p>
        </w:tc>
      </w:tr>
    </w:tbl>
    <w:p>
      <w:pPr>
        <w:snapToGrid w:val="0"/>
        <w:spacing w:line="360" w:lineRule="auto"/>
        <w:rPr>
          <w:rFonts w:ascii="宋体" w:hAnsi="宋体" w:cs="宋体"/>
          <w:b/>
          <w:bCs/>
          <w:color w:val="000000" w:themeColor="text1"/>
          <w:sz w:val="24"/>
          <w:szCs w:val="24"/>
          <w14:textFill>
            <w14:solidFill>
              <w14:schemeClr w14:val="tx1"/>
            </w14:solidFill>
          </w14:textFill>
        </w:rPr>
      </w:pP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 xml:space="preserve"> 年</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合同签约后付成交金额的90%，服务期满经验收达标后付清尾款。</w:t>
      </w:r>
      <w:bookmarkStart w:id="33" w:name="_GoBack"/>
      <w:bookmarkEnd w:id="33"/>
    </w:p>
    <w:p>
      <w:pPr>
        <w:pStyle w:val="5"/>
        <w:spacing w:before="0" w:after="0" w:line="312" w:lineRule="auto"/>
        <w:rPr>
          <w:rFonts w:ascii="宋体" w:hAnsi="宋体" w:cs="宋体"/>
          <w:color w:val="000000" w:themeColor="text1"/>
          <w:sz w:val="24"/>
          <w:szCs w:val="24"/>
          <w14:textFill>
            <w14:solidFill>
              <w14:schemeClr w14:val="tx1"/>
            </w14:solidFill>
          </w14:textFill>
        </w:rPr>
      </w:pPr>
      <w:bookmarkStart w:id="19" w:name="_Toc9654"/>
      <w:bookmarkStart w:id="20" w:name="_Toc3475"/>
      <w:bookmarkStart w:id="21" w:name="_Toc27955"/>
      <w:bookmarkStart w:id="22" w:name="_Toc11828"/>
      <w:bookmarkStart w:id="23" w:name="_Toc20778"/>
      <w:bookmarkStart w:id="24" w:name="_Toc25886"/>
      <w:bookmarkStart w:id="25" w:name="_Toc5085"/>
      <w:bookmarkStart w:id="26" w:name="_Toc31315"/>
      <w:bookmarkStart w:id="27" w:name="_Toc25516"/>
      <w:bookmarkStart w:id="28" w:name="_Toc9027"/>
      <w:bookmarkStart w:id="29" w:name="_Toc15478"/>
      <w:bookmarkStart w:id="30" w:name="_Toc14778"/>
      <w:bookmarkStart w:id="31" w:name="_Toc19730"/>
      <w:bookmarkStart w:id="32" w:name="_Toc13969"/>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采购人：焦作市文化广电和旅游局</w:t>
      </w:r>
    </w:p>
    <w:p>
      <w:pPr>
        <w:snapToGrid w:val="0"/>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毋冠群</w:t>
      </w:r>
    </w:p>
    <w:p>
      <w:pPr>
        <w:snapToGrid w:val="0"/>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18530460902</w:t>
      </w:r>
    </w:p>
    <w:p>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址：河南省焦作市解放区人民路889号市政大厦东配楼2楼</w:t>
      </w:r>
    </w:p>
    <w:p>
      <w:pPr>
        <w:pStyle w:val="5"/>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谈判的供应商，请于公告发布之日起至报名截止时间之前，在焦作市政府采购限额以下服务工程超市网上下载查看本项目需求文件以及变更公告等谈判前公布的所有项目资料，无论供应商下载查看与否，均视为已知晓所有谈判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3、无论谈判结果如何，供应商参与本项目的所有费用均由自行承担。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1、本项目由采购人外聘专家线下开标评标的方式采购。供应商须熟知公告要求，带上纸质响应文件资料并在谈判时间前到达现场。</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如供应商得分相同，按照以下方式确定中选供应商：</w:t>
      </w:r>
    </w:p>
    <w:p>
      <w:pPr>
        <w:snapToGrid w:val="0"/>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按照价低者中标的方式确定</w:t>
      </w:r>
      <w:r>
        <w:rPr>
          <w:rFonts w:hint="eastAsia" w:ascii="宋体" w:hAnsi="宋体" w:cs="宋体"/>
          <w:color w:val="000000" w:themeColor="text1"/>
          <w:sz w:val="24"/>
          <w:szCs w:val="24"/>
          <w:lang w:eastAsia="zh-CN"/>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5"/>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十、其他</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p>
    <w:p>
      <w:pPr>
        <w:spacing w:line="312"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color w:val="000000" w:themeColor="text1"/>
          <w:sz w:val="24"/>
          <w:szCs w:val="24"/>
          <w14:textFill>
            <w14:solidFill>
              <w14:schemeClr w14:val="tx1"/>
            </w14:solidFill>
          </w14:textFill>
        </w:rPr>
        <w:t>采购人将以平台的线上资料作为评判依据，供应商纸质响应文件辅助评审。供应商在平台填写的报价与电子文档、纸质文件的报价不一致的，以平台填写的为准。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3、供应商制作的响应文件电子文档，须按照要求制作，规定签字、盖章的地方必须按其规定签字、盖章，未按要求制作响应文件的进行废标处理。 </w:t>
      </w:r>
    </w:p>
    <w:p>
      <w:pPr>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十二、谈判</w:t>
      </w:r>
    </w:p>
    <w:p>
      <w:pPr>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1、谈判时间：</w:t>
      </w:r>
      <w:r>
        <w:rPr>
          <w:rFonts w:hint="eastAsia" w:ascii="宋体" w:hAnsi="宋体" w:cs="宋体"/>
          <w:color w:val="000000" w:themeColor="text1"/>
          <w:sz w:val="24"/>
          <w:szCs w:val="24"/>
          <w:highlight w:val="none"/>
          <w14:textFill>
            <w14:solidFill>
              <w14:schemeClr w14:val="tx1"/>
            </w14:solidFill>
          </w14:textFill>
        </w:rPr>
        <w:t>2023年11月</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点</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2、谈判地点：河南省焦作市解放区</w:t>
      </w:r>
      <w:r>
        <w:rPr>
          <w:rFonts w:hint="eastAsia" w:ascii="宋体" w:hAnsi="宋体" w:cs="宋体"/>
          <w:color w:val="000000" w:themeColor="text1"/>
          <w:sz w:val="24"/>
          <w:szCs w:val="24"/>
          <w:lang w:val="en-US" w:eastAsia="zh-CN"/>
          <w14:textFill>
            <w14:solidFill>
              <w14:schemeClr w14:val="tx1"/>
            </w14:solidFill>
          </w14:textFill>
        </w:rPr>
        <w:t>天河北路天河公园全域旅游服务中心</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3、已报名供应商未在规定的时间参与线下谈判，作废标处理。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4、采购人以抽签的形式确定</w:t>
      </w:r>
      <w:r>
        <w:rPr>
          <w:rFonts w:ascii="宋体" w:hAnsi="宋体" w:cs="宋体"/>
          <w:color w:val="000000" w:themeColor="text1"/>
          <w:sz w:val="24"/>
          <w:szCs w:val="24"/>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顺序。</w:t>
      </w:r>
    </w:p>
    <w:p>
      <w:pPr>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5、经谈判确定最终采购需求且谈判结束后，供应商应当按照变动情况提交书面承诺及最后报</w:t>
      </w:r>
      <w:r>
        <w:rPr>
          <w:rFonts w:hint="eastAsia" w:ascii="宋体" w:hAnsi="宋体" w:cs="宋体"/>
          <w:bCs/>
          <w:color w:val="000000" w:themeColor="text1"/>
          <w:sz w:val="24"/>
          <w:szCs w:val="24"/>
          <w14:textFill>
            <w14:solidFill>
              <w14:schemeClr w14:val="tx1"/>
            </w14:solidFill>
          </w14:textFill>
        </w:rPr>
        <w:t>价，未提交的供应商作</w:t>
      </w:r>
      <w:r>
        <w:rPr>
          <w:rFonts w:hint="eastAsia" w:ascii="宋体" w:hAnsi="宋体" w:cs="宋体"/>
          <w:color w:val="000000" w:themeColor="text1"/>
          <w:sz w:val="24"/>
          <w:szCs w:val="24"/>
          <w14:textFill>
            <w14:solidFill>
              <w14:schemeClr w14:val="tx1"/>
            </w14:solidFill>
          </w14:textFill>
        </w:rPr>
        <w:t>废标处理。</w:t>
      </w:r>
    </w:p>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57"/>
        <w:tblW w:w="9419" w:type="dxa"/>
        <w:tblInd w:w="96" w:type="dxa"/>
        <w:tblLayout w:type="autofit"/>
        <w:tblCellMar>
          <w:top w:w="0" w:type="dxa"/>
          <w:left w:w="108" w:type="dxa"/>
          <w:bottom w:w="0" w:type="dxa"/>
          <w:right w:w="108" w:type="dxa"/>
        </w:tblCellMar>
      </w:tblPr>
      <w:tblGrid>
        <w:gridCol w:w="857"/>
        <w:gridCol w:w="1737"/>
        <w:gridCol w:w="6825"/>
      </w:tblGrid>
      <w:tr>
        <w:tblPrEx>
          <w:tblCellMar>
            <w:top w:w="0" w:type="dxa"/>
            <w:left w:w="108" w:type="dxa"/>
            <w:bottom w:w="0" w:type="dxa"/>
            <w:right w:w="108" w:type="dxa"/>
          </w:tblCellMar>
        </w:tblPrEx>
        <w:trPr>
          <w:trHeight w:val="1156"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评标项目及分值</w:t>
            </w:r>
          </w:p>
        </w:tc>
        <w:tc>
          <w:tcPr>
            <w:tcW w:w="8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评标方法描述</w:t>
            </w:r>
          </w:p>
        </w:tc>
      </w:tr>
      <w:tr>
        <w:tblPrEx>
          <w:tblCellMar>
            <w:top w:w="0" w:type="dxa"/>
            <w:left w:w="108" w:type="dxa"/>
            <w:bottom w:w="0" w:type="dxa"/>
            <w:right w:w="108" w:type="dxa"/>
          </w:tblCellMar>
        </w:tblPrEx>
        <w:trPr>
          <w:trHeight w:val="338"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报价（20分）</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投标报价（</w:t>
            </w:r>
            <w:r>
              <w:rPr>
                <w:color w:val="000000" w:themeColor="text1"/>
                <w:kern w:val="0"/>
                <w:sz w:val="21"/>
                <w:szCs w:val="21"/>
                <w:lang w:bidi="ar"/>
                <w14:textFill>
                  <w14:solidFill>
                    <w14:schemeClr w14:val="tx1"/>
                  </w14:solidFill>
                </w14:textFill>
              </w:rPr>
              <w:t>20</w:t>
            </w:r>
            <w:r>
              <w:rPr>
                <w:rFonts w:hint="eastAsia" w:ascii="宋体" w:hAnsi="宋体" w:cs="宋体"/>
                <w:color w:val="000000" w:themeColor="text1"/>
                <w:kern w:val="0"/>
                <w:sz w:val="21"/>
                <w:szCs w:val="21"/>
                <w:lang w:bidi="ar"/>
                <w14:textFill>
                  <w14:solidFill>
                    <w14:schemeClr w14:val="tx1"/>
                  </w14:solidFill>
                </w14:textFill>
              </w:rPr>
              <w:t>分）</w:t>
            </w:r>
          </w:p>
        </w:tc>
        <w:tc>
          <w:tcPr>
            <w:tcW w:w="6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价格分统一采用低价优先法计算，即满足磋商文件资格性和符合性要求且最后报价最低的供应商的价格为磋商基准价，其价格分为满分20分。</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其他供应商的价格分统一按照下列公式计算：</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磋商报价得分=(磋商基准价／最后磋商报价)×20，计算过程及结果按四舍五入，保留两位小数。</w:t>
            </w:r>
          </w:p>
        </w:tc>
      </w:tr>
      <w:tr>
        <w:tblPrEx>
          <w:tblCellMar>
            <w:top w:w="0" w:type="dxa"/>
            <w:left w:w="108" w:type="dxa"/>
            <w:bottom w:w="0" w:type="dxa"/>
            <w:right w:w="108" w:type="dxa"/>
          </w:tblCellMar>
        </w:tblPrEx>
        <w:trPr>
          <w:trHeight w:val="338"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65"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7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技术评分（45分）</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技术要求部分（39分）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完全满足“服务内容及要求”基本技术要求得39分，响应性文件与采购文件要求的技术参数功能不符合或负偏离的每项扣3分，带★功能不符合或负偏离的每项扣6分，扣完为止。</w:t>
            </w:r>
          </w:p>
        </w:tc>
      </w:tr>
      <w:tr>
        <w:tblPrEx>
          <w:tblCellMar>
            <w:top w:w="0" w:type="dxa"/>
            <w:left w:w="108" w:type="dxa"/>
            <w:bottom w:w="0" w:type="dxa"/>
            <w:right w:w="108" w:type="dxa"/>
          </w:tblCellMar>
        </w:tblPrEx>
        <w:trPr>
          <w:trHeight w:val="338"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售后服务方案</w:t>
            </w:r>
          </w:p>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（3分）</w:t>
            </w:r>
          </w:p>
        </w:tc>
        <w:tc>
          <w:tcPr>
            <w:tcW w:w="6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具备完善的售后服务方案（包括：服务方案的内容、形式、故障维修时间、问题解决质量、响应时间）承诺妥善解决突发事故和投诉事宜等，处理方案及承诺措施详细的。以上内容完整且科学可行得3分，基本完整可行得2分，不完整或可行性低的1分；未提供不得分。</w:t>
            </w:r>
          </w:p>
        </w:tc>
      </w:tr>
      <w:tr>
        <w:tblPrEx>
          <w:tblCellMar>
            <w:top w:w="0" w:type="dxa"/>
            <w:left w:w="108" w:type="dxa"/>
            <w:bottom w:w="0" w:type="dxa"/>
            <w:right w:w="108" w:type="dxa"/>
          </w:tblCellMar>
        </w:tblPrEx>
        <w:trPr>
          <w:trHeight w:val="338"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78"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23"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项目培训方案</w:t>
            </w:r>
          </w:p>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根据采购文件要求，审查供应商提供的培训方案（培训内容、培训计划、培训方案及相关措施），方案科学合理、可行性高的得3分，基本合理、可行得2分，方案描述不清楚、可行性低的得1分，没有的不得分。</w:t>
            </w:r>
          </w:p>
        </w:tc>
      </w:tr>
      <w:tr>
        <w:tblPrEx>
          <w:tblCellMar>
            <w:top w:w="0" w:type="dxa"/>
            <w:left w:w="108" w:type="dxa"/>
            <w:bottom w:w="0" w:type="dxa"/>
            <w:right w:w="108" w:type="dxa"/>
          </w:tblCellMar>
        </w:tblPrEx>
        <w:trPr>
          <w:trHeight w:val="338"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商务部分（35分）</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软件著作权要求（14分）</w:t>
            </w:r>
          </w:p>
        </w:tc>
        <w:tc>
          <w:tcPr>
            <w:tcW w:w="6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为体现对平台二次升级能力的具备情况，</w:t>
            </w:r>
            <w:r>
              <w:rPr>
                <w:rFonts w:hint="eastAsia" w:ascii="宋体" w:hAnsi="宋体" w:cs="宋体"/>
                <w:color w:val="000000" w:themeColor="text1"/>
                <w:kern w:val="0"/>
                <w:sz w:val="21"/>
                <w:szCs w:val="21"/>
                <w:lang w:val="en-US" w:eastAsia="zh-CN" w:bidi="ar"/>
                <w14:textFill>
                  <w14:solidFill>
                    <w14:schemeClr w14:val="tx1"/>
                  </w14:solidFill>
                </w14:textFill>
              </w:rPr>
              <w:t>供应商或所投产品厂商需</w:t>
            </w:r>
            <w:r>
              <w:rPr>
                <w:rFonts w:hint="eastAsia" w:ascii="宋体" w:hAnsi="宋体" w:cs="宋体"/>
                <w:color w:val="000000" w:themeColor="text1"/>
                <w:kern w:val="0"/>
                <w:sz w:val="21"/>
                <w:szCs w:val="21"/>
                <w:lang w:bidi="ar"/>
                <w14:textFill>
                  <w14:solidFill>
                    <w14:schemeClr w14:val="tx1"/>
                  </w14:solidFill>
                </w14:textFill>
              </w:rPr>
              <w:t>具有数据采集、数据交换、数据处理、数据服务、数据治理、算法模型、算法开发、算法服务、数据仓库、网络爬虫、应用集成、模型管理、数据分析、图谱服务类的自主知识产权能力的佐证材料，全部提供得14分，同时提供 6-13 项佐证材料的得6分，同时提供 3-6 项佐证材料的得 3分，同时提供 3 项以下或不提供的不得分。</w:t>
            </w:r>
          </w:p>
        </w:tc>
      </w:tr>
      <w:tr>
        <w:tblPrEx>
          <w:tblCellMar>
            <w:top w:w="0" w:type="dxa"/>
            <w:left w:w="108" w:type="dxa"/>
            <w:bottom w:w="0" w:type="dxa"/>
            <w:right w:w="108" w:type="dxa"/>
          </w:tblCellMar>
        </w:tblPrEx>
        <w:trPr>
          <w:trHeight w:val="1391"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156"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企业实力（</w:t>
            </w:r>
            <w:r>
              <w:rPr>
                <w:color w:val="000000" w:themeColor="text1"/>
                <w:kern w:val="0"/>
                <w:sz w:val="21"/>
                <w:szCs w:val="21"/>
                <w:lang w:bidi="ar"/>
                <w14:textFill>
                  <w14:solidFill>
                    <w14:schemeClr w14:val="tx1"/>
                  </w14:solidFill>
                </w14:textFill>
              </w:rPr>
              <w:t>21</w:t>
            </w:r>
            <w:r>
              <w:rPr>
                <w:rFonts w:hint="eastAsia" w:ascii="宋体" w:hAnsi="宋体" w:cs="宋体"/>
                <w:color w:val="000000" w:themeColor="text1"/>
                <w:kern w:val="0"/>
                <w:sz w:val="21"/>
                <w:szCs w:val="21"/>
                <w:lang w:bidi="ar"/>
                <w14:textFill>
                  <w14:solidFill>
                    <w14:schemeClr w14:val="tx1"/>
                  </w14:solidFill>
                </w14:textFill>
              </w:rPr>
              <w:t>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供应商同时具有ISO9001-质量管理体系认证证书、ISO/IEC20000-1信息技术服务管理体系认证证书、ISO/IEC27001信息安全管理体系认证证书、ISO22301-合规管理体系认证证书，每提供一个得1分，最高得4分。【提供上述有关证书扫描件加盖公章】</w:t>
            </w:r>
          </w:p>
        </w:tc>
      </w:tr>
      <w:tr>
        <w:tblPrEx>
          <w:tblCellMar>
            <w:top w:w="0" w:type="dxa"/>
            <w:left w:w="108" w:type="dxa"/>
            <w:bottom w:w="0" w:type="dxa"/>
            <w:right w:w="108" w:type="dxa"/>
          </w:tblCellMar>
        </w:tblPrEx>
        <w:trPr>
          <w:trHeight w:val="87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2.供应商具有具有CCRC-信息安全服务资质证书-信息安全应急处理（一级）的得3分，（二级）的得1分，其他得0分。【提供有关证书扫描件加盖公章】</w:t>
            </w:r>
          </w:p>
        </w:tc>
      </w:tr>
      <w:tr>
        <w:tblPrEx>
          <w:tblCellMar>
            <w:top w:w="0" w:type="dxa"/>
            <w:left w:w="108" w:type="dxa"/>
            <w:bottom w:w="0" w:type="dxa"/>
            <w:right w:w="108" w:type="dxa"/>
          </w:tblCellMar>
        </w:tblPrEx>
        <w:trPr>
          <w:trHeight w:val="623"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3.供应商具有ITSS（信息技术服务运行维护标准符合性证书）壹级的得2分，贰级的得1分，其他得0分。【提供ITSS证书扫描件加盖公章】</w:t>
            </w:r>
          </w:p>
        </w:tc>
      </w:tr>
      <w:tr>
        <w:tblPrEx>
          <w:tblCellMar>
            <w:top w:w="0" w:type="dxa"/>
            <w:left w:w="108" w:type="dxa"/>
            <w:bottom w:w="0" w:type="dxa"/>
            <w:right w:w="108" w:type="dxa"/>
          </w:tblCellMar>
        </w:tblPrEx>
        <w:trPr>
          <w:trHeight w:val="87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4.供应商具有CCRC-信息安全服务资质证书-风险评估（一级）、信息系统建设和服务能力等级证书优秀级（CS4）证书，每提供一个得2分，最高得4分。【提供有关证书扫描件加盖公章】</w:t>
            </w:r>
          </w:p>
        </w:tc>
      </w:tr>
      <w:tr>
        <w:tblPrEx>
          <w:tblCellMar>
            <w:top w:w="0" w:type="dxa"/>
            <w:left w:w="108" w:type="dxa"/>
            <w:bottom w:w="0" w:type="dxa"/>
            <w:right w:w="108" w:type="dxa"/>
          </w:tblCellMar>
        </w:tblPrEx>
        <w:trPr>
          <w:trHeight w:val="623"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5.供应商具有数据安全服务能力评定资格证书-数据安全建设，一级及以上得3分，其他得0分。【提供有关证书扫描件加盖公章】</w:t>
            </w:r>
          </w:p>
        </w:tc>
      </w:tr>
      <w:tr>
        <w:tblPrEx>
          <w:tblCellMar>
            <w:top w:w="0" w:type="dxa"/>
            <w:left w:w="108" w:type="dxa"/>
            <w:bottom w:w="0" w:type="dxa"/>
            <w:right w:w="108" w:type="dxa"/>
          </w:tblCellMar>
        </w:tblPrEx>
        <w:trPr>
          <w:trHeight w:val="623"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5.供应商具有数据安全服务能力评定资格证书-数据安全评估，一级及以上得3分，其他得0分。【提供有关证书扫描件加盖公章】</w:t>
            </w:r>
          </w:p>
        </w:tc>
      </w:tr>
      <w:tr>
        <w:tblPrEx>
          <w:tblCellMar>
            <w:top w:w="0" w:type="dxa"/>
            <w:left w:w="108" w:type="dxa"/>
            <w:bottom w:w="0" w:type="dxa"/>
            <w:right w:w="108" w:type="dxa"/>
          </w:tblCellMar>
        </w:tblPrEx>
        <w:trPr>
          <w:trHeight w:val="583"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1"/>
                <w:szCs w:val="21"/>
                <w14:textFill>
                  <w14:solidFill>
                    <w14:schemeClr w14:val="tx1"/>
                  </w14:solidFill>
                </w14:textFill>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7.供应商具有CMMI5软件成熟度认证证书的得2分。【提供有关证书扫描件加盖公章】</w:t>
            </w:r>
          </w:p>
        </w:tc>
      </w:tr>
      <w:tr>
        <w:tblPrEx>
          <w:tblCellMar>
            <w:top w:w="0" w:type="dxa"/>
            <w:left w:w="108" w:type="dxa"/>
            <w:bottom w:w="0" w:type="dxa"/>
            <w:right w:w="108" w:type="dxa"/>
          </w:tblCellMar>
        </w:tblPrEx>
        <w:trPr>
          <w:trHeight w:val="34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总分</w:t>
            </w:r>
          </w:p>
        </w:tc>
        <w:tc>
          <w:tcPr>
            <w:tcW w:w="8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100</w:t>
            </w:r>
          </w:p>
        </w:tc>
      </w:tr>
    </w:tbl>
    <w:p>
      <w:pPr>
        <w:spacing w:line="312" w:lineRule="auto"/>
        <w:ind w:firstLine="480" w:firstLineChars="200"/>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14"/>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我方收到____________________________（项目名称）的谈判</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文件，经详细研究，决定参加该项目的谈判。</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1、愿意按照谈判采购文件中的一切要求，提供本项目的技术服务，报价为人民币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3、我方承诺：本次谈判的有效期为90天。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4、我方完全理解和接受贵方谈判</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5、在整个谈判</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tabs>
          <w:tab w:val="left" w:pos="2975"/>
          <w:tab w:val="center" w:pos="4765"/>
        </w:tabs>
        <w:spacing w:line="312" w:lineRule="auto"/>
        <w:jc w:val="left"/>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57"/>
        <w:tblW w:w="10277" w:type="dxa"/>
        <w:tblInd w:w="96" w:type="dxa"/>
        <w:tblLayout w:type="autofit"/>
        <w:tblCellMar>
          <w:top w:w="0" w:type="dxa"/>
          <w:left w:w="108" w:type="dxa"/>
          <w:bottom w:w="0" w:type="dxa"/>
          <w:right w:w="108" w:type="dxa"/>
        </w:tblCellMar>
      </w:tblPr>
      <w:tblGrid>
        <w:gridCol w:w="753"/>
        <w:gridCol w:w="1335"/>
        <w:gridCol w:w="2490"/>
        <w:gridCol w:w="3020"/>
        <w:gridCol w:w="980"/>
        <w:gridCol w:w="1699"/>
      </w:tblGrid>
      <w:tr>
        <w:tblPrEx>
          <w:tblCellMar>
            <w:top w:w="0" w:type="dxa"/>
            <w:left w:w="108" w:type="dxa"/>
            <w:bottom w:w="0" w:type="dxa"/>
            <w:right w:w="108" w:type="dxa"/>
          </w:tblCellMar>
        </w:tblPrEx>
        <w:trPr>
          <w:trHeight w:val="31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类型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功能及技术指标</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参数要求</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数量</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报价（万元）</w:t>
            </w:r>
          </w:p>
        </w:tc>
      </w:tr>
      <w:tr>
        <w:tblPrEx>
          <w:tblCellMar>
            <w:top w:w="0" w:type="dxa"/>
            <w:left w:w="108" w:type="dxa"/>
            <w:bottom w:w="0" w:type="dxa"/>
            <w:right w:w="108" w:type="dxa"/>
          </w:tblCellMar>
        </w:tblPrEx>
        <w:trPr>
          <w:trHeight w:val="614"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平台</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运营运维</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“焦作文旅大数据平台”</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运营运维</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“焦作智慧文旅公共服务平台”对接</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“焦作文物综合监管平台”对接</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“数据上报小程序”对接</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打通系统实现数据互通（相关费用由供应商自理）</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233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“舆情监控”系统提升服务</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按照上级单位相关工作要求，实现对各大视频网站，贴吧，等平台关键信息的及时预警分析功能。</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80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“游客态势感知”提升服务</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实现对指定区域游客的画像分析，触网短信发送功能。</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531"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视联网服务</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1.提供电脑端管理平台及手机APP，平台可按照“市、县、景区”三级实现分权分域功能</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★2.具备在区域入侵、人脸布控、火情预警、车牌布控、电动车识别、抽烟识别、口罩识别、离岗识别、人群聚集识别等AI功能；(要求提供加盖功能提供厂商公章的AI功能截图或现场演示操作)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3.系统后台采用全云化部署模式，双中心+多分省节点架构，具备灾备能力，符合等保三级要求，系统后台可靠性高，支持弹性动态扩容。系统后台支持视频流加密传输。（要求提供等保三级证书）</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组网服务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全域旅游中心专线</w:t>
            </w:r>
          </w:p>
        </w:tc>
        <w:tc>
          <w:tcPr>
            <w:tcW w:w="5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4A级以上景区</w:t>
            </w:r>
            <w:r>
              <w:rPr>
                <w:rFonts w:hint="eastAsia" w:ascii="宋体" w:hAnsi="宋体" w:cs="宋体"/>
                <w:color w:val="000000" w:themeColor="text1"/>
                <w:kern w:val="0"/>
                <w:sz w:val="22"/>
                <w:szCs w:val="22"/>
                <w:lang w:val="en-US" w:eastAsia="zh-CN" w:bidi="ar"/>
                <w14:textFill>
                  <w14:solidFill>
                    <w14:schemeClr w14:val="tx1"/>
                  </w14:solidFill>
                </w14:textFill>
              </w:rPr>
              <w:t>及重点文博场所视频对接</w:t>
            </w:r>
          </w:p>
        </w:tc>
        <w:tc>
          <w:tcPr>
            <w:tcW w:w="5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符合《公共安全重点区域视频图像信息采集规范》（GB37300-2018）标准确保线路畅通，画面清晰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495"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安全大脑服务</w:t>
            </w:r>
          </w:p>
        </w:tc>
        <w:tc>
          <w:tcPr>
            <w:tcW w:w="5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国产品牌，机架式硬件设备，基于高性能硬件平台和专业安全操作系统，多核处理器硬件架构。</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2.网络接口：配置≥5个千兆电口，≥4个Combo接口，USB3.0接口≥2个，CON口≥1个，标配单电源。</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3.整机网络吞吐量≥2Gbps，防病毒吞吐量≥600Mbps，IPS吞吐量≥800Mbps，并发连接数≥180万，新建并发连接≥4.5万/s，IPSecVPN≥2000个，SSLVPN最大用户数≥1000，SSLVPN授权用户数≥100个。</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★4.支持配置源地址路由、源接口路由、目的接口路由、目的地址路由；（要求提供产品软件界面截图以证明）</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5</w:t>
            </w:r>
            <w:r>
              <w:rPr>
                <w:rFonts w:hint="eastAsia" w:ascii="宋体" w:hAnsi="宋体" w:cs="宋体"/>
                <w:color w:val="000000" w:themeColor="text1"/>
                <w:kern w:val="0"/>
                <w:sz w:val="22"/>
                <w:szCs w:val="22"/>
                <w:lang w:bidi="ar"/>
                <w14:textFill>
                  <w14:solidFill>
                    <w14:schemeClr w14:val="tx1"/>
                  </w14:solidFill>
                </w14:textFill>
              </w:rPr>
              <w:t>.支持对多层级管道进行最大带宽限制、最小带宽保证、每IP或每用户的最大带宽限制和最小带宽保证；实现基于应用的隧道流控及智能选路；（要求提供产品软件界面截图以证明）</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6</w:t>
            </w:r>
            <w:r>
              <w:rPr>
                <w:rFonts w:hint="eastAsia" w:ascii="宋体" w:hAnsi="宋体" w:cs="宋体"/>
                <w:color w:val="000000" w:themeColor="text1"/>
                <w:kern w:val="0"/>
                <w:sz w:val="22"/>
                <w:szCs w:val="22"/>
                <w:lang w:bidi="ar"/>
                <w14:textFill>
                  <w14:solidFill>
                    <w14:schemeClr w14:val="tx1"/>
                  </w14:solidFill>
                </w14:textFill>
              </w:rPr>
              <w:t>.具备8100种以上攻击特征库规则列表，至少支持基于协议类型、操作系统、攻击类型、流行程度、严重程度、特征ID等方式的查询 ；（要求提供产品软件界面截图以证明）</w:t>
            </w:r>
          </w:p>
          <w:p>
            <w:pPr>
              <w:pStyle w:val="2"/>
              <w:ind w:left="0" w:leftChars="0" w:firstLine="0" w:firstLineChars="0"/>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7.支持批量添加自定义URL，支持自定义URL分类过滤，并带三年特征库升级服务；</w:t>
            </w:r>
          </w:p>
          <w:p>
            <w:pPr>
              <w:widowControl/>
              <w:numPr>
                <w:ilvl w:val="0"/>
                <w:numId w:val="0"/>
              </w:numPr>
              <w:jc w:val="both"/>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8.</w:t>
            </w:r>
            <w:r>
              <w:rPr>
                <w:rFonts w:hint="eastAsia" w:ascii="宋体" w:hAnsi="宋体" w:cs="宋体"/>
                <w:color w:val="000000" w:themeColor="text1"/>
                <w:kern w:val="0"/>
                <w:sz w:val="22"/>
                <w:szCs w:val="22"/>
                <w:lang w:bidi="ar"/>
                <w14:textFill>
                  <w14:solidFill>
                    <w14:schemeClr w14:val="tx1"/>
                  </w14:solidFill>
                </w14:textFill>
              </w:rPr>
              <w:t>支持2个系统软件并存，并支持系统软件回滚，防止配置不当或系统故障造成的网络中断，充分保证了系统的稳定性；（要求提供所投产品截图证明）</w:t>
            </w:r>
          </w:p>
          <w:p>
            <w:pPr>
              <w:widowControl/>
              <w:numPr>
                <w:ilvl w:val="0"/>
                <w:numId w:val="0"/>
              </w:numPr>
              <w:jc w:val="both"/>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9.</w:t>
            </w:r>
            <w:r>
              <w:rPr>
                <w:rFonts w:hint="eastAsia" w:ascii="宋体" w:hAnsi="宋体" w:cs="宋体"/>
                <w:color w:val="000000" w:themeColor="text1"/>
                <w:kern w:val="0"/>
                <w:sz w:val="22"/>
                <w:szCs w:val="22"/>
                <w:lang w:bidi="ar"/>
                <w14:textFill>
                  <w14:solidFill>
                    <w14:schemeClr w14:val="tx1"/>
                  </w14:solidFill>
                </w14:textFill>
              </w:rPr>
              <w:t>支持数据包路径检测，可以自定义新建检测对象，检测对象可基于接口、源地址、源用户、源端口、目的地址、目的URL、目的端口、协议、应用等参数配置；（要求提供所投产品截图证明）</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443"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运维服务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人员驻场服务及安全办公云电脑/云桌面</w:t>
            </w:r>
            <w:r>
              <w:rPr>
                <w:rFonts w:hint="eastAsia" w:ascii="宋体" w:hAnsi="宋体" w:cs="宋体"/>
                <w:color w:val="000000" w:themeColor="text1"/>
                <w:kern w:val="0"/>
                <w:sz w:val="22"/>
                <w:szCs w:val="22"/>
                <w:lang w:val="en-US" w:eastAsia="zh-CN" w:bidi="ar"/>
                <w14:textFill>
                  <w14:solidFill>
                    <w14:schemeClr w14:val="tx1"/>
                  </w14:solidFill>
                </w14:textFill>
              </w:rPr>
              <w:t>运营维护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themeColor="text1"/>
                <w:kern w:val="0"/>
                <w:sz w:val="22"/>
                <w:szCs w:val="22"/>
                <w:lang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人员：1人</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云电脑/云桌面</w:t>
            </w:r>
            <w:r>
              <w:rPr>
                <w:rFonts w:hint="eastAsia" w:ascii="宋体" w:hAnsi="宋体" w:cs="宋体"/>
                <w:color w:val="000000" w:themeColor="text1"/>
                <w:kern w:val="0"/>
                <w:sz w:val="22"/>
                <w:szCs w:val="22"/>
                <w:lang w:eastAsia="zh-CN" w:bidi="ar"/>
                <w14:textFill>
                  <w14:solidFill>
                    <w14:schemeClr w14:val="tx1"/>
                  </w14:solidFill>
                </w14:textFill>
              </w:rPr>
              <w:t>，</w:t>
            </w:r>
          </w:p>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运营维护</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1.基础配置：4核CPU,8G内存，国产操作系统及硬件设备；</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2.工具栏支持多种画面质量传输模式，可按清晰优先、流畅优先、默认设置、自定义设置四种模式进行切换。(要求提供功能截图或现场演示操作)；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3.画面质量传输自定义模式支持个性化设置视频帧率、视频质量、图像帧率、图像色彩。(要求提供功能截图或现场演示操作)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★4.产品厂商通过云电脑/云桌面可信云认证。(提供可信云证书查询截图)</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5.支持软件内设置直接关闭终端电源，可实现快速关闭瘦终端。(要求提供功能截图或现场演示操作)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★6.支持批量订购资源包，包括计算资源、存储资源、网络资源，在资源包的资源内开通桌面。（要求提供功能截图或现场演示操作)</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★7.支持自定义镜像和共享镜像创建流程。（要求提供功能截图或现场演示操作)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803"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6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法定重要节假日人员支撑、数据保障，提供入焦游客画像分析报告及其他日常运维服务及辅助工作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467"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硬件维护</w:t>
            </w:r>
          </w:p>
        </w:tc>
        <w:tc>
          <w:tcPr>
            <w:tcW w:w="5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（全域旅游中心大数据平台相关硬件维护）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467" w:hRule="atLeast"/>
        </w:trPr>
        <w:tc>
          <w:tcPr>
            <w:tcW w:w="8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总计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p>
        </w:tc>
      </w:tr>
    </w:tbl>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pPr>
        <w:pStyle w:val="37"/>
        <w:spacing w:line="312" w:lineRule="auto"/>
        <w:ind w:firstLine="480"/>
        <w:rPr>
          <w:rFonts w:ascii="宋体" w:hAnsi="宋体" w:cs="宋体"/>
          <w:color w:val="000000" w:themeColor="text1"/>
          <w:sz w:val="24"/>
          <w:szCs w:val="24"/>
          <w14:textFill>
            <w14:solidFill>
              <w14:schemeClr w14:val="tx1"/>
            </w14:solidFill>
          </w14:textFill>
        </w:rPr>
      </w:pPr>
    </w:p>
    <w:p>
      <w:pPr>
        <w:pStyle w:val="37"/>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12" w:lineRule="auto"/>
        <w:rPr>
          <w:rFonts w:ascii="宋体" w:hAnsi="宋体" w:cs="宋体"/>
          <w:color w:val="000000" w:themeColor="text1"/>
          <w14:textFill>
            <w14:solidFill>
              <w14:schemeClr w14:val="tx1"/>
            </w14:solidFill>
          </w14:textFill>
        </w:rPr>
      </w:pPr>
    </w:p>
    <w:p>
      <w:pPr>
        <w:spacing w:line="312"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12" w:lineRule="auto"/>
        <w:ind w:firstLine="420"/>
        <w:rPr>
          <w:rFonts w:ascii="宋体" w:hAnsi="宋体" w:cs="宋体"/>
          <w:b/>
          <w:color w:val="000000" w:themeColor="text1"/>
          <w:szCs w:val="28"/>
          <w14:textFill>
            <w14:solidFill>
              <w14:schemeClr w14:val="tx1"/>
            </w14:solidFill>
          </w14:textFill>
        </w:rPr>
      </w:pPr>
    </w:p>
    <w:p>
      <w:pPr>
        <w:spacing w:line="312" w:lineRule="auto"/>
        <w:rPr>
          <w:rFonts w:ascii="宋体" w:hAnsi="宋体" w:cs="宋体"/>
          <w:color w:val="000000" w:themeColor="text1"/>
          <w:sz w:val="24"/>
          <w:szCs w:val="24"/>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14"/>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rPr>
          <w:rFonts w:ascii="宋体" w:hAnsi="宋体" w:cs="宋体"/>
          <w:b/>
          <w:color w:val="000000" w:themeColor="text1"/>
          <w:sz w:val="24"/>
          <w:szCs w:val="24"/>
          <w14:textFill>
            <w14:solidFill>
              <w14:schemeClr w14:val="tx1"/>
            </w14:solidFill>
          </w14:textFill>
        </w:rPr>
      </w:pPr>
    </w:p>
    <w:p>
      <w:pPr>
        <w:pStyle w:val="5"/>
        <w:spacing w:before="0" w:after="0" w:line="360" w:lineRule="auto"/>
        <w:jc w:val="left"/>
        <w:rPr>
          <w:rFonts w:ascii="宋体" w:hAnsi="宋体" w:cs="宋体"/>
          <w:color w:val="000000" w:themeColor="text1"/>
          <w:sz w:val="24"/>
          <w:szCs w:val="24"/>
          <w14:textFill>
            <w14:solidFill>
              <w14:schemeClr w14:val="tx1"/>
            </w14:solidFill>
          </w14:textFill>
        </w:rPr>
      </w:pPr>
    </w:p>
    <w:p>
      <w:pPr>
        <w:pStyle w:val="5"/>
        <w:numPr>
          <w:ilvl w:val="0"/>
          <w:numId w:val="14"/>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诚信声明（格式）</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pStyle w:val="5"/>
        <w:spacing w:before="0" w:after="0" w:line="312" w:lineRule="auto"/>
        <w:rPr>
          <w:rFonts w:ascii="宋体" w:hAnsi="宋体" w:cs="宋体"/>
          <w:color w:val="000000" w:themeColor="text1"/>
          <w:sz w:val="24"/>
          <w:szCs w:val="24"/>
          <w14:textFill>
            <w14:solidFill>
              <w14:schemeClr w14:val="tx1"/>
            </w14:solidFill>
          </w14:textFill>
        </w:rPr>
      </w:pPr>
    </w:p>
    <w:p>
      <w:pPr>
        <w:pStyle w:val="5"/>
        <w:spacing w:before="0" w:after="0" w:line="312"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w:t>
      </w:r>
      <w:r>
        <w:rPr>
          <w:rFonts w:hint="eastAsia" w:ascii="宋体" w:hAnsi="宋体" w:cs="宋体"/>
          <w:color w:val="000000" w:themeColor="text1"/>
          <w:sz w:val="28"/>
          <w:szCs w:val="28"/>
          <w14:textFill>
            <w14:solidFill>
              <w14:schemeClr w14:val="tx1"/>
            </w14:solidFill>
          </w14:textFill>
        </w:rPr>
        <w:t>他应提供的资料</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1、其他与项目有关的资料（自附）：供应商总体情况介绍、其他与本项目有关的资料等。</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代表我单位全权办理上述项目的谈判、签约等具体工作，并签署全部有关文件、协议及合同。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代表我单位全权办理上述项目的谈判、签约等具体工作，并签署全部有关文件、协议及合同。签字负全部责任。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center"/>
        <w:rPr>
          <w:rFonts w:ascii="宋体" w:hAnsi="宋体" w:cs="宋体"/>
          <w:color w:val="000000" w:themeColor="text1"/>
          <w:sz w:val="24"/>
          <w:szCs w:val="24"/>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000000" w:themeColor="text1"/>
          <w:sz w:val="24"/>
          <w:szCs w:val="24"/>
          <w14:textFill>
            <w14:solidFill>
              <w14:schemeClr w14:val="tx1"/>
            </w14:solidFill>
          </w14:textFill>
        </w:rPr>
        <w:t>（结束）</w:t>
      </w:r>
    </w:p>
    <w:p>
      <w:pPr>
        <w:tabs>
          <w:tab w:val="left" w:pos="6300"/>
        </w:tabs>
        <w:snapToGrid w:val="0"/>
        <w:spacing w:line="312" w:lineRule="auto"/>
        <w:rPr>
          <w:rFonts w:ascii="黑体" w:hAnsi="黑体" w:eastAsia="黑体"/>
          <w:color w:val="000000" w:themeColor="text1"/>
          <w14:textFill>
            <w14:solidFill>
              <w14:schemeClr w14:val="tx1"/>
            </w14:solidFill>
          </w14:textFill>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3E6AF4-E818-4F46-8829-B4354ABDF1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6B0DDBD1-DB17-4543-B69C-165057F77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2D5E68E"/>
    <w:multiLevelType w:val="singleLevel"/>
    <w:tmpl w:val="12D5E68E"/>
    <w:lvl w:ilvl="0" w:tentative="0">
      <w:start w:val="1"/>
      <w:numFmt w:val="decimal"/>
      <w:lvlText w:val="%1."/>
      <w:lvlJc w:val="left"/>
      <w:pPr>
        <w:tabs>
          <w:tab w:val="left" w:pos="312"/>
        </w:tabs>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GU2ODg2YjRhZTZiZTU3YzRmZWY3Y2Q0ZGMyMzEifQ=="/>
  </w:docVars>
  <w:rsids>
    <w:rsidRoot w:val="00172A27"/>
    <w:rsid w:val="00005A0C"/>
    <w:rsid w:val="000144C9"/>
    <w:rsid w:val="0002088C"/>
    <w:rsid w:val="00033DAB"/>
    <w:rsid w:val="000370BC"/>
    <w:rsid w:val="00042D13"/>
    <w:rsid w:val="00056A6E"/>
    <w:rsid w:val="00072CEF"/>
    <w:rsid w:val="0008422C"/>
    <w:rsid w:val="0009291A"/>
    <w:rsid w:val="000A44DD"/>
    <w:rsid w:val="000B0F36"/>
    <w:rsid w:val="000B219A"/>
    <w:rsid w:val="000D3ADE"/>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937A1"/>
    <w:rsid w:val="001A3E64"/>
    <w:rsid w:val="001F74AE"/>
    <w:rsid w:val="002122FC"/>
    <w:rsid w:val="0021327B"/>
    <w:rsid w:val="0021595A"/>
    <w:rsid w:val="00217834"/>
    <w:rsid w:val="00223B9B"/>
    <w:rsid w:val="0022691C"/>
    <w:rsid w:val="002676F5"/>
    <w:rsid w:val="002862C7"/>
    <w:rsid w:val="00297EC4"/>
    <w:rsid w:val="002B0676"/>
    <w:rsid w:val="002C7EDF"/>
    <w:rsid w:val="002C7F29"/>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5120"/>
    <w:rsid w:val="003E69B4"/>
    <w:rsid w:val="003E7CAB"/>
    <w:rsid w:val="003F7078"/>
    <w:rsid w:val="00421287"/>
    <w:rsid w:val="0043243B"/>
    <w:rsid w:val="00435574"/>
    <w:rsid w:val="00440D3B"/>
    <w:rsid w:val="004569BA"/>
    <w:rsid w:val="00456C52"/>
    <w:rsid w:val="00460545"/>
    <w:rsid w:val="00463661"/>
    <w:rsid w:val="00466D2A"/>
    <w:rsid w:val="004915AF"/>
    <w:rsid w:val="00493794"/>
    <w:rsid w:val="00495D1A"/>
    <w:rsid w:val="0049754E"/>
    <w:rsid w:val="004A1198"/>
    <w:rsid w:val="004A2061"/>
    <w:rsid w:val="004B4D5B"/>
    <w:rsid w:val="004C55B8"/>
    <w:rsid w:val="004E24B0"/>
    <w:rsid w:val="00507899"/>
    <w:rsid w:val="005106F8"/>
    <w:rsid w:val="00521F48"/>
    <w:rsid w:val="00531162"/>
    <w:rsid w:val="00537A61"/>
    <w:rsid w:val="00543AC4"/>
    <w:rsid w:val="00544AC9"/>
    <w:rsid w:val="0055266E"/>
    <w:rsid w:val="0055762B"/>
    <w:rsid w:val="00562F84"/>
    <w:rsid w:val="00580744"/>
    <w:rsid w:val="005C530A"/>
    <w:rsid w:val="005C7A84"/>
    <w:rsid w:val="005E75FF"/>
    <w:rsid w:val="005F22A3"/>
    <w:rsid w:val="00625F79"/>
    <w:rsid w:val="00643888"/>
    <w:rsid w:val="006452FB"/>
    <w:rsid w:val="0065313C"/>
    <w:rsid w:val="00664DC0"/>
    <w:rsid w:val="00667DF3"/>
    <w:rsid w:val="006718E7"/>
    <w:rsid w:val="00675CDE"/>
    <w:rsid w:val="006802F3"/>
    <w:rsid w:val="0068246D"/>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3B32"/>
    <w:rsid w:val="009F5836"/>
    <w:rsid w:val="00A06259"/>
    <w:rsid w:val="00A3078D"/>
    <w:rsid w:val="00A5531C"/>
    <w:rsid w:val="00A56F1E"/>
    <w:rsid w:val="00A614CD"/>
    <w:rsid w:val="00A662F3"/>
    <w:rsid w:val="00A74FC3"/>
    <w:rsid w:val="00A757A0"/>
    <w:rsid w:val="00A9133B"/>
    <w:rsid w:val="00AA6685"/>
    <w:rsid w:val="00AC755D"/>
    <w:rsid w:val="00AF3E34"/>
    <w:rsid w:val="00B000A7"/>
    <w:rsid w:val="00B01F29"/>
    <w:rsid w:val="00B3337A"/>
    <w:rsid w:val="00B43355"/>
    <w:rsid w:val="00B60CC0"/>
    <w:rsid w:val="00B60F1F"/>
    <w:rsid w:val="00B730A8"/>
    <w:rsid w:val="00B8624A"/>
    <w:rsid w:val="00BA1F2C"/>
    <w:rsid w:val="00BB0DB1"/>
    <w:rsid w:val="00BB3E0F"/>
    <w:rsid w:val="00BB3F7A"/>
    <w:rsid w:val="00BC4CA6"/>
    <w:rsid w:val="00BD5A39"/>
    <w:rsid w:val="00BF23A8"/>
    <w:rsid w:val="00BF771D"/>
    <w:rsid w:val="00C14479"/>
    <w:rsid w:val="00C24A7C"/>
    <w:rsid w:val="00C26742"/>
    <w:rsid w:val="00C34570"/>
    <w:rsid w:val="00C5221A"/>
    <w:rsid w:val="00C54EF1"/>
    <w:rsid w:val="00C619A3"/>
    <w:rsid w:val="00C909A2"/>
    <w:rsid w:val="00CB395B"/>
    <w:rsid w:val="00CC15A7"/>
    <w:rsid w:val="00CC4F85"/>
    <w:rsid w:val="00CD410E"/>
    <w:rsid w:val="00CD444E"/>
    <w:rsid w:val="00CF78E0"/>
    <w:rsid w:val="00D21D58"/>
    <w:rsid w:val="00D226A5"/>
    <w:rsid w:val="00D2377C"/>
    <w:rsid w:val="00D40159"/>
    <w:rsid w:val="00D858CC"/>
    <w:rsid w:val="00DA4850"/>
    <w:rsid w:val="00DF02E6"/>
    <w:rsid w:val="00E0334A"/>
    <w:rsid w:val="00E2740B"/>
    <w:rsid w:val="00E40564"/>
    <w:rsid w:val="00E45B7C"/>
    <w:rsid w:val="00E45C98"/>
    <w:rsid w:val="00E46A0A"/>
    <w:rsid w:val="00E54E2D"/>
    <w:rsid w:val="00E611BB"/>
    <w:rsid w:val="00E670E8"/>
    <w:rsid w:val="00E863F1"/>
    <w:rsid w:val="00EC08FC"/>
    <w:rsid w:val="00EC1D86"/>
    <w:rsid w:val="00EF60F7"/>
    <w:rsid w:val="00F10101"/>
    <w:rsid w:val="00F746A5"/>
    <w:rsid w:val="00F91500"/>
    <w:rsid w:val="00FC7767"/>
    <w:rsid w:val="00FD14FB"/>
    <w:rsid w:val="07610150"/>
    <w:rsid w:val="08ED3546"/>
    <w:rsid w:val="0BAA1613"/>
    <w:rsid w:val="0C9E4141"/>
    <w:rsid w:val="0CEA3D29"/>
    <w:rsid w:val="0EFE3F6B"/>
    <w:rsid w:val="101E0686"/>
    <w:rsid w:val="10465738"/>
    <w:rsid w:val="1C0E01AF"/>
    <w:rsid w:val="25771649"/>
    <w:rsid w:val="25892027"/>
    <w:rsid w:val="274F77D4"/>
    <w:rsid w:val="2A9A00C1"/>
    <w:rsid w:val="2C050167"/>
    <w:rsid w:val="2D5A3ECC"/>
    <w:rsid w:val="2D861160"/>
    <w:rsid w:val="2EDD135B"/>
    <w:rsid w:val="319137A3"/>
    <w:rsid w:val="31D874D8"/>
    <w:rsid w:val="34CC3626"/>
    <w:rsid w:val="39491CAB"/>
    <w:rsid w:val="395A7C1C"/>
    <w:rsid w:val="39D961DF"/>
    <w:rsid w:val="3C294176"/>
    <w:rsid w:val="3EDB7D99"/>
    <w:rsid w:val="3F180E41"/>
    <w:rsid w:val="3FCD46EF"/>
    <w:rsid w:val="411B1F4A"/>
    <w:rsid w:val="43260821"/>
    <w:rsid w:val="452B268D"/>
    <w:rsid w:val="45FB04BF"/>
    <w:rsid w:val="4657737E"/>
    <w:rsid w:val="49942A16"/>
    <w:rsid w:val="4BC9209C"/>
    <w:rsid w:val="4E99569F"/>
    <w:rsid w:val="530D00AF"/>
    <w:rsid w:val="54913FB3"/>
    <w:rsid w:val="55107CB2"/>
    <w:rsid w:val="5A9515D1"/>
    <w:rsid w:val="5B8C0E98"/>
    <w:rsid w:val="5FCE19B8"/>
    <w:rsid w:val="639635F7"/>
    <w:rsid w:val="65F91B55"/>
    <w:rsid w:val="67633592"/>
    <w:rsid w:val="67B15328"/>
    <w:rsid w:val="6F98547A"/>
    <w:rsid w:val="71287CA7"/>
    <w:rsid w:val="7183443D"/>
    <w:rsid w:val="751E519F"/>
    <w:rsid w:val="76BD09F3"/>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2"/>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99"/>
    <w:pPr>
      <w:ind w:firstLine="420" w:firstLineChars="200"/>
    </w:pPr>
  </w:style>
  <w:style w:type="character" w:customStyle="1" w:styleId="252">
    <w:name w:val="font11"/>
    <w:basedOn w:val="59"/>
    <w:qFormat/>
    <w:uiPriority w:val="0"/>
    <w:rPr>
      <w:rFonts w:hint="eastAsia" w:ascii="宋体" w:hAnsi="宋体" w:eastAsia="宋体" w:cs="宋体"/>
      <w:b/>
      <w:bCs/>
      <w:color w:val="000000"/>
      <w:sz w:val="21"/>
      <w:szCs w:val="21"/>
      <w:u w:val="none"/>
    </w:rPr>
  </w:style>
  <w:style w:type="character" w:customStyle="1" w:styleId="253">
    <w:name w:val="font41"/>
    <w:basedOn w:val="59"/>
    <w:qFormat/>
    <w:uiPriority w:val="0"/>
    <w:rPr>
      <w:rFonts w:hint="eastAsia" w:ascii="宋体" w:hAnsi="宋体" w:eastAsia="宋体" w:cs="宋体"/>
      <w:color w:val="000000"/>
      <w:sz w:val="21"/>
      <w:szCs w:val="21"/>
      <w:u w:val="none"/>
    </w:rPr>
  </w:style>
  <w:style w:type="character" w:customStyle="1" w:styleId="254">
    <w:name w:val="font51"/>
    <w:basedOn w:val="59"/>
    <w:qFormat/>
    <w:uiPriority w:val="0"/>
    <w:rPr>
      <w:rFonts w:hint="default" w:ascii="Times New Roman" w:hAnsi="Times New Roman" w:cs="Times New Roman"/>
      <w:color w:val="000000"/>
      <w:sz w:val="21"/>
      <w:szCs w:val="21"/>
      <w:u w:val="none"/>
    </w:rPr>
  </w:style>
  <w:style w:type="character" w:customStyle="1" w:styleId="255">
    <w:name w:val="font01"/>
    <w:basedOn w:val="5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995</Words>
  <Characters>5672</Characters>
  <Lines>47</Lines>
  <Paragraphs>13</Paragraphs>
  <TotalTime>3</TotalTime>
  <ScaleCrop>false</ScaleCrop>
  <LinksUpToDate>false</LinksUpToDate>
  <CharactersWithSpaces>6654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Barry</cp:lastModifiedBy>
  <cp:lastPrinted>2018-08-06T08:28:00Z</cp:lastPrinted>
  <dcterms:modified xsi:type="dcterms:W3CDTF">2023-11-03T09:46:45Z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9B3983FDA9874B7B8ABB332166CB3989</vt:lpwstr>
  </property>
</Properties>
</file>