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rPr>
          <w:rFonts w:hint="eastAsia" w:ascii="宋体" w:hAnsi="宋体" w:eastAsia="宋体" w:cs="宋体"/>
          <w:color w:val="000000" w:themeColor="text1"/>
          <w:sz w:val="32"/>
          <w:szCs w:val="44"/>
          <w14:textFill>
            <w14:solidFill>
              <w14:schemeClr w14:val="tx1"/>
            </w14:solidFill>
          </w14:textFill>
        </w:rPr>
      </w:pPr>
      <w:r>
        <w:rPr>
          <w:rFonts w:hint="eastAsia" w:ascii="宋体" w:hAnsi="宋体" w:eastAsia="宋体" w:cs="宋体"/>
          <w:color w:val="000000" w:themeColor="text1"/>
          <w:sz w:val="32"/>
          <w:szCs w:val="44"/>
          <w14:textFill>
            <w14:solidFill>
              <w14:schemeClr w14:val="tx1"/>
            </w14:solidFill>
          </w14:textFill>
        </w:rPr>
        <w:t>评审办法</w:t>
      </w:r>
    </w:p>
    <w:p>
      <w:pPr>
        <w:pStyle w:val="5"/>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0" w:name="_Toc22289"/>
      <w:r>
        <w:rPr>
          <w:rFonts w:hint="eastAsia" w:ascii="宋体" w:hAnsi="宋体" w:eastAsia="宋体" w:cs="宋体"/>
          <w:color w:val="000000" w:themeColor="text1"/>
          <w:sz w:val="24"/>
          <w:szCs w:val="24"/>
          <w14:textFill>
            <w14:solidFill>
              <w14:schemeClr w14:val="tx1"/>
            </w14:solidFill>
          </w14:textFill>
        </w:rPr>
        <w:t>1. 评审方法</w:t>
      </w:r>
      <w:bookmarkEnd w:id="0"/>
    </w:p>
    <w:p>
      <w:pPr>
        <w:pStyle w:val="5"/>
        <w:spacing w:before="0" w:after="0"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bookmarkStart w:id="1" w:name="_Toc3426"/>
      <w:r>
        <w:rPr>
          <w:rFonts w:hint="eastAsia" w:ascii="宋体" w:hAnsi="宋体" w:eastAsia="宋体" w:cs="宋体"/>
          <w:b w:val="0"/>
          <w:bCs w:val="0"/>
          <w:color w:val="000000" w:themeColor="text1"/>
          <w:sz w:val="24"/>
          <w:szCs w:val="24"/>
          <w14:textFill>
            <w14:solidFill>
              <w14:schemeClr w14:val="tx1"/>
            </w14:solidFill>
          </w14:textFill>
        </w:rPr>
        <w:t>本次评审采用综合评分法。</w:t>
      </w:r>
      <w:r>
        <w:rPr>
          <w:rFonts w:hint="eastAsia" w:ascii="宋体" w:hAnsi="宋体" w:eastAsia="宋体" w:cs="宋体"/>
          <w:b w:val="0"/>
          <w:bCs w:val="0"/>
          <w:color w:val="000000" w:themeColor="text1"/>
          <w:sz w:val="24"/>
          <w:szCs w:val="24"/>
          <w:lang w:eastAsia="zh-CN"/>
          <w14:textFill>
            <w14:solidFill>
              <w14:schemeClr w14:val="tx1"/>
            </w14:solidFill>
          </w14:textFill>
        </w:rPr>
        <w:t>询比采购</w:t>
      </w:r>
      <w:r>
        <w:rPr>
          <w:rFonts w:hint="eastAsia" w:ascii="宋体" w:hAnsi="宋体" w:eastAsia="宋体" w:cs="宋体"/>
          <w:b w:val="0"/>
          <w:bCs w:val="0"/>
          <w:color w:val="000000" w:themeColor="text1"/>
          <w:sz w:val="24"/>
          <w:szCs w:val="24"/>
          <w14:textFill>
            <w14:solidFill>
              <w14:schemeClr w14:val="tx1"/>
            </w14:solidFill>
          </w14:textFill>
        </w:rPr>
        <w:t>小组将按综合评分表中规定的各项分值进行打分并计算出各供应商的综合得分，按得分由高到低推荐成交候选供应商排序的评审方法。</w:t>
      </w:r>
      <w:bookmarkEnd w:id="1"/>
    </w:p>
    <w:p>
      <w:pPr>
        <w:pStyle w:val="5"/>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2" w:name="_Toc1135"/>
      <w:r>
        <w:rPr>
          <w:rFonts w:hint="eastAsia" w:ascii="宋体" w:hAnsi="宋体" w:eastAsia="宋体" w:cs="宋体"/>
          <w:color w:val="000000" w:themeColor="text1"/>
          <w:sz w:val="24"/>
          <w:szCs w:val="24"/>
          <w14:textFill>
            <w14:solidFill>
              <w14:schemeClr w14:val="tx1"/>
            </w14:solidFill>
          </w14:textFill>
        </w:rPr>
        <w:t>2. 评审标准</w:t>
      </w:r>
      <w:bookmarkEnd w:id="2"/>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2.1资格审查</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资格审查标准：见附表 1“资格审查表”。</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2.2符合性审查</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符合性审查标准：见附表 2“符合性审查表”：只有通过符合性审查的供应商，才能进入下一步评审。</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2.3详细评审标准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详细评审标准：见附表 3“综合评分表”。</w:t>
      </w:r>
    </w:p>
    <w:p>
      <w:pPr>
        <w:pStyle w:val="5"/>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3" w:name="_Toc26167"/>
      <w:r>
        <w:rPr>
          <w:rFonts w:hint="eastAsia" w:ascii="宋体" w:hAnsi="宋体" w:eastAsia="宋体" w:cs="宋体"/>
          <w:color w:val="000000" w:themeColor="text1"/>
          <w:sz w:val="24"/>
          <w:szCs w:val="24"/>
          <w14:textFill>
            <w14:solidFill>
              <w14:schemeClr w14:val="tx1"/>
            </w14:solidFill>
          </w14:textFill>
        </w:rPr>
        <w:t>3.评审程序</w:t>
      </w:r>
      <w:bookmarkEnd w:id="3"/>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3.1资格审查：详见附表 1。</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3.2符合性审查</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小组成员依据附表2的要求进行符合性审查表。</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3.2.2响应文件属下列情况之一的，</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小组将在附表 2“符合性审查表”作为无效响应处理：</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报价是否超过采购预算；</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服务期限不能满足询比文件要求的；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质量要求不满足询比文件要求的；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未按询比文件缴纳保证金的；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未按照询比采购文件规定要求密封、签署、盖章的；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响应文件中附有采购人不能接受的条件的；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不符合法律、法规和询比采购文件中规定的其他实质性要求的。</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详细评审</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小组成员按附表 3“综合评分表”规定的评分因素进行综合评分。</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小组发现供应商的报价明显低于其他供应商报价，使得其报价可能低于其成本的，应当要求该供应商作出书面说明并提供相应的证明材料。供应商不能合理说明或者不能提供相应证明材料的，由</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小组认定该供应商以低于成本报价恶性竞争，否决其响应文件。</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3.2.3 价格分评审办法：</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①综合评分法中的价格分统一采用低价优先法计算，即满足询比采购文件要求且最后报价最低的供应商的价格为询比采购基准价，其价格分为满分。其他供应商的价格分统一按照下列公式计算：</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询比采购报价得分=（询比采购基准价/询比采购报价）×价格权值×100；项目评审过程中，不得去掉最后报价中的最高报价和最低报价。</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 统分原则</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3.3.1 </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小组应首先对各供应商报价响应文件进行评审，各分档评分中间采用插入法评分（小数点保留一位），由各小组成员自主评分并签字确认。</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3.3.2报价分值按公式计算，小数点后保留两位。</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3.3.3统计分数原则：所有</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小组成员打分的算术平均值为供应商的最后得分（保留小数点后两位）。</w:t>
      </w:r>
    </w:p>
    <w:p>
      <w:pPr>
        <w:spacing w:line="360" w:lineRule="auto"/>
        <w:ind w:right="1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3.3.4经</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确定最终采购需求和提交最后报价的供应商后，由</w:t>
      </w:r>
      <w:r>
        <w:rPr>
          <w:rFonts w:hint="eastAsia" w:ascii="宋体" w:hAnsi="宋体" w:eastAsia="宋体" w:cs="宋体"/>
          <w:color w:val="000000" w:themeColor="text1"/>
          <w:sz w:val="24"/>
          <w:szCs w:val="24"/>
          <w:lang w:eastAsia="zh-CN"/>
          <w14:textFill>
            <w14:solidFill>
              <w14:schemeClr w14:val="tx1"/>
            </w14:solidFill>
          </w14:textFill>
        </w:rPr>
        <w:t>询比采购</w:t>
      </w:r>
      <w:r>
        <w:rPr>
          <w:rFonts w:hint="eastAsia" w:ascii="宋体" w:hAnsi="宋体" w:eastAsia="宋体" w:cs="宋体"/>
          <w:color w:val="000000" w:themeColor="text1"/>
          <w:sz w:val="24"/>
          <w:szCs w:val="24"/>
          <w14:textFill>
            <w14:solidFill>
              <w14:schemeClr w14:val="tx1"/>
            </w14:solidFill>
          </w14:textFill>
        </w:rPr>
        <w:t>小组采用综合评分法对各供应商的技术部分评审得分加最终报价计算得分为供应商总得分，以综合得分最高的供应商推荐为第一成交候选人，若出现得分最高分并列时，按最终报价最低的供应商为第一成交候选人，再按综合得分由高到低顺序推荐第二、三成交候选人。并编写评审报告。</w:t>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附表1   资格</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14:textFill>
            <w14:solidFill>
              <w14:schemeClr w14:val="tx1"/>
            </w14:solidFill>
          </w14:textFill>
        </w:rPr>
        <w:t>表</w:t>
      </w:r>
    </w:p>
    <w:tbl>
      <w:tblPr>
        <w:tblStyle w:val="12"/>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99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审查内容</w:t>
            </w:r>
          </w:p>
        </w:tc>
        <w:tc>
          <w:tcPr>
            <w:tcW w:w="4995"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审查因素</w:t>
            </w:r>
          </w:p>
        </w:tc>
        <w:tc>
          <w:tcPr>
            <w:tcW w:w="396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restart"/>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资格审查标准</w:t>
            </w:r>
          </w:p>
        </w:tc>
        <w:tc>
          <w:tcPr>
            <w:tcW w:w="4995" w:type="dxa"/>
            <w:vAlign w:val="center"/>
          </w:tcPr>
          <w:p>
            <w:pPr>
              <w:spacing w:line="4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《中华人民共和国政府采购法》第二十二条规定</w:t>
            </w:r>
          </w:p>
        </w:tc>
        <w:tc>
          <w:tcPr>
            <w:tcW w:w="3969" w:type="dxa"/>
            <w:vAlign w:val="center"/>
          </w:tcPr>
          <w:p>
            <w:pPr>
              <w:spacing w:line="420" w:lineRule="exact"/>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《中华人民共和国政府采购法》第二十二条规定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营业执照</w:t>
            </w:r>
          </w:p>
        </w:tc>
        <w:tc>
          <w:tcPr>
            <w:tcW w:w="3969" w:type="dxa"/>
            <w:vAlign w:val="center"/>
          </w:tcPr>
          <w:p>
            <w:pPr>
              <w:spacing w:line="42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章“询比采购须知前附表”第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宋体" w:hAnsi="宋体" w:eastAsia="宋体" w:cs="宋体"/>
                <w:color w:val="000000" w:themeColor="text1"/>
                <w:spacing w:val="7"/>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资质要求</w:t>
            </w:r>
          </w:p>
        </w:tc>
        <w:tc>
          <w:tcPr>
            <w:tcW w:w="3969" w:type="dxa"/>
            <w:vAlign w:val="center"/>
          </w:tcPr>
          <w:p>
            <w:pPr>
              <w:spacing w:line="420" w:lineRule="exact"/>
              <w:rPr>
                <w:rFonts w:hint="eastAsia" w:ascii="宋体" w:hAnsi="宋体" w:eastAsia="宋体" w:cs="宋体"/>
                <w:color w:val="000000" w:themeColor="text1"/>
                <w:spacing w:val="1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章“询比采购须知前附表”第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项目负责人</w:t>
            </w:r>
          </w:p>
        </w:tc>
        <w:tc>
          <w:tcPr>
            <w:tcW w:w="3969" w:type="dxa"/>
            <w:vAlign w:val="center"/>
          </w:tcPr>
          <w:p>
            <w:pPr>
              <w:spacing w:line="42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符合第二章“询比采购须知前附表”第七条相关规定。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01" w:type="dxa"/>
            <w:vMerge w:val="continue"/>
            <w:vAlign w:val="center"/>
          </w:tcPr>
          <w:p>
            <w:pPr>
              <w:spacing w:line="360" w:lineRule="auto"/>
              <w:ind w:left="142"/>
              <w:jc w:val="center"/>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spacing w:line="420" w:lineRule="exact"/>
              <w:jc w:val="center"/>
              <w:rPr>
                <w:rFonts w:hint="eastAsia" w:ascii="宋体" w:hAnsi="宋体" w:eastAsia="宋体" w:cs="宋体"/>
                <w:color w:val="000000" w:themeColor="text1"/>
                <w:spacing w:val="7"/>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信誉要求</w:t>
            </w:r>
          </w:p>
        </w:tc>
        <w:tc>
          <w:tcPr>
            <w:tcW w:w="3969" w:type="dxa"/>
            <w:vAlign w:val="center"/>
          </w:tcPr>
          <w:p>
            <w:pPr>
              <w:spacing w:line="420" w:lineRule="exact"/>
              <w:rPr>
                <w:rFonts w:hint="eastAsia" w:ascii="宋体" w:hAnsi="宋体" w:eastAsia="宋体" w:cs="宋体"/>
                <w:color w:val="000000" w:themeColor="text1"/>
                <w:spacing w:val="1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章“询比采购须知前附表”第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01" w:type="dxa"/>
            <w:vMerge w:val="continue"/>
          </w:tcPr>
          <w:p>
            <w:pPr>
              <w:spacing w:line="360" w:lineRule="auto"/>
              <w:ind w:left="142" w:firstLine="480" w:firstLineChars="200"/>
              <w:rPr>
                <w:rFonts w:hint="eastAsia" w:ascii="宋体" w:hAnsi="宋体" w:eastAsia="宋体" w:cs="宋体"/>
                <w:color w:val="000000" w:themeColor="text1"/>
                <w:sz w:val="24"/>
                <w:szCs w:val="24"/>
                <w14:textFill>
                  <w14:solidFill>
                    <w14:schemeClr w14:val="tx1"/>
                  </w14:solidFill>
                </w14:textFill>
              </w:rPr>
            </w:pPr>
          </w:p>
        </w:tc>
        <w:tc>
          <w:tcPr>
            <w:tcW w:w="49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pacing w:val="7"/>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其他要求</w:t>
            </w:r>
          </w:p>
        </w:tc>
        <w:tc>
          <w:tcPr>
            <w:tcW w:w="3969" w:type="dxa"/>
            <w:vAlign w:val="center"/>
          </w:tcPr>
          <w:p>
            <w:pPr>
              <w:spacing w:line="420" w:lineRule="exact"/>
              <w:rPr>
                <w:rFonts w:hint="eastAsia" w:ascii="宋体" w:hAnsi="宋体" w:eastAsia="宋体" w:cs="宋体"/>
                <w:color w:val="000000" w:themeColor="text1"/>
                <w:spacing w:val="1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符合第二章“询比采购须知前附表”第七条相关规定。</w:t>
            </w:r>
          </w:p>
        </w:tc>
      </w:tr>
    </w:tbl>
    <w:p>
      <w:pPr>
        <w:widowControl/>
        <w:jc w:val="left"/>
        <w:rPr>
          <w:rFonts w:hint="eastAsia" w:ascii="宋体" w:hAnsi="宋体" w:eastAsia="宋体" w:cs="宋体"/>
          <w:color w:val="000000" w:themeColor="text1"/>
          <w:sz w:val="24"/>
          <w:szCs w:val="24"/>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 2   符合性审查表</w:t>
      </w:r>
    </w:p>
    <w:tbl>
      <w:tblPr>
        <w:tblStyle w:val="11"/>
        <w:tblpPr w:leftFromText="180" w:rightFromText="180" w:vertAnchor="text" w:horzAnchor="page" w:tblpX="1271" w:tblpY="455"/>
        <w:tblOverlap w:val="never"/>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291"/>
        <w:gridCol w:w="1459"/>
        <w:gridCol w:w="1395"/>
        <w:gridCol w:w="143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908" w:type="dxa"/>
            <w:vMerge w:val="restart"/>
            <w:vAlign w:val="center"/>
          </w:tcPr>
          <w:p>
            <w:pPr>
              <w:widowControl/>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评审内容</w:t>
            </w:r>
          </w:p>
        </w:tc>
        <w:tc>
          <w:tcPr>
            <w:tcW w:w="5578" w:type="dxa"/>
            <w:gridSpan w:val="4"/>
            <w:vAlign w:val="top"/>
          </w:tcPr>
          <w:p>
            <w:pPr>
              <w:widowControl/>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供 应 商</w:t>
            </w:r>
          </w:p>
        </w:tc>
        <w:tc>
          <w:tcPr>
            <w:tcW w:w="1132" w:type="dxa"/>
            <w:vMerge w:val="restart"/>
            <w:vAlign w:val="top"/>
          </w:tcPr>
          <w:p>
            <w:pPr>
              <w:widowControl/>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询比采购</w:t>
            </w:r>
            <w:r>
              <w:rPr>
                <w:rFonts w:hint="eastAsia" w:ascii="宋体" w:hAnsi="宋体" w:eastAsia="宋体" w:cs="宋体"/>
                <w:color w:val="000000" w:themeColor="text1"/>
                <w:kern w:val="0"/>
                <w:sz w:val="24"/>
                <w:szCs w:val="24"/>
                <w:lang w:bidi="ar"/>
                <w14:textFill>
                  <w14:solidFill>
                    <w14:schemeClr w14:val="tx1"/>
                  </w14:solidFill>
                </w14:textFill>
              </w:rPr>
              <w:t>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Merge w:val="continue"/>
            <w:vAlign w:val="center"/>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Align w:val="center"/>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报价是否超过采购预算；</w:t>
            </w: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restart"/>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Align w:val="center"/>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服务期限不能满足询比文件要求的；</w:t>
            </w: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8" w:type="dxa"/>
            <w:vAlign w:val="center"/>
          </w:tcPr>
          <w:p>
            <w:pPr>
              <w:pStyle w:val="6"/>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质量要求不满足询比文件要求的；</w:t>
            </w: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8" w:type="dxa"/>
            <w:vAlign w:val="center"/>
          </w:tcPr>
          <w:p>
            <w:pPr>
              <w:widowControl/>
              <w:rPr>
                <w:rFonts w:hint="eastAsia" w:ascii="宋体" w:hAnsi="宋体" w:eastAsia="宋体" w:cs="宋体"/>
                <w:bCs/>
                <w:color w:val="000000" w:themeColor="text1"/>
                <w:sz w:val="24"/>
                <w:szCs w:val="24"/>
                <w14:textFill>
                  <w14:solidFill>
                    <w14:schemeClr w14:val="tx1"/>
                  </w14:solidFill>
                </w14:textFill>
              </w:rPr>
            </w:pPr>
            <w:bookmarkStart w:id="4" w:name="_GoBack"/>
            <w:bookmarkEnd w:id="4"/>
            <w:r>
              <w:rPr>
                <w:rFonts w:hint="eastAsia" w:ascii="宋体" w:hAnsi="宋体" w:eastAsia="宋体" w:cs="宋体"/>
                <w:color w:val="000000" w:themeColor="text1"/>
                <w:kern w:val="0"/>
                <w:sz w:val="24"/>
                <w:szCs w:val="24"/>
                <w:lang w:bidi="ar"/>
                <w14:textFill>
                  <w14:solidFill>
                    <w14:schemeClr w14:val="tx1"/>
                  </w14:solidFill>
                </w14:textFill>
              </w:rPr>
              <w:t>未按照</w:t>
            </w:r>
            <w:r>
              <w:rPr>
                <w:rFonts w:hint="eastAsia" w:ascii="宋体" w:hAnsi="宋体" w:eastAsia="宋体" w:cs="宋体"/>
                <w:color w:val="000000" w:themeColor="text1"/>
                <w:kern w:val="0"/>
                <w:sz w:val="24"/>
                <w:szCs w:val="24"/>
                <w:lang w:val="en-US" w:eastAsia="zh-CN" w:bidi="ar"/>
                <w14:textFill>
                  <w14:solidFill>
                    <w14:schemeClr w14:val="tx1"/>
                  </w14:solidFill>
                </w14:textFill>
              </w:rPr>
              <w:t>询比采购文件</w:t>
            </w:r>
            <w:r>
              <w:rPr>
                <w:rFonts w:hint="eastAsia" w:ascii="宋体" w:hAnsi="宋体" w:eastAsia="宋体" w:cs="宋体"/>
                <w:color w:val="000000" w:themeColor="text1"/>
                <w:kern w:val="0"/>
                <w:sz w:val="24"/>
                <w:szCs w:val="24"/>
                <w:lang w:bidi="ar"/>
                <w14:textFill>
                  <w14:solidFill>
                    <w14:schemeClr w14:val="tx1"/>
                  </w14:solidFill>
                </w14:textFill>
              </w:rPr>
              <w:t>规定要求密封、签署、盖章的；</w:t>
            </w: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8" w:type="dxa"/>
            <w:vAlign w:val="center"/>
          </w:tcPr>
          <w:p>
            <w:pPr>
              <w:widowControl/>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响应文件中附有采购人不能接受的条件的；</w:t>
            </w: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908" w:type="dxa"/>
            <w:vAlign w:val="center"/>
          </w:tcPr>
          <w:p>
            <w:pPr>
              <w:widowControl/>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不符合法律、法规和</w:t>
            </w:r>
            <w:r>
              <w:rPr>
                <w:rFonts w:hint="eastAsia" w:ascii="宋体" w:hAnsi="宋体" w:eastAsia="宋体" w:cs="宋体"/>
                <w:color w:val="000000" w:themeColor="text1"/>
                <w:kern w:val="0"/>
                <w:sz w:val="24"/>
                <w:szCs w:val="24"/>
                <w:lang w:val="en-US" w:eastAsia="zh-CN" w:bidi="ar"/>
                <w14:textFill>
                  <w14:solidFill>
                    <w14:schemeClr w14:val="tx1"/>
                  </w14:solidFill>
                </w14:textFill>
              </w:rPr>
              <w:t>询比采购</w:t>
            </w:r>
            <w:r>
              <w:rPr>
                <w:rFonts w:hint="eastAsia" w:ascii="宋体" w:hAnsi="宋体" w:eastAsia="宋体" w:cs="宋体"/>
                <w:color w:val="000000" w:themeColor="text1"/>
                <w:kern w:val="0"/>
                <w:sz w:val="24"/>
                <w:szCs w:val="24"/>
                <w:lang w:bidi="ar"/>
                <w14:textFill>
                  <w14:solidFill>
                    <w14:schemeClr w14:val="tx1"/>
                  </w14:solidFill>
                </w14:textFill>
              </w:rPr>
              <w:t>文件中规定的其他实质性要求的。</w:t>
            </w: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908" w:type="dxa"/>
            <w:vAlign w:val="top"/>
          </w:tcPr>
          <w:p>
            <w:pPr>
              <w:widowControl/>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评 审 结 论</w:t>
            </w:r>
          </w:p>
        </w:tc>
        <w:tc>
          <w:tcPr>
            <w:tcW w:w="1291"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59"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395"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433" w:type="dxa"/>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132" w:type="dxa"/>
            <w:vMerge w:val="continue"/>
            <w:vAlign w:val="top"/>
          </w:tcPr>
          <w:p>
            <w:pPr>
              <w:pStyle w:val="6"/>
              <w:rPr>
                <w:rFonts w:hint="eastAsia" w:ascii="宋体" w:hAnsi="宋体" w:eastAsia="宋体" w:cs="宋体"/>
                <w:bCs/>
                <w:color w:val="000000" w:themeColor="text1"/>
                <w:sz w:val="24"/>
                <w:szCs w:val="24"/>
                <w:lang w:val="en-US" w:eastAsia="zh-CN"/>
                <w14:textFill>
                  <w14:solidFill>
                    <w14:schemeClr w14:val="tx1"/>
                  </w14:solidFill>
                </w14:textFill>
              </w:rPr>
            </w:pPr>
          </w:p>
        </w:tc>
      </w:tr>
    </w:tbl>
    <w:p>
      <w:pPr>
        <w:pStyle w:val="6"/>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项目名称：</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lang w:val="en-US" w:eastAsia="zh-CN"/>
          <w14:textFill>
            <w14:solidFill>
              <w14:schemeClr w14:val="tx1"/>
            </w14:solidFill>
          </w14:textFill>
        </w:rPr>
        <w:t>地点：</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p>
    <w:p>
      <w:pPr>
        <w:pStyle w:val="6"/>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评审日期：   年  月  日 </w:t>
      </w:r>
    </w:p>
    <w:p>
      <w:pPr>
        <w:pStyle w:val="7"/>
        <w:rPr>
          <w:rFonts w:hint="eastAsia"/>
          <w:color w:val="000000" w:themeColor="text1"/>
          <w14:textFill>
            <w14:solidFill>
              <w14:schemeClr w14:val="tx1"/>
            </w14:solidFill>
          </w14:textFill>
        </w:rPr>
      </w:pPr>
    </w:p>
    <w:p>
      <w:pPr>
        <w:widowControl/>
        <w:ind w:firstLine="9360" w:firstLineChars="39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注：本表内评审内容对应填写“合格”或“不合格”；评审结论对应填写“通过”或“不通过”。若有一项评审内容为“不合格”则评审结论为“不通过”。</w:t>
      </w:r>
    </w:p>
    <w:p>
      <w:pPr>
        <w:widowControl/>
        <w:jc w:val="left"/>
        <w:rPr>
          <w:rFonts w:hint="eastAsia" w:ascii="宋体" w:hAnsi="宋体" w:eastAsia="宋体" w:cs="宋体"/>
          <w:color w:val="000000" w:themeColor="text1"/>
          <w:sz w:val="24"/>
          <w:szCs w:val="24"/>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附表3   综合评分表</w:t>
      </w:r>
    </w:p>
    <w:tbl>
      <w:tblPr>
        <w:tblStyle w:val="12"/>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244"/>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80" w:type="dxa"/>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评审内容</w:t>
            </w:r>
          </w:p>
        </w:tc>
        <w:tc>
          <w:tcPr>
            <w:tcW w:w="7914" w:type="dxa"/>
            <w:gridSpan w:val="2"/>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80" w:type="dxa"/>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价格分评审（满分</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tc>
        <w:tc>
          <w:tcPr>
            <w:tcW w:w="7914" w:type="dxa"/>
            <w:gridSpan w:val="2"/>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综</w:t>
            </w:r>
            <w:r>
              <w:rPr>
                <w:rFonts w:hint="eastAsia" w:ascii="宋体" w:hAnsi="宋体" w:eastAsia="宋体" w:cs="宋体"/>
                <w:color w:val="000000" w:themeColor="text1"/>
                <w:sz w:val="24"/>
                <w:szCs w:val="24"/>
                <w14:textFill>
                  <w14:solidFill>
                    <w14:schemeClr w14:val="tx1"/>
                  </w14:solidFill>
                </w14:textFill>
              </w:rPr>
              <w:t>合评分法中的价格分统一采用低价优先法计算，即满足询比采购文件要求且报价最低的供应商的价格为询比采购基准价，其价格分为满分。其他供应商的价格分统一按照下列公式计算：</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询比采购报价得分=（询比采购基准价/询比采购报价）×1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；项目评审过程中，不得去掉报价中的最高报价和最低报价。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Merge w:val="restart"/>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val="en-US" w:eastAsia="zh-CN"/>
                <w14:textFill>
                  <w14:solidFill>
                    <w14:schemeClr w14:val="tx1"/>
                  </w14:solidFill>
                </w14:textFill>
              </w:rPr>
              <w:t>及技术</w:t>
            </w:r>
            <w:r>
              <w:rPr>
                <w:rFonts w:hint="eastAsia" w:ascii="宋体" w:hAnsi="宋体" w:eastAsia="宋体" w:cs="宋体"/>
                <w:color w:val="000000" w:themeColor="text1"/>
                <w:sz w:val="24"/>
                <w:szCs w:val="24"/>
                <w14:textFill>
                  <w14:solidFill>
                    <w14:schemeClr w14:val="tx1"/>
                  </w14:solidFill>
                </w14:textFill>
              </w:rPr>
              <w:t>部分评审（满分</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tc>
        <w:tc>
          <w:tcPr>
            <w:tcW w:w="2244" w:type="dxa"/>
            <w:vAlign w:val="center"/>
          </w:tcPr>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项目实施</w:t>
            </w:r>
          </w:p>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方案</w:t>
            </w:r>
          </w:p>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25分</w:t>
            </w:r>
            <w:r>
              <w:rPr>
                <w:rFonts w:hint="eastAsia" w:ascii="宋体" w:hAnsi="宋体" w:cs="宋体"/>
                <w:color w:val="000000" w:themeColor="text1"/>
                <w:sz w:val="24"/>
                <w:szCs w:val="24"/>
                <w:lang w:eastAsia="zh-CN"/>
                <w14:textFill>
                  <w14:solidFill>
                    <w14:schemeClr w14:val="tx1"/>
                  </w14:solidFill>
                </w14:textFill>
              </w:rPr>
              <w:t>）</w:t>
            </w:r>
          </w:p>
        </w:tc>
        <w:tc>
          <w:tcPr>
            <w:tcW w:w="5670"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（1）项目实施方案合理、具体且有针对性，能较好地指导项目实施，能满足本项目需求（18-25分）；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（2）项目实施方案合理、具体且有针对性，指导性一般，能满足本项目需求（10-17分）；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（3）项目实施方案合理性、针对性、指导性一般，能满足本项目需求（5-9分）；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（4）项目实施方案合理性、针对性、指导性差，基本满足本项目需求（1-4分）；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（5）项目实施方案存在有明显重大错误的或无项目实施方案的不得分。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工作重点难点分析及措施方案</w:t>
            </w:r>
          </w:p>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5分）</w:t>
            </w:r>
          </w:p>
        </w:tc>
        <w:tc>
          <w:tcPr>
            <w:tcW w:w="5670"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（1）对本采购项目理解全面，思路清晰，对项目实施重点、难点有合理的解决方案和可行的保证措施，针对性较强的（10-15分）；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（2）对本采购项目理解基本全面，思路清晰，对项目实施重点、难点有合理的解决方案和保证措施，针对性一般的（4-9分）；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（3）对本采购项目理解不够全面，重点、难点不突出，解决方案和保证措施一般，针对性较差的（0-3分）。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工作进度计划及承诺（</w:t>
            </w:r>
            <w:r>
              <w:rPr>
                <w:rFonts w:hint="eastAsia" w:ascii="宋体" w:hAnsi="宋体" w:eastAsia="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10分</w:t>
            </w:r>
            <w:r>
              <w:rPr>
                <w:rFonts w:hint="eastAsia" w:ascii="宋体" w:hAnsi="宋体" w:cs="宋体"/>
                <w:color w:val="000000" w:themeColor="text1"/>
                <w:sz w:val="24"/>
                <w:szCs w:val="24"/>
                <w:lang w:eastAsia="zh-CN"/>
                <w14:textFill>
                  <w14:solidFill>
                    <w14:schemeClr w14:val="tx1"/>
                  </w14:solidFill>
                </w14:textFill>
              </w:rPr>
              <w:t>）</w:t>
            </w:r>
          </w:p>
        </w:tc>
        <w:tc>
          <w:tcPr>
            <w:tcW w:w="5670"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(1)有详细、严谨、科学、合</w:t>
            </w:r>
            <w:r>
              <w:rPr>
                <w:rFonts w:hint="eastAsia" w:ascii="宋体" w:hAnsi="宋体" w:cs="宋体"/>
                <w:color w:val="000000" w:themeColor="text1"/>
                <w:sz w:val="24"/>
                <w:szCs w:val="24"/>
                <w:lang w:eastAsia="zh-CN"/>
                <w14:textFill>
                  <w14:solidFill>
                    <w14:schemeClr w14:val="tx1"/>
                  </w14:solidFill>
                </w14:textFill>
              </w:rPr>
              <w:t>理</w:t>
            </w:r>
            <w:r>
              <w:rPr>
                <w:rFonts w:hint="eastAsia" w:ascii="宋体" w:hAnsi="宋体" w:eastAsia="宋体" w:cs="宋体"/>
                <w:color w:val="000000" w:themeColor="text1"/>
                <w:sz w:val="24"/>
                <w:szCs w:val="24"/>
                <w14:textFill>
                  <w14:solidFill>
                    <w14:schemeClr w14:val="tx1"/>
                  </w14:solidFill>
                </w14:textFill>
              </w:rPr>
              <w:t>并可行的工作进度计划，且有具体的违约</w:t>
            </w:r>
            <w:r>
              <w:rPr>
                <w:rFonts w:hint="eastAsia" w:ascii="宋体" w:hAnsi="宋体" w:cs="宋体"/>
                <w:color w:val="000000" w:themeColor="text1"/>
                <w:sz w:val="24"/>
                <w:szCs w:val="24"/>
                <w:lang w:eastAsia="zh-CN"/>
                <w14:textFill>
                  <w14:solidFill>
                    <w14:schemeClr w14:val="tx1"/>
                  </w14:solidFill>
                </w14:textFill>
              </w:rPr>
              <w:t>责</w:t>
            </w:r>
            <w:r>
              <w:rPr>
                <w:rFonts w:hint="eastAsia" w:ascii="宋体" w:hAnsi="宋体" w:eastAsia="宋体" w:cs="宋体"/>
                <w:color w:val="000000" w:themeColor="text1"/>
                <w:sz w:val="24"/>
                <w:szCs w:val="24"/>
                <w14:textFill>
                  <w14:solidFill>
                    <w14:schemeClr w14:val="tx1"/>
                  </w14:solidFill>
                </w14:textFill>
              </w:rPr>
              <w:t>任承诺，能保证</w:t>
            </w:r>
            <w:r>
              <w:rPr>
                <w:rFonts w:hint="eastAsia" w:ascii="宋体" w:hAnsi="宋体" w:cs="宋体"/>
                <w:color w:val="000000" w:themeColor="text1"/>
                <w:sz w:val="24"/>
                <w:szCs w:val="24"/>
                <w:lang w:eastAsia="zh-CN"/>
                <w14:textFill>
                  <w14:solidFill>
                    <w14:schemeClr w14:val="tx1"/>
                  </w14:solidFill>
                </w14:textFill>
              </w:rPr>
              <w:t>工作</w:t>
            </w:r>
            <w:r>
              <w:rPr>
                <w:rFonts w:hint="eastAsia" w:ascii="宋体" w:hAnsi="宋体" w:eastAsia="宋体" w:cs="宋体"/>
                <w:color w:val="000000" w:themeColor="text1"/>
                <w:sz w:val="24"/>
                <w:szCs w:val="24"/>
                <w14:textFill>
                  <w14:solidFill>
                    <w14:schemeClr w14:val="tx1"/>
                  </w14:solidFill>
                </w14:textFill>
              </w:rPr>
              <w:t>期限的得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(2)有详细、合理并可行</w:t>
            </w:r>
            <w:r>
              <w:rPr>
                <w:rFonts w:hint="eastAsia" w:ascii="宋体" w:hAnsi="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工作进度计划，且有违约</w:t>
            </w:r>
            <w:r>
              <w:rPr>
                <w:rFonts w:hint="eastAsia" w:ascii="宋体" w:hAnsi="宋体" w:cs="宋体"/>
                <w:color w:val="000000" w:themeColor="text1"/>
                <w:sz w:val="24"/>
                <w:szCs w:val="24"/>
                <w:lang w:eastAsia="zh-CN"/>
                <w14:textFill>
                  <w14:solidFill>
                    <w14:schemeClr w14:val="tx1"/>
                  </w14:solidFill>
                </w14:textFill>
              </w:rPr>
              <w:t>责</w:t>
            </w:r>
            <w:r>
              <w:rPr>
                <w:rFonts w:hint="eastAsia" w:ascii="宋体" w:hAnsi="宋体" w:eastAsia="宋体" w:cs="宋体"/>
                <w:color w:val="000000" w:themeColor="text1"/>
                <w:sz w:val="24"/>
                <w:szCs w:val="24"/>
                <w14:textFill>
                  <w14:solidFill>
                    <w14:schemeClr w14:val="tx1"/>
                  </w14:solidFill>
                </w14:textFill>
              </w:rPr>
              <w:t>任承诺，能保证工作期限</w:t>
            </w:r>
            <w:r>
              <w:rPr>
                <w:rFonts w:hint="eastAsia" w:ascii="宋体" w:hAnsi="宋体" w:cs="宋体"/>
                <w:color w:val="000000" w:themeColor="text1"/>
                <w:sz w:val="24"/>
                <w:szCs w:val="24"/>
                <w:lang w:eastAsia="zh-CN"/>
                <w14:textFill>
                  <w14:solidFill>
                    <w14:schemeClr w14:val="tx1"/>
                  </w14:solidFill>
                </w14:textFill>
              </w:rPr>
              <w:t>的得</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(3)有工作</w:t>
            </w:r>
            <w:r>
              <w:rPr>
                <w:rFonts w:hint="eastAsia" w:ascii="宋体" w:hAnsi="宋体" w:cs="宋体"/>
                <w:color w:val="000000" w:themeColor="text1"/>
                <w:sz w:val="24"/>
                <w:szCs w:val="24"/>
                <w:lang w:eastAsia="zh-CN"/>
                <w14:textFill>
                  <w14:solidFill>
                    <w14:schemeClr w14:val="tx1"/>
                  </w14:solidFill>
                </w14:textFill>
              </w:rPr>
              <w:t>进度</w:t>
            </w:r>
            <w:r>
              <w:rPr>
                <w:rFonts w:hint="eastAsia" w:ascii="宋体" w:hAnsi="宋体" w:eastAsia="宋体" w:cs="宋体"/>
                <w:color w:val="000000" w:themeColor="text1"/>
                <w:sz w:val="24"/>
                <w:szCs w:val="24"/>
                <w14:textFill>
                  <w14:solidFill>
                    <w14:schemeClr w14:val="tx1"/>
                  </w14:solidFill>
                </w14:textFill>
              </w:rPr>
              <w:t>计划</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能保证工作期限的得1-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(4)工作</w:t>
            </w:r>
            <w:r>
              <w:rPr>
                <w:rFonts w:hint="eastAsia" w:ascii="宋体" w:hAnsi="宋体" w:cs="宋体"/>
                <w:color w:val="000000" w:themeColor="text1"/>
                <w:sz w:val="24"/>
                <w:szCs w:val="24"/>
                <w:lang w:eastAsia="zh-CN"/>
                <w14:textFill>
                  <w14:solidFill>
                    <w14:schemeClr w14:val="tx1"/>
                  </w14:solidFill>
                </w14:textFill>
              </w:rPr>
              <w:t>进度计划</w:t>
            </w:r>
            <w:r>
              <w:rPr>
                <w:rFonts w:hint="eastAsia" w:ascii="宋体" w:hAnsi="宋体" w:eastAsia="宋体" w:cs="宋体"/>
                <w:color w:val="000000" w:themeColor="text1"/>
                <w:sz w:val="24"/>
                <w:szCs w:val="24"/>
                <w14:textFill>
                  <w14:solidFill>
                    <w14:schemeClr w14:val="tx1"/>
                  </w14:solidFill>
                </w14:textFill>
              </w:rPr>
              <w:t>有疏滑，无法保证工作期限的，或未提供进度计划的不得分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adjustRightInd w:val="0"/>
              <w:spacing w:line="360" w:lineRule="auto"/>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质量、时限承诺及保证措施</w:t>
            </w:r>
          </w:p>
          <w:p>
            <w:pPr>
              <w:pStyle w:val="1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10分</w:t>
            </w:r>
            <w:r>
              <w:rPr>
                <w:rFonts w:hint="eastAsia" w:ascii="宋体" w:hAnsi="宋体" w:cs="宋体"/>
                <w:color w:val="000000" w:themeColor="text1"/>
                <w:sz w:val="24"/>
                <w:szCs w:val="24"/>
                <w:lang w:eastAsia="zh-CN"/>
                <w14:textFill>
                  <w14:solidFill>
                    <w14:schemeClr w14:val="tx1"/>
                  </w14:solidFill>
                </w14:textFill>
              </w:rPr>
              <w:t>）</w:t>
            </w:r>
          </w:p>
        </w:tc>
        <w:tc>
          <w:tcPr>
            <w:tcW w:w="5670" w:type="dxa"/>
            <w:vAlign w:val="center"/>
          </w:tcPr>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（1）质量、时限承诺及保证措施全面、完整，可操作性强，得</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分；</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（2）质量、时限承诺及保证措施较为全面、完整，可操作性一般，得4-</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分；</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（3）质量、时限承诺及保证措施基本完整，操作性较差，得1-3分；</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（4）没有质量、时限承诺及保证措施的，得0分。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adjustRightInd w:val="0"/>
              <w:spacing w:line="360" w:lineRule="auto"/>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人员配置</w:t>
            </w:r>
          </w:p>
          <w:p>
            <w:pPr>
              <w:adjustRightInd w:val="0"/>
              <w:spacing w:line="360" w:lineRule="auto"/>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方案</w:t>
            </w:r>
          </w:p>
          <w:p>
            <w:pPr>
              <w:pStyle w:val="14"/>
              <w:ind w:firstLine="240" w:firstLineChars="1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15分</w:t>
            </w:r>
            <w:r>
              <w:rPr>
                <w:rFonts w:hint="eastAsia" w:ascii="宋体" w:hAnsi="宋体" w:cs="宋体"/>
                <w:color w:val="000000" w:themeColor="text1"/>
                <w:sz w:val="24"/>
                <w:szCs w:val="24"/>
                <w:lang w:eastAsia="zh-CN"/>
                <w14:textFill>
                  <w14:solidFill>
                    <w14:schemeClr w14:val="tx1"/>
                  </w14:solidFill>
                </w14:textFill>
              </w:rPr>
              <w:t>）</w:t>
            </w:r>
          </w:p>
        </w:tc>
        <w:tc>
          <w:tcPr>
            <w:tcW w:w="5670" w:type="dxa"/>
            <w:vAlign w:val="center"/>
          </w:tcPr>
          <w:p>
            <w:pPr>
              <w:spacing w:line="360" w:lineRule="auto"/>
              <w:ind w:left="105" w:leftChars="50" w:right="105" w:right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（1）人员配置组成精细、合理，完全满足项目实施要求，岗位职责分工详细明确，岗位人员有丰富的类似项目参与经验的（</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pPr>
              <w:spacing w:line="360" w:lineRule="auto"/>
              <w:ind w:left="105" w:leftChars="50" w:right="105" w:right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（2）人员配置组成能够满足项目实施要求，岗位职责分工明确，岗位人员有类似项目参与经验的（</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p>
            <w:pPr>
              <w:spacing w:line="360" w:lineRule="auto"/>
              <w:ind w:left="105" w:leftChars="50" w:right="105" w:right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（3）人员配置组成不能很好的满足项目实施要求，岗位职责分工匹配不高，岗位人员无相关项目参与经验的（1-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pPr>
              <w:spacing w:line="360" w:lineRule="auto"/>
              <w:ind w:left="105" w:leftChars="50" w:right="105" w:rightChars="5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（4）人员配置组成不合理完全不能满足项目实施要求或岗位人员无相关项目参与经验的不得分。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1680" w:type="dxa"/>
            <w:vMerge w:val="continue"/>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4" w:type="dxa"/>
            <w:vAlign w:val="center"/>
          </w:tcPr>
          <w:p>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业绩（满分15分）</w:t>
            </w:r>
          </w:p>
        </w:tc>
        <w:tc>
          <w:tcPr>
            <w:tcW w:w="5670" w:type="dxa"/>
            <w:vAlign w:val="center"/>
          </w:tcPr>
          <w:p>
            <w:pPr>
              <w:adjustRightInd w:val="0"/>
              <w:spacing w:line="360" w:lineRule="auto"/>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根据供应商20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cs="Times New Roman"/>
                <w:color w:val="000000" w:themeColor="text1"/>
                <w:sz w:val="24"/>
                <w:szCs w:val="24"/>
                <w:highlight w:val="none"/>
                <w:lang w:eastAsia="zh-CN"/>
                <w14:textFill>
                  <w14:solidFill>
                    <w14:schemeClr w14:val="tx1"/>
                  </w14:solidFill>
                </w14:textFill>
              </w:rPr>
              <w:t>至今</w:t>
            </w:r>
            <w:r>
              <w:rPr>
                <w:rFonts w:hint="eastAsia" w:ascii="Times New Roman" w:hAnsi="Times New Roman" w:eastAsia="宋体" w:cs="Times New Roman"/>
                <w:color w:val="000000" w:themeColor="text1"/>
                <w:sz w:val="24"/>
                <w:szCs w:val="24"/>
                <w:highlight w:val="none"/>
                <w14:textFill>
                  <w14:solidFill>
                    <w14:schemeClr w14:val="tx1"/>
                  </w14:solidFill>
                </w14:textFill>
              </w:rPr>
              <w:t>已完成或正在实施的类似案例进行评价打分，每提供一个类似案例得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分，满分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15</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adjustRightInd w:val="0"/>
              <w:spacing w:line="360" w:lineRule="auto"/>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注：响应文件中须提供业绩列表及相对应的业绩证明材料，业绩证明材料为中标通知书或合同协议书或业主证明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材料</w:t>
            </w:r>
            <w:r>
              <w:rPr>
                <w:rFonts w:hint="eastAsia" w:ascii="Times New Roman" w:hAnsi="Times New Roman" w:eastAsia="宋体" w:cs="Times New Roman"/>
                <w:color w:val="000000" w:themeColor="text1"/>
                <w:sz w:val="24"/>
                <w:szCs w:val="24"/>
                <w:highlight w:val="none"/>
                <w14:textFill>
                  <w14:solidFill>
                    <w14:schemeClr w14:val="tx1"/>
                  </w14:solidFill>
                </w14:textFill>
              </w:rPr>
              <w:t>；无证明材料或未按要求提供证明材料或证明材料无法体现内容的，不予认可。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C3393"/>
    <w:multiLevelType w:val="multilevel"/>
    <w:tmpl w:val="599C3393"/>
    <w:lvl w:ilvl="0" w:tentative="0">
      <w:start w:val="1"/>
      <w:numFmt w:val="none"/>
      <w:pStyle w:val="8"/>
      <w:suff w:val="nothing"/>
      <w:lvlText w:val=""/>
      <w:lvlJc w:val="left"/>
      <w:pPr>
        <w:tabs>
          <w:tab w:val="left" w:pos="0"/>
        </w:tabs>
        <w:ind w:left="0" w:firstLine="402"/>
      </w:pPr>
      <w:rPr>
        <w:rFonts w:hint="eastAsia" w:ascii="宋体" w:hAnsi="宋体" w:eastAsia="宋体" w:cs="宋体"/>
      </w:rPr>
    </w:lvl>
    <w:lvl w:ilvl="1" w:tentative="0">
      <w:start w:val="1"/>
      <w:numFmt w:val="chineseCounting"/>
      <w:suff w:val="nothing"/>
      <w:lvlText w:val="第%2章  "/>
      <w:lvlJc w:val="left"/>
      <w:pPr>
        <w:ind w:left="0" w:firstLine="402"/>
      </w:pPr>
      <w:rPr>
        <w:rFonts w:hint="eastAsia" w:ascii="宋体" w:hAnsi="宋体" w:eastAsia="宋体" w:cs="宋体"/>
      </w:rPr>
    </w:lvl>
    <w:lvl w:ilvl="2" w:tentative="0">
      <w:start w:val="1"/>
      <w:numFmt w:val="chineseCounting"/>
      <w:suff w:val="nothing"/>
      <w:lvlText w:val="第%3节、"/>
      <w:lvlJc w:val="left"/>
      <w:pPr>
        <w:ind w:left="0" w:firstLine="402"/>
      </w:pPr>
      <w:rPr>
        <w:rFonts w:hint="eastAsia" w:ascii="宋体" w:hAnsi="宋体" w:eastAsia="宋体" w:cs="宋体"/>
      </w:rPr>
    </w:lvl>
    <w:lvl w:ilvl="3" w:tentative="0">
      <w:start w:val="1"/>
      <w:numFmt w:val="chineseCounting"/>
      <w:suff w:val="nothing"/>
      <w:lvlText w:val="（%4）"/>
      <w:lvlJc w:val="left"/>
      <w:pPr>
        <w:ind w:left="0" w:firstLine="402"/>
      </w:pPr>
      <w:rPr>
        <w:rFonts w:hint="eastAsia" w:ascii="宋体" w:hAnsi="宋体" w:eastAsia="宋体" w:cs="宋体"/>
      </w:rPr>
    </w:lvl>
    <w:lvl w:ilvl="4" w:tentative="0">
      <w:start w:val="1"/>
      <w:numFmt w:val="decimal"/>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decimalEnclosedCircleChinese"/>
      <w:suff w:val="nothing"/>
      <w:lvlText w:val="%7"/>
      <w:lvlJc w:val="left"/>
      <w:pPr>
        <w:ind w:left="0" w:firstLine="402"/>
      </w:pPr>
      <w:rPr>
        <w:rFonts w:hint="eastAsia" w:ascii="宋体" w:hAnsi="宋体" w:eastAsia="宋体" w:cs="宋体"/>
      </w:rPr>
    </w:lvl>
    <w:lvl w:ilvl="7" w:tentative="0">
      <w:start w:val="1"/>
      <w:numFmt w:val="upperLetter"/>
      <w:suff w:val="nothing"/>
      <w:lvlText w:val="%8"/>
      <w:lvlJc w:val="left"/>
      <w:pPr>
        <w:ind w:left="0" w:firstLine="402"/>
      </w:pPr>
      <w:rPr>
        <w:rFonts w:hint="eastAsia" w:ascii="宋体" w:hAnsi="宋体" w:eastAsia="宋体" w:cs="宋体"/>
      </w:rPr>
    </w:lvl>
    <w:lvl w:ilvl="8" w:tentative="0">
      <w:start w:val="1"/>
      <w:numFmt w:val="lowerLetter"/>
      <w:suff w:val="nothing"/>
      <w:lvlText w:val="%9. "/>
      <w:lvlJc w:val="left"/>
      <w:pPr>
        <w:ind w:left="0" w:firstLine="402"/>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TRjMDYyNzg3ZTBmYTdhMDJhZWYzMGMwNDIwNTgifQ=="/>
  </w:docVars>
  <w:rsids>
    <w:rsidRoot w:val="00000000"/>
    <w:rsid w:val="060C38F4"/>
    <w:rsid w:val="0CC41B0E"/>
    <w:rsid w:val="4B7D7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4"/>
    <w:qFormat/>
    <w:uiPriority w:val="9"/>
    <w:pPr>
      <w:keepNext/>
      <w:keepLines/>
      <w:spacing w:before="340" w:after="330" w:line="578" w:lineRule="auto"/>
      <w:jc w:val="center"/>
      <w:outlineLvl w:val="0"/>
    </w:pPr>
    <w:rPr>
      <w:b/>
      <w:bCs/>
      <w:kern w:val="44"/>
      <w:sz w:val="32"/>
      <w:szCs w:val="4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customStyle="1" w:styleId="4">
    <w:name w:val="默认"/>
    <w:qFormat/>
    <w:uiPriority w:val="0"/>
    <w:pPr>
      <w:spacing w:line="360" w:lineRule="auto"/>
    </w:pPr>
    <w:rPr>
      <w:rFonts w:ascii="宋体" w:hAnsi="宋体" w:eastAsia="宋体" w:cs="Calibri"/>
      <w:kern w:val="2"/>
      <w:sz w:val="24"/>
      <w:szCs w:val="21"/>
      <w:lang w:val="en-US" w:eastAsia="zh-CN" w:bidi="ar-SA"/>
    </w:rPr>
  </w:style>
  <w:style w:type="paragraph" w:styleId="6">
    <w:name w:val="Body Text"/>
    <w:basedOn w:val="1"/>
    <w:next w:val="7"/>
    <w:qFormat/>
    <w:uiPriority w:val="99"/>
    <w:pPr>
      <w:spacing w:after="120"/>
    </w:pPr>
  </w:style>
  <w:style w:type="paragraph" w:styleId="7">
    <w:name w:val="Body Text Indent"/>
    <w:basedOn w:val="1"/>
    <w:next w:val="8"/>
    <w:qFormat/>
    <w:uiPriority w:val="99"/>
    <w:pPr>
      <w:spacing w:after="120"/>
      <w:ind w:left="420" w:leftChars="200"/>
    </w:pPr>
  </w:style>
  <w:style w:type="paragraph" w:customStyle="1" w:styleId="8">
    <w:name w:val="样式 正文文字缩进 + 小四 首行缩进:  2 字符"/>
    <w:qFormat/>
    <w:uiPriority w:val="0"/>
    <w:pPr>
      <w:widowControl w:val="0"/>
      <w:numPr>
        <w:ilvl w:val="0"/>
        <w:numId w:val="1"/>
      </w:numPr>
      <w:topLinePunct/>
      <w:adjustRightInd w:val="0"/>
      <w:snapToGrid w:val="0"/>
      <w:spacing w:line="600" w:lineRule="exact"/>
      <w:ind w:firstLine="0"/>
      <w:jc w:val="center"/>
    </w:pPr>
    <w:rPr>
      <w:rFonts w:ascii="宋体" w:hAnsi="Times New Roman" w:eastAsia="宋体" w:cs="Times New Roman"/>
      <w:b/>
      <w:kern w:val="2"/>
      <w:sz w:val="28"/>
      <w:szCs w:val="24"/>
      <w:u w:val="double"/>
      <w:lang w:val="en-US" w:eastAsia="zh-CN" w:bidi="ar-SA"/>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文字"/>
    <w:basedOn w:val="1"/>
    <w:next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超越自己</cp:lastModifiedBy>
  <dcterms:modified xsi:type="dcterms:W3CDTF">2023-10-20T08:25:25Z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6CE3A8FFC1134A9EB5FCF41E01F9FE04_12</vt:lpwstr>
  </property>
</Properties>
</file>